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SCIENCE EXPERIMENT WEBSITE</w:t>
      </w:r>
    </w:p>
    <w:p w:rsidR="00000000" w:rsidDel="00000000" w:rsidP="00000000" w:rsidRDefault="00000000" w:rsidRPr="00000000" w14:paraId="00000002">
      <w:pPr>
        <w:jc w:val="center"/>
        <w:rPr/>
      </w:pPr>
      <w:r w:rsidDel="00000000" w:rsidR="00000000" w:rsidRPr="00000000">
        <w:rPr>
          <w:b w:val="1"/>
          <w:color w:val="000000"/>
        </w:rPr>
        <w:drawing>
          <wp:inline distB="0" distT="0" distL="0" distR="0">
            <wp:extent cx="1381125" cy="1381125"/>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3811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Project Documentation Submitted to the</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College of Information Technology</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Cagayan de Oro College</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PHINMA Education</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4"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By:</w:t>
      </w:r>
    </w:p>
    <w:p w:rsidR="00000000" w:rsidDel="00000000" w:rsidP="00000000" w:rsidRDefault="00000000" w:rsidRPr="00000000" w14:paraId="0000000F">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Aguirre, Louwie Jie C.</w:t>
      </w:r>
    </w:p>
    <w:p w:rsidR="00000000" w:rsidDel="00000000" w:rsidP="00000000" w:rsidRDefault="00000000" w:rsidRPr="00000000" w14:paraId="0000001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Bansing, Paul Markuss S. </w:t>
      </w:r>
    </w:p>
    <w:p w:rsidR="00000000" w:rsidDel="00000000" w:rsidP="00000000" w:rsidRDefault="00000000" w:rsidRPr="00000000" w14:paraId="0000001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Bansing, Rastel Cyrus R.</w:t>
      </w:r>
    </w:p>
    <w:p w:rsidR="00000000" w:rsidDel="00000000" w:rsidP="00000000" w:rsidRDefault="00000000" w:rsidRPr="00000000" w14:paraId="0000001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Cabual, Keshtian Mark</w:t>
      </w:r>
    </w:p>
    <w:p w:rsidR="00000000" w:rsidDel="00000000" w:rsidP="00000000" w:rsidRDefault="00000000" w:rsidRPr="00000000" w14:paraId="0000001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Elison, Cedric E.</w:t>
      </w:r>
    </w:p>
    <w:p w:rsidR="00000000" w:rsidDel="00000000" w:rsidP="00000000" w:rsidRDefault="00000000" w:rsidRPr="00000000" w14:paraId="0000001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Galeon, Jay Lourenz C.</w:t>
      </w:r>
    </w:p>
    <w:p w:rsidR="00000000" w:rsidDel="00000000" w:rsidP="00000000" w:rsidRDefault="00000000" w:rsidRPr="00000000" w14:paraId="0000001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Perater, Royen July</w:t>
      </w:r>
    </w:p>
    <w:p w:rsidR="00000000" w:rsidDel="00000000" w:rsidP="00000000" w:rsidRDefault="00000000" w:rsidRPr="00000000" w14:paraId="0000001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Sismundo, Mark Reniel L.</w:t>
      </w:r>
    </w:p>
    <w:p w:rsidR="00000000" w:rsidDel="00000000" w:rsidP="00000000" w:rsidRDefault="00000000" w:rsidRPr="00000000" w14:paraId="00000018">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March 2025</w:t>
      </w:r>
    </w:p>
    <w:p w:rsidR="00000000" w:rsidDel="00000000" w:rsidP="00000000" w:rsidRDefault="00000000" w:rsidRPr="00000000" w14:paraId="0000001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C">
      <w:pPr>
        <w:jc w:val="both"/>
        <w:rPr/>
      </w:pPr>
      <w:bookmarkStart w:colFirst="0" w:colLast="0" w:name="_dmn3de8zxpfd" w:id="0"/>
      <w:bookmarkEnd w:id="0"/>
      <w:r w:rsidDel="00000000" w:rsidR="00000000" w:rsidRPr="00000000">
        <w:rPr>
          <w:rtl w:val="0"/>
        </w:rPr>
        <w:t xml:space="preserve">        </w:t>
      </w:r>
    </w:p>
    <w:p w:rsidR="00000000" w:rsidDel="00000000" w:rsidP="00000000" w:rsidRDefault="00000000" w:rsidRPr="00000000" w14:paraId="0000001D">
      <w:pPr>
        <w:spacing w:after="240" w:line="360" w:lineRule="auto"/>
        <w:jc w:val="both"/>
        <w:rPr>
          <w:sz w:val="24"/>
          <w:szCs w:val="24"/>
        </w:rPr>
      </w:pPr>
      <w:r w:rsidDel="00000000" w:rsidR="00000000" w:rsidRPr="00000000">
        <w:rPr>
          <w:sz w:val="24"/>
          <w:szCs w:val="24"/>
          <w:rtl w:val="0"/>
        </w:rPr>
        <w:t xml:space="preserve">A selection of science experiments aimed at improving comprehension of basic scientific concepts are offered on this webpage. Every experiment has a thorough description, a list of necessary supplies, a step-by-step guide, and the anticipated outcomes. The goal is to present an interesting and educational method of scientific investigation.</w:t>
        <w:br w:type="textWrapping"/>
        <w:br w:type="textWrapping"/>
        <w:t xml:space="preserve">The experiments address a range of scientific topics, such as biology, physics, and chemical reactions. By choosing the "See More" option, users can view more information about each experiment. A deeper understanding of the scientific procedures involved is made possible by this interactive feature.</w:t>
        <w:br w:type="textWrapping"/>
      </w:r>
    </w:p>
    <w:p w:rsidR="00000000" w:rsidDel="00000000" w:rsidP="00000000" w:rsidRDefault="00000000" w:rsidRPr="00000000" w14:paraId="0000001E">
      <w:pPr>
        <w:spacing w:after="0" w:line="360" w:lineRule="auto"/>
        <w:jc w:val="both"/>
        <w:rPr>
          <w:rFonts w:ascii="Times New Roman" w:cs="Times New Roman" w:eastAsia="Times New Roman" w:hAnsi="Times New Roman"/>
          <w:sz w:val="24"/>
          <w:szCs w:val="24"/>
        </w:rPr>
      </w:pPr>
      <w:r w:rsidDel="00000000" w:rsidR="00000000" w:rsidRPr="00000000">
        <w:rPr>
          <w:sz w:val="24"/>
          <w:szCs w:val="24"/>
          <w:rtl w:val="0"/>
        </w:rPr>
        <w:t xml:space="preserve">In order to develop analytical thinking and problem-solving abilities, scientific experimentation is essential. Through practical experiments, students can see how theoretical ideas are applied in the real world, which helps them understand the material better. This method improves retention of scientific knowledge, stimulates critical thinking, and stimulates curiosity (Anderson &amp; Krathwohl, 2001).</w:t>
        <w:br w:type="textWrapping"/>
        <w:br w:type="textWrapping"/>
        <w:t xml:space="preserve">Additionally, guided and interactive experiments give students an organized and approachable way to interact with scientific concepts. Science Hub seeks to close the gap between theoretical knowledge and real-world application through meticulously planned processes and understandable explanations. For students, teachers, and science enthusiasts who want to learn more about scientific ideas outside of the classroom, this resource is a great resource (National Research Council, 2012).</w:t>
      </w:r>
      <w:r w:rsidDel="00000000" w:rsidR="00000000" w:rsidRPr="00000000">
        <w:rPr>
          <w:rtl w:val="0"/>
        </w:rPr>
      </w:r>
    </w:p>
    <w:p w:rsidR="00000000" w:rsidDel="00000000" w:rsidP="00000000" w:rsidRDefault="00000000" w:rsidRPr="00000000" w14:paraId="0000001F">
      <w:pPr>
        <w:shd w:fill="ffffff"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hd w:fill="ffffff"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hd w:fill="ffffff"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hd w:fill="ffffff"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hd w:fill="ffffff"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hd w:fill="ffffff" w:val="clea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Wireframe</w:t>
      </w:r>
    </w:p>
    <w:p w:rsidR="00000000" w:rsidDel="00000000" w:rsidP="00000000" w:rsidRDefault="00000000" w:rsidRPr="00000000" w14:paraId="00000025">
      <w:pPr>
        <w:shd w:fill="ffffff" w:val="clea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hd w:fill="ffffff" w:val="clea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86500" cy="4668304"/>
            <wp:effectExtent b="0" l="0" r="0" t="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6286500" cy="466830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hd w:fill="ffffff" w:val="clea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hd w:fill="ffffff" w:val="clea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72603" cy="8674175"/>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72603" cy="8674175"/>
                    </a:xfrm>
                    <a:prstGeom prst="rect"/>
                    <a:ln/>
                  </pic:spPr>
                </pic:pic>
              </a:graphicData>
            </a:graphic>
          </wp:inline>
        </w:drawing>
      </w:r>
      <w:r w:rsidDel="00000000" w:rsidR="00000000" w:rsidRPr="00000000">
        <w:rPr>
          <w:rtl w:val="0"/>
        </w:rPr>
      </w:r>
    </w:p>
    <w:sectPr>
      <w:footerReference r:id="rId9"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