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DEA00">
      <w:pPr>
        <w:pStyle w:val="13"/>
        <w:rPr>
          <w:rFonts w:hint="eastAsia"/>
          <w:b/>
          <w:bCs/>
        </w:rPr>
      </w:pPr>
    </w:p>
    <w:p w14:paraId="7C277CAC">
      <w:pPr>
        <w:pStyle w:val="13"/>
        <w:rPr>
          <w:rFonts w:hint="eastAsia"/>
          <w:b/>
          <w:bCs/>
        </w:rPr>
      </w:pPr>
    </w:p>
    <w:p w14:paraId="5BA40458">
      <w:pPr>
        <w:pStyle w:val="13"/>
        <w:rPr>
          <w:rFonts w:hint="eastAsia"/>
          <w:b/>
          <w:bCs/>
        </w:rPr>
      </w:pPr>
    </w:p>
    <w:p w14:paraId="5C72292A">
      <w:pPr>
        <w:pStyle w:val="13"/>
        <w:rPr>
          <w:rFonts w:hint="eastAsia"/>
          <w:b/>
          <w:bCs/>
        </w:rPr>
      </w:pPr>
    </w:p>
    <w:p w14:paraId="4091EE6A">
      <w:pPr>
        <w:pStyle w:val="13"/>
        <w:rPr>
          <w:rFonts w:hint="eastAsia"/>
          <w:b/>
          <w:bCs/>
        </w:rPr>
      </w:pPr>
    </w:p>
    <w:p w14:paraId="3899FF11">
      <w:pPr>
        <w:pStyle w:val="13"/>
        <w:rPr>
          <w:rFonts w:hint="eastAsia"/>
          <w:b/>
          <w:bCs/>
        </w:rPr>
      </w:pPr>
    </w:p>
    <w:p w14:paraId="25A7BC93">
      <w:pPr>
        <w:jc w:val="center"/>
      </w:pPr>
      <w:r>
        <w:rPr>
          <w:rFonts w:ascii="微软雅黑" w:hAnsi="微软雅黑" w:eastAsia="微软雅黑" w:cs="微软雅黑"/>
          <w:b/>
          <w:i w:val="0"/>
          <w:color w:val="1F4E79"/>
          <w:sz w:val="36"/>
        </w:rPr>
        <w:t>中国软件杯</w:t>
      </w:r>
    </w:p>
    <w:p w14:paraId="4DD7B3BB">
      <w:pPr>
        <w:jc w:val="center"/>
      </w:pPr>
      <w:r>
        <w:rPr>
          <w:rFonts w:ascii="微软雅黑" w:hAnsi="微软雅黑" w:eastAsia="微软雅黑" w:cs="微软雅黑"/>
          <w:b/>
          <w:i w:val="0"/>
          <w:color w:val="242424"/>
          <w:sz w:val="44"/>
        </w:rPr>
        <w:t>灵山胜境导览服务 AI 数字人系统</w:t>
      </w:r>
    </w:p>
    <w:p w14:paraId="141847FD">
      <w:pPr>
        <w:jc w:val="center"/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产品部署和使用手册</w:t>
      </w:r>
    </w:p>
    <w:p w14:paraId="1497C740"/>
    <w:p w14:paraId="0031735D"/>
    <w:p w14:paraId="31F8F9DD"/>
    <w:p w14:paraId="4240334D">
      <w:pPr>
        <w:jc w:val="center"/>
      </w:pPr>
      <w:r>
        <w:rPr>
          <w:rFonts w:ascii="微软雅黑" w:hAnsi="微软雅黑" w:eastAsia="微软雅黑" w:cs="微软雅黑"/>
          <w:i w:val="0"/>
          <w:color w:val="606060"/>
          <w:sz w:val="22"/>
        </w:rPr>
        <w:t>赛题名称：A05 景区导览服务 AI 数字人</w:t>
      </w:r>
    </w:p>
    <w:p w14:paraId="3531A005">
      <w:pPr>
        <w:jc w:val="center"/>
      </w:pPr>
      <w:r>
        <w:rPr>
          <w:rFonts w:ascii="微软雅黑" w:hAnsi="微软雅黑" w:eastAsia="微软雅黑" w:cs="微软雅黑"/>
          <w:i w:val="0"/>
          <w:color w:val="606060"/>
          <w:sz w:val="22"/>
        </w:rPr>
        <w:t>团队名称：干将</w:t>
      </w:r>
    </w:p>
    <w:p w14:paraId="47EE02FE">
      <w:pPr>
        <w:jc w:val="center"/>
      </w:pPr>
      <w:r>
        <w:rPr>
          <w:rFonts w:ascii="微软雅黑" w:hAnsi="微软雅黑" w:eastAsia="微软雅黑" w:cs="微软雅黑"/>
          <w:i w:val="0"/>
          <w:color w:val="606060"/>
          <w:sz w:val="22"/>
        </w:rPr>
        <w:t>参赛单位：苏州大学</w:t>
      </w:r>
    </w:p>
    <w:p w14:paraId="6EBCE68B">
      <w:pPr>
        <w:jc w:val="center"/>
      </w:pPr>
      <w:r>
        <w:rPr>
          <w:rFonts w:ascii="微软雅黑" w:hAnsi="微软雅黑" w:eastAsia="微软雅黑" w:cs="微软雅黑"/>
          <w:i w:val="0"/>
          <w:color w:val="606060"/>
          <w:sz w:val="22"/>
        </w:rPr>
        <w:t>文档版本：V1.5</w:t>
      </w:r>
    </w:p>
    <w:p w14:paraId="454FE1C5">
      <w:pPr>
        <w:jc w:val="center"/>
      </w:pPr>
      <w:r>
        <w:rPr>
          <w:rFonts w:ascii="微软雅黑" w:hAnsi="微软雅黑" w:eastAsia="微软雅黑" w:cs="微软雅黑"/>
          <w:i w:val="0"/>
          <w:color w:val="606060"/>
          <w:sz w:val="22"/>
        </w:rPr>
        <w:t>修订日期：2026.6.17</w:t>
      </w:r>
    </w:p>
    <w:p w14:paraId="6D8AC726">
      <w:pPr>
        <w:rPr>
          <w:rFonts w:hint="eastAsia"/>
        </w:rPr>
      </w:pPr>
    </w:p>
    <w:p w14:paraId="1F215C9D">
      <w:pPr>
        <w:rPr>
          <w:rFonts w:hint="eastAsia"/>
        </w:rPr>
      </w:pPr>
    </w:p>
    <w:p w14:paraId="03CA9C27">
      <w:pPr>
        <w:rPr>
          <w:rFonts w:hint="eastAsia"/>
        </w:rPr>
      </w:pPr>
    </w:p>
    <w:p w14:paraId="75D586E8">
      <w:pPr>
        <w:rPr>
          <w:rFonts w:hint="eastAsia"/>
        </w:rPr>
      </w:pPr>
    </w:p>
    <w:p w14:paraId="359BAB6B">
      <w:pPr>
        <w:rPr>
          <w:rFonts w:hint="eastAsia"/>
        </w:rPr>
      </w:pPr>
    </w:p>
    <w:p w14:paraId="1AA34FBF">
      <w:pPr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文档</w:t>
      </w:r>
      <w:r>
        <w:rPr>
          <w:rFonts w:hint="eastAsia"/>
          <w:sz w:val="28"/>
          <w:szCs w:val="28"/>
        </w:rPr>
        <w:t>修订记录</w:t>
      </w:r>
    </w:p>
    <w:tbl>
      <w:tblPr>
        <w:tblStyle w:val="15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8"/>
        <w:gridCol w:w="1319"/>
        <w:gridCol w:w="1319"/>
        <w:gridCol w:w="1319"/>
        <w:gridCol w:w="1321"/>
        <w:gridCol w:w="1321"/>
        <w:gridCol w:w="1319"/>
      </w:tblGrid>
      <w:tr w14:paraId="67BD8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714" w:type="pct"/>
          </w:tcPr>
          <w:p w14:paraId="7DDFDA7C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  <w14:ligatures w14:val="none"/>
              </w:rPr>
              <w:t>序号</w:t>
            </w:r>
          </w:p>
        </w:tc>
        <w:tc>
          <w:tcPr>
            <w:tcW w:w="714" w:type="pct"/>
          </w:tcPr>
          <w:p w14:paraId="0FCDB69E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  <w14:ligatures w14:val="none"/>
              </w:rPr>
              <w:t>版本号</w:t>
            </w:r>
          </w:p>
        </w:tc>
        <w:tc>
          <w:tcPr>
            <w:tcW w:w="714" w:type="pct"/>
          </w:tcPr>
          <w:p w14:paraId="61E390B5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  <w14:ligatures w14:val="none"/>
              </w:rPr>
              <w:t>修改时间</w:t>
            </w:r>
          </w:p>
        </w:tc>
        <w:tc>
          <w:tcPr>
            <w:tcW w:w="714" w:type="pct"/>
          </w:tcPr>
          <w:p w14:paraId="72334A44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  <w14:ligatures w14:val="none"/>
              </w:rPr>
              <w:t>修改人</w:t>
            </w:r>
          </w:p>
        </w:tc>
        <w:tc>
          <w:tcPr>
            <w:tcW w:w="715" w:type="pct"/>
          </w:tcPr>
          <w:p w14:paraId="34B4FCBA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  <w14:ligatures w14:val="none"/>
              </w:rPr>
              <w:t>审核人</w:t>
            </w:r>
          </w:p>
        </w:tc>
        <w:tc>
          <w:tcPr>
            <w:tcW w:w="715" w:type="pct"/>
          </w:tcPr>
          <w:p w14:paraId="1E504650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  <w14:ligatures w14:val="none"/>
              </w:rPr>
              <w:t>批准人</w:t>
            </w:r>
          </w:p>
        </w:tc>
        <w:tc>
          <w:tcPr>
            <w:tcW w:w="715" w:type="pct"/>
          </w:tcPr>
          <w:p w14:paraId="08A61D45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  <w14:ligatures w14:val="none"/>
              </w:rPr>
              <w:t>备注</w:t>
            </w:r>
          </w:p>
        </w:tc>
      </w:tr>
      <w:tr w14:paraId="6198D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714" w:type="pct"/>
          </w:tcPr>
          <w:p w14:paraId="6D176115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714" w:type="pct"/>
          </w:tcPr>
          <w:p w14:paraId="34F450D9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  <w:t>V1.1</w:t>
            </w:r>
          </w:p>
        </w:tc>
        <w:tc>
          <w:tcPr>
            <w:tcW w:w="714" w:type="pct"/>
          </w:tcPr>
          <w:p w14:paraId="1BCE762B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/>
                <w:sz w:val="22"/>
                <w:szCs w:val="24"/>
                <w:lang w:val="en-US" w:eastAsia="zh-CN"/>
                <w14:ligatures w14:val="none"/>
              </w:rPr>
              <w:t>2026.5.16</w:t>
            </w:r>
          </w:p>
        </w:tc>
        <w:tc>
          <w:tcPr>
            <w:tcW w:w="714" w:type="pct"/>
          </w:tcPr>
          <w:p w14:paraId="5A980139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/>
                <w:sz w:val="22"/>
                <w:szCs w:val="24"/>
                <w:lang w:val="en-US" w:eastAsia="zh-CN"/>
                <w14:ligatures w14:val="none"/>
              </w:rPr>
              <w:t>朱文楦</w:t>
            </w:r>
          </w:p>
        </w:tc>
        <w:tc>
          <w:tcPr>
            <w:tcW w:w="715" w:type="pct"/>
          </w:tcPr>
          <w:p w14:paraId="1473CAFD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sz w:val="22"/>
                <w:szCs w:val="24"/>
                <w:lang w:val="en-US" w:eastAsia="zh-CN"/>
              </w:rPr>
              <w:t>刘志轩</w:t>
            </w:r>
          </w:p>
        </w:tc>
        <w:tc>
          <w:tcPr>
            <w:tcW w:w="715" w:type="pct"/>
          </w:tcPr>
          <w:p w14:paraId="393F193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sz w:val="22"/>
                <w:szCs w:val="24"/>
                <w:lang w:val="en-US" w:eastAsia="zh-CN"/>
              </w:rPr>
              <w:t>时瑞宁</w:t>
            </w:r>
          </w:p>
        </w:tc>
        <w:tc>
          <w:tcPr>
            <w:tcW w:w="715" w:type="pct"/>
          </w:tcPr>
          <w:p w14:paraId="44B7FE05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  <w:t>无</w:t>
            </w:r>
          </w:p>
        </w:tc>
      </w:tr>
      <w:tr w14:paraId="5FDFF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714" w:type="pct"/>
          </w:tcPr>
          <w:p w14:paraId="405EA67D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  <w:t>02</w:t>
            </w:r>
          </w:p>
        </w:tc>
        <w:tc>
          <w:tcPr>
            <w:tcW w:w="714" w:type="pct"/>
          </w:tcPr>
          <w:p w14:paraId="0A25E1D4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  <w:t>V1.2</w:t>
            </w:r>
          </w:p>
        </w:tc>
        <w:tc>
          <w:tcPr>
            <w:tcW w:w="714" w:type="pct"/>
          </w:tcPr>
          <w:p w14:paraId="6A554260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/>
                <w:sz w:val="22"/>
                <w:szCs w:val="24"/>
                <w:lang w:val="en-US" w:eastAsia="zh-CN"/>
                <w14:ligatures w14:val="none"/>
              </w:rPr>
              <w:t>2026.5.21</w:t>
            </w:r>
          </w:p>
        </w:tc>
        <w:tc>
          <w:tcPr>
            <w:tcW w:w="714" w:type="pct"/>
          </w:tcPr>
          <w:p w14:paraId="63E05E33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/>
                <w:sz w:val="22"/>
                <w:szCs w:val="24"/>
                <w:lang w:val="en-US" w:eastAsia="zh-CN"/>
                <w14:ligatures w14:val="none"/>
              </w:rPr>
              <w:t>朱文楦</w:t>
            </w:r>
          </w:p>
        </w:tc>
        <w:tc>
          <w:tcPr>
            <w:tcW w:w="715" w:type="pct"/>
          </w:tcPr>
          <w:p w14:paraId="318AB80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sz w:val="22"/>
                <w:szCs w:val="24"/>
                <w:lang w:val="en-US" w:eastAsia="zh-CN"/>
              </w:rPr>
              <w:t>时瑞宁</w:t>
            </w:r>
          </w:p>
        </w:tc>
        <w:tc>
          <w:tcPr>
            <w:tcW w:w="715" w:type="pct"/>
          </w:tcPr>
          <w:p w14:paraId="31C199F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sz w:val="22"/>
                <w:szCs w:val="24"/>
                <w:lang w:val="en-US" w:eastAsia="zh-CN"/>
              </w:rPr>
              <w:t>刘志轩</w:t>
            </w:r>
          </w:p>
        </w:tc>
        <w:tc>
          <w:tcPr>
            <w:tcW w:w="715" w:type="pct"/>
          </w:tcPr>
          <w:p w14:paraId="6B3B6008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  <w:t>无</w:t>
            </w:r>
          </w:p>
        </w:tc>
      </w:tr>
      <w:tr w14:paraId="26AFC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714" w:type="pct"/>
          </w:tcPr>
          <w:p w14:paraId="2E02BC4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  <w:t>03</w:t>
            </w:r>
          </w:p>
        </w:tc>
        <w:tc>
          <w:tcPr>
            <w:tcW w:w="714" w:type="pct"/>
          </w:tcPr>
          <w:p w14:paraId="39FD614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  <w:t>V1.3</w:t>
            </w:r>
          </w:p>
        </w:tc>
        <w:tc>
          <w:tcPr>
            <w:tcW w:w="714" w:type="pct"/>
          </w:tcPr>
          <w:p w14:paraId="4888F1A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/>
                <w:sz w:val="22"/>
                <w:szCs w:val="24"/>
                <w:lang w:val="en-US" w:eastAsia="zh-CN"/>
                <w14:ligatures w14:val="none"/>
              </w:rPr>
              <w:t>2026.6.1</w:t>
            </w:r>
          </w:p>
        </w:tc>
        <w:tc>
          <w:tcPr>
            <w:tcW w:w="714" w:type="pct"/>
          </w:tcPr>
          <w:p w14:paraId="48AC4560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/>
                <w:sz w:val="22"/>
                <w:szCs w:val="24"/>
                <w:lang w:val="en-US" w:eastAsia="zh-CN"/>
                <w14:ligatures w14:val="none"/>
              </w:rPr>
              <w:t>朱文楦</w:t>
            </w:r>
          </w:p>
        </w:tc>
        <w:tc>
          <w:tcPr>
            <w:tcW w:w="715" w:type="pct"/>
          </w:tcPr>
          <w:p w14:paraId="13EE515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sz w:val="22"/>
                <w:szCs w:val="24"/>
                <w:lang w:val="en-US" w:eastAsia="zh-CN"/>
              </w:rPr>
              <w:t>刘志轩</w:t>
            </w:r>
          </w:p>
        </w:tc>
        <w:tc>
          <w:tcPr>
            <w:tcW w:w="715" w:type="pct"/>
          </w:tcPr>
          <w:p w14:paraId="38B230F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sz w:val="22"/>
                <w:szCs w:val="24"/>
                <w:lang w:val="en-US" w:eastAsia="zh-CN"/>
              </w:rPr>
              <w:t>时瑞宁</w:t>
            </w:r>
          </w:p>
        </w:tc>
        <w:tc>
          <w:tcPr>
            <w:tcW w:w="715" w:type="pct"/>
          </w:tcPr>
          <w:p w14:paraId="270C875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  <w:t>无</w:t>
            </w:r>
          </w:p>
        </w:tc>
      </w:tr>
      <w:tr w14:paraId="0FCB3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714" w:type="pct"/>
          </w:tcPr>
          <w:p w14:paraId="44D01A1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  <w:t>04</w:t>
            </w:r>
          </w:p>
        </w:tc>
        <w:tc>
          <w:tcPr>
            <w:tcW w:w="714" w:type="pct"/>
          </w:tcPr>
          <w:p w14:paraId="0318268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  <w:t>V1.4</w:t>
            </w:r>
          </w:p>
        </w:tc>
        <w:tc>
          <w:tcPr>
            <w:tcW w:w="714" w:type="pct"/>
          </w:tcPr>
          <w:p w14:paraId="635696B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/>
                <w:sz w:val="22"/>
                <w:szCs w:val="24"/>
                <w:lang w:val="en-US" w:eastAsia="zh-CN"/>
                <w14:ligatures w14:val="none"/>
              </w:rPr>
              <w:t>2026.6.7</w:t>
            </w:r>
          </w:p>
        </w:tc>
        <w:tc>
          <w:tcPr>
            <w:tcW w:w="714" w:type="pct"/>
          </w:tcPr>
          <w:p w14:paraId="3ED9B32F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/>
                <w:sz w:val="22"/>
                <w:szCs w:val="24"/>
                <w:lang w:val="en-US" w:eastAsia="zh-CN"/>
                <w14:ligatures w14:val="none"/>
              </w:rPr>
              <w:t>朱文楦</w:t>
            </w:r>
          </w:p>
        </w:tc>
        <w:tc>
          <w:tcPr>
            <w:tcW w:w="715" w:type="pct"/>
          </w:tcPr>
          <w:p w14:paraId="257AEC0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sz w:val="22"/>
                <w:szCs w:val="24"/>
                <w:lang w:val="en-US" w:eastAsia="zh-CN"/>
              </w:rPr>
              <w:t>刘志轩</w:t>
            </w:r>
          </w:p>
        </w:tc>
        <w:tc>
          <w:tcPr>
            <w:tcW w:w="715" w:type="pct"/>
          </w:tcPr>
          <w:p w14:paraId="11518C6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sz w:val="22"/>
                <w:szCs w:val="24"/>
                <w:lang w:val="en-US" w:eastAsia="zh-CN"/>
              </w:rPr>
              <w:t>时瑞宁</w:t>
            </w:r>
          </w:p>
        </w:tc>
        <w:tc>
          <w:tcPr>
            <w:tcW w:w="715" w:type="pct"/>
          </w:tcPr>
          <w:p w14:paraId="06885F9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  <w:t>统一评测</w:t>
            </w:r>
          </w:p>
        </w:tc>
      </w:tr>
      <w:tr w14:paraId="3BE41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8" w:type="dxa"/>
          </w:tcPr>
          <w:p w14:paraId="6CEAA708">
            <w:pPr>
              <w:spacing w:after="0" w:line="240" w:lineRule="auto"/>
              <w:jc w:val="center"/>
            </w:pPr>
            <w:r>
              <w:rPr>
                <w:rFonts w:hint="eastAsia"/>
                <w:sz w:val="22"/>
                <w:szCs w:val="24"/>
                <w:lang w:val="en-US" w:eastAsia="zh-CN"/>
              </w:rPr>
              <w:t>05</w:t>
            </w:r>
          </w:p>
        </w:tc>
        <w:tc>
          <w:tcPr>
            <w:tcW w:w="1319" w:type="dxa"/>
          </w:tcPr>
          <w:p w14:paraId="67BF0B59">
            <w:pPr>
              <w:spacing w:after="0" w:line="240" w:lineRule="auto"/>
              <w:jc w:val="center"/>
            </w:pPr>
            <w:r>
              <w:rPr>
                <w:rFonts w:hint="eastAsia"/>
                <w:sz w:val="22"/>
                <w:szCs w:val="24"/>
                <w:lang w:val="en-US" w:eastAsia="zh-CN"/>
              </w:rPr>
              <w:t>V1.5</w:t>
            </w:r>
          </w:p>
        </w:tc>
        <w:tc>
          <w:tcPr>
            <w:tcW w:w="1319" w:type="dxa"/>
          </w:tcPr>
          <w:p w14:paraId="6C986DB6">
            <w:pPr>
              <w:spacing w:after="0" w:line="240" w:lineRule="auto"/>
              <w:jc w:val="center"/>
            </w:pPr>
            <w:r>
              <w:rPr>
                <w:rFonts w:hint="eastAsia"/>
                <w:sz w:val="22"/>
                <w:szCs w:val="24"/>
                <w:lang w:val="en-US" w:eastAsia="zh-CN"/>
              </w:rPr>
              <w:t>2026.6.17</w:t>
            </w:r>
          </w:p>
        </w:tc>
        <w:tc>
          <w:tcPr>
            <w:tcW w:w="1319" w:type="dxa"/>
          </w:tcPr>
          <w:p w14:paraId="63E74467">
            <w:pPr>
              <w:spacing w:after="0" w:line="240" w:lineRule="auto"/>
              <w:jc w:val="center"/>
            </w:pPr>
            <w:r>
              <w:rPr>
                <w:rFonts w:hint="eastAsia"/>
                <w:sz w:val="22"/>
                <w:szCs w:val="24"/>
                <w:lang w:val="en-US" w:eastAsia="zh-CN"/>
              </w:rPr>
              <w:t>朱文楦</w:t>
            </w:r>
          </w:p>
        </w:tc>
        <w:tc>
          <w:tcPr>
            <w:tcW w:w="1321" w:type="dxa"/>
          </w:tcPr>
          <w:p w14:paraId="69D69B08">
            <w:pPr>
              <w:spacing w:after="0" w:line="240" w:lineRule="auto"/>
              <w:jc w:val="center"/>
            </w:pPr>
            <w:r>
              <w:rPr>
                <w:rFonts w:hint="eastAsia"/>
                <w:sz w:val="22"/>
                <w:szCs w:val="24"/>
                <w:lang w:val="en-US" w:eastAsia="zh-CN"/>
              </w:rPr>
              <w:t>刘志轩</w:t>
            </w:r>
          </w:p>
        </w:tc>
        <w:tc>
          <w:tcPr>
            <w:tcW w:w="1321" w:type="dxa"/>
          </w:tcPr>
          <w:p w14:paraId="5D305E9D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  <w:t>时瑞宁</w:t>
            </w:r>
          </w:p>
        </w:tc>
        <w:tc>
          <w:tcPr>
            <w:tcW w:w="1319" w:type="dxa"/>
          </w:tcPr>
          <w:p w14:paraId="7F3EBEA4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  <w:t>Agent 工具循环、上下文传递</w:t>
            </w:r>
          </w:p>
        </w:tc>
      </w:tr>
    </w:tbl>
    <w:p w14:paraId="35C49357">
      <w:pPr>
        <w:rPr>
          <w:rFonts w:hint="eastAsia"/>
        </w:rPr>
      </w:pPr>
    </w:p>
    <w:p w14:paraId="51553038">
      <w:pPr>
        <w:rPr>
          <w:rFonts w:hint="eastAsia"/>
        </w:rPr>
        <w:sectPr>
          <w:footerReference r:id="rId5" w:type="default"/>
          <w:pgSz w:w="11906" w:h="16838"/>
          <w:pgMar w:top="1440" w:right="1440" w:bottom="1440" w:left="1440" w:header="708" w:footer="708" w:gutter="0"/>
          <w:pgNumType w:start="1"/>
          <w:cols w:space="720" w:num="1"/>
          <w:docGrid w:linePitch="360" w:charSpace="0"/>
        </w:sectPr>
      </w:pPr>
      <w:r>
        <w:rPr>
          <w:rFonts w:hint="eastAsia"/>
        </w:rPr>
        <w:t>当前使用版本：V1.5</w:t>
      </w:r>
    </w:p>
    <w:sdt>
      <w:sdtPr>
        <w:rPr>
          <w:rFonts w:asciiTheme="minorHAnsi" w:hAnsiTheme="minorHAnsi" w:eastAsiaTheme="minorEastAsia" w:cstheme="minorBidi"/>
          <w:b w:val="0"/>
          <w:kern w:val="2"/>
          <w:sz w:val="22"/>
          <w:szCs w:val="24"/>
          <w:lang w:val="zh-CN"/>
          <w14:ligatures w14:val="standardContextual"/>
        </w:rPr>
        <w:id w:val="-1899277156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b w:val="0"/>
          <w:bCs/>
          <w:kern w:val="2"/>
          <w:sz w:val="22"/>
          <w:szCs w:val="24"/>
          <w:lang w:val="en-US"/>
          <w14:ligatures w14:val="standardContextual"/>
        </w:rPr>
      </w:sdtEndPr>
      <w:sdtContent>
        <w:p w14:paraId="38E318A4">
          <w:pPr>
            <w:jc w:val="center"/>
          </w:pPr>
          <w:bookmarkStart w:id="0" w:name="_Toc206078968"/>
          <w:r>
            <w:rPr>
              <w:rFonts w:ascii="微软雅黑" w:hAnsi="微软雅黑" w:eastAsia="微软雅黑" w:cs="微软雅黑"/>
              <w:b/>
              <w:i w:val="0"/>
              <w:color w:val="1F4E79"/>
              <w:sz w:val="32"/>
            </w:rPr>
            <w:t>目  录</w:t>
          </w:r>
        </w:p>
        <w:p w14:paraId="3DAD3D15">
          <w:pPr>
            <w:pStyle w:val="9"/>
            <w:tabs>
              <w:tab w:val="right" w:leader="dot" w:pos="9461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instrText xml:space="preserve">TOC \o "1-3" \h \z \u </w:instrTex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instrText xml:space="preserve"> HYPERLINK \l _Toc22372 </w:instrTex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 xml:space="preserve">1. </w:t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灵山导览数字人介绍</w:t>
          </w:r>
          <w:r>
            <w:rPr>
              <w:rFonts w:hint="eastAsia" w:ascii="微软雅黑" w:hAnsi="微软雅黑" w:eastAsia="微软雅黑" w:cs="微软雅黑"/>
              <w:i w:val="0"/>
            </w:rPr>
            <w:tab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1</w: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end"/>
          </w:r>
        </w:p>
        <w:p w14:paraId="567AA888">
          <w:pPr>
            <w:pStyle w:val="10"/>
            <w:tabs>
              <w:tab w:val="right" w:leader="dot" w:pos="9461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instrText xml:space="preserve"> HYPERLINK \l _Toc19052 </w:instrTex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 xml:space="preserve">1.1 </w: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>产品简介</w:t>
          </w:r>
          <w:r>
            <w:rPr>
              <w:rFonts w:hint="eastAsia" w:ascii="微软雅黑" w:hAnsi="微软雅黑" w:eastAsia="微软雅黑" w:cs="微软雅黑"/>
              <w:i w:val="0"/>
            </w:rPr>
            <w:tab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1</w: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end"/>
          </w:r>
        </w:p>
        <w:p w14:paraId="2188553B">
          <w:pPr>
            <w:pStyle w:val="10"/>
            <w:tabs>
              <w:tab w:val="right" w:leader="dot" w:pos="9461"/>
            </w:tabs>
            <w:rPr>
              <w:rFonts w:hint="eastAsia" w:ascii="微软雅黑" w:hAnsi="微软雅黑" w:eastAsia="微软雅黑" w:cs="微软雅黑"/>
              <w:i w:val="0"/>
              <w:lang w:eastAsia="zh-CN"/>
            </w:rPr>
          </w:pP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instrText xml:space="preserve"> HYPERLINK \l _Toc31093 </w:instrTex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 xml:space="preserve">1.2 </w: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>功能特点</w:t>
          </w:r>
          <w:r>
            <w:rPr>
              <w:rFonts w:hint="eastAsia" w:ascii="微软雅黑" w:hAnsi="微软雅黑" w:eastAsia="微软雅黑" w:cs="微软雅黑"/>
              <w:i w:val="0"/>
            </w:rPr>
            <w:tab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2</w: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end"/>
          </w:r>
        </w:p>
        <w:p w14:paraId="5C039C68">
          <w:pPr>
            <w:pStyle w:val="10"/>
            <w:tabs>
              <w:tab w:val="right" w:leader="dot" w:pos="9461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instrText xml:space="preserve"> HYPERLINK \l _Toc19052 </w:instrTex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1.</w:t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3</w:t>
          </w:r>
          <w:r>
            <w:rPr>
              <w:rFonts w:hint="eastAsia" w:ascii="微软雅黑" w:hAnsi="微软雅黑" w:eastAsia="微软雅黑" w:cs="微软雅黑"/>
              <w:i w:val="0"/>
            </w:rPr>
            <w:t xml:space="preserve"> </w: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>应用场景</w:t>
          </w:r>
          <w:r>
            <w:rPr>
              <w:rFonts w:hint="eastAsia" w:ascii="微软雅黑" w:hAnsi="微软雅黑" w:eastAsia="微软雅黑" w:cs="微软雅黑"/>
              <w:i w:val="0"/>
            </w:rPr>
            <w:tab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3</w: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end"/>
          </w:r>
        </w:p>
        <w:p w14:paraId="4DCF2C27">
          <w:pPr>
            <w:pStyle w:val="9"/>
            <w:tabs>
              <w:tab w:val="right" w:leader="dot" w:pos="9461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instrText xml:space="preserve"> HYPERLINK \l _Toc4135 </w:instrTex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 xml:space="preserve">2. </w:t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环境要求</w:t>
          </w:r>
          <w:r>
            <w:rPr>
              <w:rFonts w:hint="eastAsia" w:ascii="微软雅黑" w:hAnsi="微软雅黑" w:eastAsia="微软雅黑" w:cs="微软雅黑"/>
              <w:i w:val="0"/>
            </w:rPr>
            <w:tab/>
          </w:r>
          <w:r>
            <w:rPr>
              <w:rFonts w:hint="eastAsia" w:cs="微软雅黑"/>
              <w:i w:val="0"/>
              <w:lang w:val="en-US" w:eastAsia="zh-CN"/>
            </w:rPr>
            <w:t>4</w: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end"/>
          </w:r>
        </w:p>
        <w:p w14:paraId="5E428EFF">
          <w:pPr>
            <w:pStyle w:val="10"/>
            <w:tabs>
              <w:tab w:val="right" w:leader="dot" w:pos="9461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instrText xml:space="preserve"> HYPERLINK \l _Toc27678 </w:instrTex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 xml:space="preserve">2.1 </w: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>推荐硬件</w:t>
          </w:r>
          <w:r>
            <w:rPr>
              <w:rFonts w:hint="eastAsia" w:ascii="微软雅黑" w:hAnsi="微软雅黑" w:eastAsia="微软雅黑" w:cs="微软雅黑"/>
              <w:i w:val="0"/>
            </w:rPr>
            <w:tab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4</w: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end"/>
          </w:r>
        </w:p>
        <w:p w14:paraId="07AF0075">
          <w:pPr>
            <w:pStyle w:val="10"/>
            <w:tabs>
              <w:tab w:val="right" w:leader="dot" w:pos="9461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instrText xml:space="preserve"> HYPERLINK \l _Toc5572 </w:instrTex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2.2</w: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 xml:space="preserve"> 环境与依赖</w:t>
          </w:r>
          <w:r>
            <w:rPr>
              <w:rFonts w:hint="eastAsia" w:ascii="微软雅黑" w:hAnsi="微软雅黑" w:eastAsia="微软雅黑" w:cs="微软雅黑"/>
              <w:i w:val="0"/>
            </w:rPr>
            <w:tab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4</w: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end"/>
          </w:r>
        </w:p>
        <w:p w14:paraId="3AEA9C85">
          <w:pPr>
            <w:pStyle w:val="9"/>
            <w:tabs>
              <w:tab w:val="right" w:leader="dot" w:pos="9461"/>
            </w:tabs>
            <w:rPr>
              <w:rFonts w:hint="eastAsia" w:ascii="微软雅黑" w:hAnsi="微软雅黑" w:eastAsia="微软雅黑" w:cs="微软雅黑"/>
              <w:lang w:val="en-US"/>
            </w:rPr>
          </w:pP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instrText xml:space="preserve"> HYPERLINK \l _Toc13163 </w:instrTex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 xml:space="preserve">3. </w:t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系统架构</w:t>
          </w:r>
          <w:r>
            <w:rPr>
              <w:rFonts w:hint="eastAsia" w:ascii="微软雅黑" w:hAnsi="微软雅黑" w:eastAsia="微软雅黑" w:cs="微软雅黑"/>
              <w:i w:val="0"/>
            </w:rPr>
            <w:tab/>
          </w:r>
          <w:r>
            <w:rPr>
              <w:rFonts w:hint="eastAsia" w:cs="微软雅黑"/>
              <w:i w:val="0"/>
              <w:lang w:val="en-US" w:eastAsia="zh-CN"/>
            </w:rPr>
            <w:t>5</w: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end"/>
          </w:r>
        </w:p>
        <w:p w14:paraId="57D98B72">
          <w:pPr>
            <w:pStyle w:val="9"/>
            <w:tabs>
              <w:tab w:val="right" w:leader="dot" w:pos="9461"/>
            </w:tabs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instrText xml:space="preserve"> HYPERLINK \l _Toc25053 </w:instrTex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>4. 首次部署</w: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ab/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fldChar w:fldCharType="end"/>
          </w:r>
          <w:r>
            <w:rPr>
              <w:rFonts w:hint="eastAsia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>6</w:t>
          </w:r>
        </w:p>
        <w:p w14:paraId="4D1C0404">
          <w:pPr>
            <w:pStyle w:val="10"/>
            <w:tabs>
              <w:tab w:val="right" w:leader="dot" w:pos="9461"/>
            </w:tabs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instrText xml:space="preserve"> HYPERLINK \l _Toc26041 </w:instrTex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>4.1 准备环境</w: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ab/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>6</w: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7AF04DDD">
          <w:pPr>
            <w:pStyle w:val="10"/>
            <w:tabs>
              <w:tab w:val="right" w:leader="dot" w:pos="9461"/>
            </w:tabs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instrText xml:space="preserve"> HYPERLINK \l _Toc8302 </w:instrTex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>4.2 构建游客行为库</w: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ab/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>6</w: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4431C65C">
          <w:pPr>
            <w:pStyle w:val="10"/>
            <w:tabs>
              <w:tab w:val="right" w:leader="dot" w:pos="9461"/>
            </w:tabs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instrText xml:space="preserve"> HYPERLINK \l _Toc26041 </w:instrTex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>4.3 构建景区知识库</w: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ab/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>6</w: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6299A4B6">
          <w:pPr>
            <w:pStyle w:val="10"/>
            <w:tabs>
              <w:tab w:val="right" w:leader="dot" w:pos="9461"/>
            </w:tabs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instrText xml:space="preserve"> HYPERLINK \l _Toc8302 </w:instrTex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>4.4 构建前端</w: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ab/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>7</w: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7568663D">
          <w:pPr>
            <w:pStyle w:val="10"/>
            <w:tabs>
              <w:tab w:val="right" w:leader="dot" w:pos="9461"/>
            </w:tabs>
            <w:rPr>
              <w:rFonts w:hint="eastAsia" w:ascii="微软雅黑" w:hAnsi="微软雅黑" w:eastAsia="微软雅黑" w:cs="微软雅黑"/>
              <w:i w:val="0"/>
              <w:lang w:eastAsia="zh-CN"/>
            </w:rPr>
          </w:pP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instrText xml:space="preserve"> HYPERLINK \l _Toc26041 </w:instrTex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>4.5 启动系统</w: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ab/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>7</w: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283FCBD2">
          <w:pPr>
            <w:pStyle w:val="9"/>
            <w:tabs>
              <w:tab w:val="right" w:leader="dot" w:pos="9461"/>
            </w:tabs>
            <w:rPr>
              <w:rFonts w:hint="eastAsia" w:ascii="微软雅黑" w:hAnsi="微软雅黑" w:eastAsia="微软雅黑" w:cs="微软雅黑"/>
              <w:lang w:val="en-US"/>
            </w:rPr>
          </w:pP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instrText xml:space="preserve"> HYPERLINK \l _Toc18816 </w:instrTex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 xml:space="preserve">5. </w:t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核心接口与统一响应契约说明</w:t>
          </w:r>
          <w:r>
            <w:rPr>
              <w:rFonts w:hint="eastAsia" w:ascii="微软雅黑" w:hAnsi="微软雅黑" w:eastAsia="微软雅黑" w:cs="微软雅黑"/>
              <w:i w:val="0"/>
            </w:rPr>
            <w:tab/>
          </w:r>
          <w:r>
            <w:rPr>
              <w:rFonts w:hint="eastAsia" w:cs="微软雅黑"/>
              <w:i w:val="0"/>
              <w:lang w:val="en-US" w:eastAsia="zh-CN"/>
            </w:rPr>
            <w:t>8</w: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end"/>
          </w:r>
        </w:p>
        <w:p w14:paraId="6E984C69">
          <w:pPr>
            <w:pStyle w:val="9"/>
            <w:tabs>
              <w:tab w:val="right" w:leader="dot" w:pos="9461"/>
            </w:tabs>
            <w:rPr>
              <w:rFonts w:hint="eastAsia" w:ascii="微软雅黑" w:hAnsi="微软雅黑" w:eastAsia="微软雅黑" w:cs="微软雅黑"/>
              <w:lang w:val="en-US"/>
            </w:rPr>
          </w:pP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instrText xml:space="preserve"> HYPERLINK \l _Toc19944 </w:instrTex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 xml:space="preserve">6. </w:t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日志与后台可观测性</w:t>
          </w:r>
          <w:r>
            <w:rPr>
              <w:rFonts w:hint="eastAsia" w:ascii="微软雅黑" w:hAnsi="微软雅黑" w:eastAsia="微软雅黑" w:cs="微软雅黑"/>
              <w:i w:val="0"/>
            </w:rPr>
            <w:tab/>
          </w:r>
          <w:r>
            <w:rPr>
              <w:rFonts w:hint="eastAsia" w:cs="微软雅黑"/>
              <w:i w:val="0"/>
              <w:lang w:val="en-US" w:eastAsia="zh-CN"/>
            </w:rPr>
            <w:t>9</w: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end"/>
          </w:r>
        </w:p>
        <w:p w14:paraId="7C02D0A0">
          <w:pPr>
            <w:pStyle w:val="9"/>
            <w:tabs>
              <w:tab w:val="right" w:leader="dot" w:pos="9461"/>
            </w:tabs>
            <w:rPr>
              <w:rFonts w:hint="eastAsia" w:cs="微软雅黑"/>
              <w:i w:val="0"/>
              <w:lang w:val="en-US" w:eastAsia="zh-CN"/>
            </w:rPr>
          </w:pP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instrText xml:space="preserve"> HYPERLINK \l _Toc23576 </w:instrTex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 xml:space="preserve">7. </w:t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常用命令</w:t>
          </w:r>
          <w:r>
            <w:rPr>
              <w:rFonts w:hint="eastAsia" w:ascii="微软雅黑" w:hAnsi="微软雅黑" w:eastAsia="微软雅黑" w:cs="微软雅黑"/>
              <w:i w:val="0"/>
            </w:rPr>
            <w:tab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1</w: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end"/>
          </w:r>
          <w:r>
            <w:rPr>
              <w:rFonts w:hint="eastAsia" w:cs="微软雅黑"/>
              <w:i w:val="0"/>
              <w:lang w:val="en-US" w:eastAsia="zh-CN"/>
            </w:rPr>
            <w:t>0</w:t>
          </w:r>
        </w:p>
        <w:p w14:paraId="2B848799">
          <w:pPr>
            <w:pStyle w:val="9"/>
            <w:tabs>
              <w:tab w:val="right" w:leader="dot" w:pos="9461"/>
            </w:tabs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instrText xml:space="preserve"> HYPERLINK \l _Toc23576 </w:instrTex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8</w:t>
          </w:r>
          <w:r>
            <w:rPr>
              <w:rFonts w:hint="eastAsia" w:ascii="微软雅黑" w:hAnsi="微软雅黑" w:eastAsia="微软雅黑" w:cs="微软雅黑"/>
              <w:i w:val="0"/>
            </w:rPr>
            <w:t xml:space="preserve">. </w:t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系统使用流程</w:t>
          </w:r>
          <w:r>
            <w:rPr>
              <w:rFonts w:hint="eastAsia" w:ascii="微软雅黑" w:hAnsi="微软雅黑" w:eastAsia="微软雅黑" w:cs="微软雅黑"/>
              <w:i w:val="0"/>
            </w:rPr>
            <w:tab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1</w: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1</w:t>
          </w:r>
        </w:p>
        <w:p w14:paraId="54AC610E">
          <w:pPr>
            <w:pStyle w:val="10"/>
            <w:tabs>
              <w:tab w:val="right" w:leader="dot" w:pos="9461"/>
            </w:tabs>
            <w:rPr>
              <w:rFonts w:hint="eastAsia" w:ascii="微软雅黑" w:hAnsi="微软雅黑" w:eastAsia="微软雅黑" w:cs="微软雅黑"/>
              <w:lang w:val="en-US"/>
            </w:rPr>
          </w:pP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instrText xml:space="preserve"> HYPERLINK \l _Toc19968 </w:instrTex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8</w:t>
          </w:r>
          <w:r>
            <w:rPr>
              <w:rFonts w:hint="eastAsia" w:ascii="微软雅黑" w:hAnsi="微软雅黑" w:eastAsia="微软雅黑" w:cs="微软雅黑"/>
              <w:i w:val="0"/>
            </w:rPr>
            <w:t xml:space="preserve">.1 </w: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>游客前台操作</w:t>
          </w:r>
          <w:r>
            <w:rPr>
              <w:rFonts w:hint="eastAsia" w:ascii="微软雅黑" w:hAnsi="微软雅黑" w:eastAsia="微软雅黑" w:cs="微软雅黑"/>
              <w:i w:val="0"/>
            </w:rPr>
            <w:tab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1</w: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1</w:t>
          </w:r>
        </w:p>
        <w:p w14:paraId="530F9088">
          <w:pPr>
            <w:pStyle w:val="10"/>
            <w:tabs>
              <w:tab w:val="right" w:leader="dot" w:pos="9461"/>
            </w:tabs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instrText xml:space="preserve"> HYPERLINK \l _Toc28729 </w:instrTex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8</w:t>
          </w:r>
          <w:r>
            <w:rPr>
              <w:rFonts w:hint="eastAsia" w:ascii="微软雅黑" w:hAnsi="微软雅黑" w:eastAsia="微软雅黑" w:cs="微软雅黑"/>
              <w:i w:val="0"/>
            </w:rPr>
            <w:t xml:space="preserve">.2 </w: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>管理后台操作</w:t>
          </w:r>
          <w:r>
            <w:rPr>
              <w:rFonts w:hint="eastAsia" w:ascii="微软雅黑" w:hAnsi="微软雅黑" w:eastAsia="微软雅黑" w:cs="微软雅黑"/>
              <w:i w:val="0"/>
            </w:rPr>
            <w:tab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1</w: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2</w:t>
          </w:r>
        </w:p>
        <w:p w14:paraId="451066A0">
          <w:pPr>
            <w:pStyle w:val="10"/>
            <w:tabs>
              <w:tab w:val="right" w:leader="dot" w:pos="9461"/>
            </w:tabs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instrText xml:space="preserve"> HYPERLINK \l _Toc19968 </w:instrTex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8</w:t>
          </w:r>
          <w:r>
            <w:rPr>
              <w:rFonts w:hint="eastAsia" w:ascii="微软雅黑" w:hAnsi="微软雅黑" w:eastAsia="微软雅黑" w:cs="微软雅黑"/>
              <w:i w:val="0"/>
            </w:rPr>
            <w:t>.</w:t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3</w:t>
          </w:r>
          <w:r>
            <w:rPr>
              <w:rFonts w:hint="eastAsia" w:ascii="微软雅黑" w:hAnsi="微软雅黑" w:eastAsia="微软雅黑" w:cs="微软雅黑"/>
              <w:i w:val="0"/>
            </w:rPr>
            <w:t xml:space="preserve"> </w: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>数字人配置管理</w:t>
          </w:r>
          <w:r>
            <w:rPr>
              <w:rFonts w:hint="eastAsia" w:ascii="微软雅黑" w:hAnsi="微软雅黑" w:eastAsia="微软雅黑" w:cs="微软雅黑"/>
              <w:i w:val="0"/>
            </w:rPr>
            <w:tab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1</w: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3</w:t>
          </w:r>
        </w:p>
        <w:p w14:paraId="5D543FD3">
          <w:pPr>
            <w:pStyle w:val="9"/>
            <w:tabs>
              <w:tab w:val="right" w:leader="dot" w:pos="9461"/>
            </w:tabs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instrText xml:space="preserve"> HYPERLINK \l _Toc23576 </w:instrTex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9</w:t>
          </w:r>
          <w:r>
            <w:rPr>
              <w:rFonts w:hint="eastAsia" w:ascii="微软雅黑" w:hAnsi="微软雅黑" w:eastAsia="微软雅黑" w:cs="微软雅黑"/>
              <w:i w:val="0"/>
            </w:rPr>
            <w:t xml:space="preserve">. </w:t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常见问题与异常排查</w:t>
          </w:r>
          <w:r>
            <w:rPr>
              <w:rFonts w:hint="eastAsia" w:ascii="微软雅黑" w:hAnsi="微软雅黑" w:eastAsia="微软雅黑" w:cs="微软雅黑"/>
              <w:i w:val="0"/>
            </w:rPr>
            <w:tab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1</w: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end"/>
          </w:r>
          <w:r>
            <w:rPr>
              <w:rFonts w:hint="eastAsia" w:cs="微软雅黑"/>
              <w:i w:val="0"/>
              <w:lang w:val="en-US" w:eastAsia="zh-CN"/>
            </w:rPr>
            <w:t>4</w:t>
          </w:r>
        </w:p>
        <w:p w14:paraId="557B4513">
          <w:pPr>
            <w:pStyle w:val="9"/>
            <w:tabs>
              <w:tab w:val="right" w:leader="dot" w:pos="9461"/>
            </w:tabs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instrText xml:space="preserve"> HYPERLINK \l _Toc23576 </w:instrTex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separate"/>
          </w:r>
          <w:r>
            <w:rPr>
              <w:rFonts w:hint="eastAsia" w:cs="微软雅黑"/>
              <w:i w:val="0"/>
              <w:lang w:val="en-US" w:eastAsia="zh-CN"/>
            </w:rPr>
            <w:t>10</w:t>
          </w:r>
          <w:r>
            <w:rPr>
              <w:rFonts w:hint="eastAsia" w:ascii="微软雅黑" w:hAnsi="微软雅黑" w:eastAsia="微软雅黑" w:cs="微软雅黑"/>
              <w:i w:val="0"/>
            </w:rPr>
            <w:t xml:space="preserve">. </w:t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常见问题与异常排查</w:t>
          </w:r>
          <w:r>
            <w:rPr>
              <w:rFonts w:hint="eastAsia" w:ascii="微软雅黑" w:hAnsi="微软雅黑" w:eastAsia="微软雅黑" w:cs="微软雅黑"/>
              <w:i w:val="0"/>
            </w:rPr>
            <w:tab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1</w: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end"/>
          </w:r>
          <w:r>
            <w:rPr>
              <w:rFonts w:hint="eastAsia" w:cs="微软雅黑"/>
              <w:i w:val="0"/>
              <w:lang w:val="en-US" w:eastAsia="zh-CN"/>
            </w:rPr>
            <w:t>5</w:t>
          </w:r>
        </w:p>
        <w:p w14:paraId="67DA82A3">
          <w:pPr>
            <w:pStyle w:val="10"/>
            <w:tabs>
              <w:tab w:val="right" w:leader="dot" w:pos="9461"/>
            </w:tabs>
            <w:rPr>
              <w:rFonts w:hint="eastAsia" w:ascii="微软雅黑" w:hAnsi="微软雅黑" w:eastAsia="微软雅黑" w:cs="微软雅黑"/>
              <w:lang w:val="en-US"/>
            </w:rPr>
          </w:pP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instrText xml:space="preserve"> HYPERLINK \l _Toc19968 </w:instrTex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10</w:t>
          </w:r>
          <w:r>
            <w:rPr>
              <w:rFonts w:hint="eastAsia" w:ascii="微软雅黑" w:hAnsi="微软雅黑" w:eastAsia="微软雅黑" w:cs="微软雅黑"/>
              <w:i w:val="0"/>
            </w:rPr>
            <w:t xml:space="preserve">.1 </w: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>语音识别失败</w:t>
          </w:r>
          <w:r>
            <w:rPr>
              <w:rFonts w:hint="eastAsia" w:ascii="微软雅黑" w:hAnsi="微软雅黑" w:eastAsia="微软雅黑" w:cs="微软雅黑"/>
              <w:i w:val="0"/>
            </w:rPr>
            <w:tab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1</w: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5</w:t>
          </w:r>
        </w:p>
        <w:p w14:paraId="34CFB773">
          <w:pPr>
            <w:pStyle w:val="10"/>
            <w:tabs>
              <w:tab w:val="right" w:leader="dot" w:pos="9461"/>
            </w:tabs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instrText xml:space="preserve"> HYPERLINK \l _Toc28729 </w:instrTex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10</w:t>
          </w:r>
          <w:r>
            <w:rPr>
              <w:rFonts w:hint="eastAsia" w:ascii="微软雅黑" w:hAnsi="微软雅黑" w:eastAsia="微软雅黑" w:cs="微软雅黑"/>
              <w:i w:val="0"/>
            </w:rPr>
            <w:t xml:space="preserve">.2 </w: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>数字人视频未生成</w:t>
          </w:r>
          <w:r>
            <w:rPr>
              <w:rFonts w:hint="eastAsia" w:ascii="微软雅黑" w:hAnsi="微软雅黑" w:eastAsia="微软雅黑" w:cs="微软雅黑"/>
              <w:i w:val="0"/>
            </w:rPr>
            <w:tab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1</w: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5</w:t>
          </w:r>
        </w:p>
        <w:p w14:paraId="63889C8C">
          <w:pPr>
            <w:pStyle w:val="10"/>
            <w:tabs>
              <w:tab w:val="right" w:leader="dot" w:pos="9461"/>
            </w:tabs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instrText xml:space="preserve"> HYPERLINK \l _Toc19968 </w:instrTex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10</w:t>
          </w:r>
          <w:r>
            <w:rPr>
              <w:rFonts w:hint="eastAsia" w:ascii="微软雅黑" w:hAnsi="微软雅黑" w:eastAsia="微软雅黑" w:cs="微软雅黑"/>
              <w:i w:val="0"/>
            </w:rPr>
            <w:t>.</w:t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3</w:t>
          </w:r>
          <w:r>
            <w:rPr>
              <w:rFonts w:hint="eastAsia" w:ascii="微软雅黑" w:hAnsi="微软雅黑" w:eastAsia="微软雅黑" w:cs="微软雅黑"/>
              <w:i w:val="0"/>
            </w:rPr>
            <w:t xml:space="preserve"> </w:t>
          </w:r>
          <w:r>
            <w:rPr>
              <w:rFonts w:hint="eastAsia" w:ascii="微软雅黑" w:hAnsi="微软雅黑" w:eastAsia="微软雅黑" w:cs="微软雅黑"/>
              <w:i w:val="0"/>
              <w:kern w:val="2"/>
              <w:sz w:val="22"/>
              <w:szCs w:val="24"/>
              <w:lang w:val="en-US" w:eastAsia="zh-CN" w:bidi="ar-SA"/>
              <w14:ligatures w14:val="standardContextual"/>
            </w:rPr>
            <w:t>后台图表为空</w:t>
          </w:r>
          <w:r>
            <w:rPr>
              <w:rFonts w:hint="eastAsia" w:ascii="微软雅黑" w:hAnsi="微软雅黑" w:eastAsia="微软雅黑" w:cs="微软雅黑"/>
              <w:i w:val="0"/>
            </w:rPr>
            <w:tab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1</w:t>
          </w: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5</w:t>
          </w:r>
        </w:p>
        <w:p w14:paraId="027B2989">
          <w:pPr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</w:p>
        <w:p w14:paraId="673CA81D">
          <w:pPr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</w:p>
        <w:p w14:paraId="04063AB0">
          <w:pPr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</w:p>
        <w:p w14:paraId="2B87810C">
          <w:pPr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</w:p>
        <w:p w14:paraId="0E667FAF">
          <w:pPr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</w:p>
        <w:p w14:paraId="7A63DE4C">
          <w:pPr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</w:p>
        <w:p w14:paraId="18662592">
          <w:pPr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</w:p>
        <w:p w14:paraId="21E8E8EF">
          <w:pPr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</w:p>
        <w:p w14:paraId="6AE3F492">
          <w:pPr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</w:p>
        <w:p w14:paraId="353A4DE4">
          <w:pPr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</w:p>
        <w:p w14:paraId="47EBE360">
          <w:pPr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</w:p>
        <w:p w14:paraId="23F0CA72">
          <w:pPr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</w:p>
        <w:p w14:paraId="05E0F54B">
          <w:pPr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</w:p>
        <w:p w14:paraId="76B32A33">
          <w:pPr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</w:p>
        <w:p w14:paraId="12FB1F1A">
          <w:pPr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</w:p>
        <w:p w14:paraId="53D479CE">
          <w:pPr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</w:p>
        <w:p w14:paraId="072AE18D">
          <w:pPr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</w:p>
        <w:p w14:paraId="50657BAE">
          <w:pPr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</w:p>
        <w:p w14:paraId="559DD152">
          <w:pPr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</w:p>
        <w:p w14:paraId="3648D1B7">
          <w:pPr>
            <w:rPr>
              <w:rFonts w:hint="eastAsia" w:ascii="微软雅黑" w:hAnsi="微软雅黑" w:eastAsia="微软雅黑" w:cs="微软雅黑"/>
              <w:i w:val="0"/>
              <w:lang w:val="en-US" w:eastAsia="zh-CN"/>
            </w:rPr>
          </w:pPr>
        </w:p>
        <w:p w14:paraId="1BBDF6EF">
          <w:pPr>
            <w:rPr>
              <w:rFonts w:hint="default" w:ascii="微软雅黑" w:hAnsi="微软雅黑" w:eastAsia="微软雅黑" w:cs="微软雅黑"/>
              <w:i w:val="0"/>
              <w:lang w:val="en-US" w:eastAsia="zh-CN"/>
            </w:rPr>
            <w:sectPr>
              <w:footerReference r:id="rId6" w:type="default"/>
              <w:pgSz w:w="11909" w:h="16834"/>
              <w:pgMar w:top="1224" w:right="1224" w:bottom="1080" w:left="1224" w:header="720" w:footer="720" w:gutter="0"/>
              <w:pgNumType w:start="1"/>
              <w:cols w:space="720" w:num="1"/>
              <w:docGrid w:linePitch="360" w:charSpace="0"/>
            </w:sectPr>
          </w:pPr>
        </w:p>
        <w:p w14:paraId="06F1C72C">
          <w:pPr>
            <w:pStyle w:val="6"/>
            <w:tabs>
              <w:tab w:val="right" w:leader="dot" w:pos="8296"/>
            </w:tabs>
            <w:spacing w:beforeAutospacing="0" w:after="0" w:line="240" w:lineRule="auto"/>
            <w:ind w:left="0" w:leftChars="0" w:firstLine="0" w:firstLineChars="0"/>
          </w:pPr>
          <w:r>
            <w:rPr>
              <w:rFonts w:hint="eastAsia" w:ascii="微软雅黑" w:hAnsi="微软雅黑" w:eastAsia="微软雅黑" w:cs="微软雅黑"/>
              <w:i w:val="0"/>
              <w:lang w:eastAsia="zh-CN"/>
            </w:rPr>
            <w:fldChar w:fldCharType="end"/>
          </w:r>
        </w:p>
      </w:sdtContent>
    </w:sdt>
    <w:p w14:paraId="784732A9">
      <w:pPr>
        <w:pStyle w:val="6"/>
        <w:tabs>
          <w:tab w:val="right" w:leader="dot" w:pos="8296"/>
        </w:tabs>
        <w:spacing w:after="0" w:line="240" w:lineRule="auto"/>
        <w:ind w:left="0" w:leftChars="0"/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  <w:t xml:space="preserve">1. </w:t>
      </w:r>
      <w:bookmarkEnd w:id="0"/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  <w:t>灵山导览数字人介绍</w:t>
      </w:r>
    </w:p>
    <w:p w14:paraId="0A4F1EB4">
      <w:pPr>
        <w:pStyle w:val="4"/>
        <w:spacing w:before="120" w:after="60"/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</w:pPr>
      <w:bookmarkStart w:id="1" w:name="_Toc206078969"/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  <w:t>1.1. 产品简介</w:t>
      </w:r>
      <w:bookmarkEnd w:id="1"/>
    </w:p>
    <w:p w14:paraId="56B919B9">
      <w:pPr>
        <w:spacing w:line="360" w:lineRule="auto"/>
        <w:ind w:firstLine="48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"灵山胜境导览服务 AI 数字人" 是基于人工智能技术开发的智慧景区导览系统，通过多模态交互（文本、语音、视频）提供可持续部署的智能导游服务。</w:t>
      </w:r>
    </w:p>
    <w:p w14:paraId="2691421B">
      <w:pPr>
        <w:spacing w:line="360" w:lineRule="auto"/>
        <w:ind w:firstLine="48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系统包含游客前台与管理后台两大模块，构建 "游客交互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</w:t>
      </w:r>
      <w:r>
        <w:rPr>
          <w:rFonts w:ascii="宋体" w:hAnsi="宋体" w:eastAsia="宋体" w:cs="宋体"/>
          <w:sz w:val="24"/>
          <w:szCs w:val="24"/>
        </w:rPr>
        <w:t>数据采集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</w:t>
      </w:r>
      <w:r>
        <w:rPr>
          <w:rFonts w:ascii="宋体" w:hAnsi="宋体" w:eastAsia="宋体" w:cs="宋体"/>
          <w:sz w:val="24"/>
          <w:szCs w:val="24"/>
        </w:rPr>
        <w:t>智能分析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</w:t>
      </w:r>
      <w:r>
        <w:rPr>
          <w:rFonts w:ascii="宋体" w:hAnsi="宋体" w:eastAsia="宋体" w:cs="宋体"/>
          <w:sz w:val="24"/>
          <w:szCs w:val="24"/>
        </w:rPr>
        <w:t>服务优化" 的一体化体系，为游客提供沉浸式导览体验，同时帮助景区管理者实现数字化运营。</w:t>
      </w:r>
    </w:p>
    <w:p w14:paraId="0A2DA7A1">
      <w:pPr>
        <w:ind w:firstLine="480"/>
        <w:jc w:val="left"/>
        <w:rPr>
          <w:rFonts w:ascii="宋体" w:hAnsi="宋体" w:eastAsia="宋体" w:cs="宋体"/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-45720</wp:posOffset>
            </wp:positionH>
            <wp:positionV relativeFrom="paragraph">
              <wp:posOffset>154305</wp:posOffset>
            </wp:positionV>
            <wp:extent cx="5272405" cy="4451985"/>
            <wp:effectExtent l="0" t="0" r="10795" b="571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5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A6F1B7">
      <w:pPr>
        <w:ind w:firstLine="480"/>
        <w:jc w:val="left"/>
        <w:rPr>
          <w:rFonts w:hint="eastAsia" w:ascii="宋体" w:hAnsi="宋体" w:eastAsia="宋体"/>
          <w:b/>
          <w:bCs/>
          <w:sz w:val="32"/>
          <w:szCs w:val="32"/>
        </w:rPr>
      </w:pPr>
    </w:p>
    <w:p w14:paraId="24BE16B3">
      <w:pPr>
        <w:ind w:firstLine="480"/>
        <w:jc w:val="left"/>
        <w:rPr>
          <w:rFonts w:hint="eastAsia" w:ascii="宋体" w:hAnsi="宋体" w:eastAsia="宋体"/>
          <w:b/>
          <w:bCs/>
          <w:sz w:val="32"/>
          <w:szCs w:val="32"/>
        </w:rPr>
      </w:pPr>
    </w:p>
    <w:p w14:paraId="14ACB1A6">
      <w:pPr>
        <w:ind w:firstLine="480"/>
        <w:jc w:val="left"/>
        <w:rPr>
          <w:rFonts w:hint="eastAsia" w:ascii="宋体" w:hAnsi="宋体" w:eastAsia="宋体"/>
          <w:b/>
          <w:bCs/>
          <w:sz w:val="32"/>
          <w:szCs w:val="32"/>
        </w:rPr>
      </w:pPr>
    </w:p>
    <w:p w14:paraId="022D2527">
      <w:pPr>
        <w:ind w:firstLine="480"/>
        <w:jc w:val="left"/>
        <w:rPr>
          <w:rFonts w:hint="eastAsia" w:ascii="宋体" w:hAnsi="宋体" w:eastAsia="宋体"/>
          <w:b/>
          <w:bCs/>
          <w:sz w:val="32"/>
          <w:szCs w:val="32"/>
        </w:rPr>
      </w:pPr>
    </w:p>
    <w:p w14:paraId="2D1B3A28">
      <w:pPr>
        <w:ind w:firstLine="480"/>
        <w:jc w:val="left"/>
        <w:rPr>
          <w:rFonts w:hint="eastAsia" w:ascii="宋体" w:hAnsi="宋体" w:eastAsia="宋体"/>
          <w:b/>
          <w:bCs/>
          <w:sz w:val="32"/>
          <w:szCs w:val="32"/>
        </w:rPr>
      </w:pPr>
    </w:p>
    <w:p w14:paraId="6D84B374">
      <w:pPr>
        <w:ind w:firstLine="480"/>
        <w:jc w:val="left"/>
        <w:rPr>
          <w:rFonts w:hint="eastAsia" w:ascii="宋体" w:hAnsi="宋体" w:eastAsia="宋体"/>
          <w:b/>
          <w:bCs/>
          <w:sz w:val="32"/>
          <w:szCs w:val="32"/>
        </w:rPr>
      </w:pPr>
    </w:p>
    <w:p w14:paraId="18889141">
      <w:pPr>
        <w:ind w:firstLine="480"/>
        <w:jc w:val="left"/>
        <w:rPr>
          <w:rFonts w:hint="eastAsia" w:ascii="宋体" w:hAnsi="宋体" w:eastAsia="宋体"/>
          <w:b/>
          <w:bCs/>
          <w:sz w:val="32"/>
          <w:szCs w:val="32"/>
        </w:rPr>
      </w:pPr>
    </w:p>
    <w:p w14:paraId="7A265820">
      <w:pPr>
        <w:jc w:val="left"/>
        <w:rPr>
          <w:rFonts w:hint="eastAsia" w:ascii="宋体" w:hAnsi="宋体" w:eastAsia="宋体"/>
          <w:b/>
          <w:bCs/>
          <w:sz w:val="32"/>
          <w:szCs w:val="32"/>
        </w:rPr>
      </w:pPr>
    </w:p>
    <w:p w14:paraId="0D5B3D9E">
      <w:pPr>
        <w:jc w:val="left"/>
        <w:rPr>
          <w:rFonts w:hint="eastAsia" w:ascii="宋体" w:hAnsi="宋体" w:eastAsia="宋体"/>
          <w:b/>
          <w:bCs/>
          <w:sz w:val="32"/>
          <w:szCs w:val="32"/>
        </w:rPr>
      </w:pPr>
    </w:p>
    <w:p w14:paraId="09ECCE9E">
      <w:pPr>
        <w:pStyle w:val="5"/>
        <w:ind w:firstLine="2640" w:firstLineChars="11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灵山胜境导览服务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数字人</w:t>
      </w:r>
    </w:p>
    <w:p w14:paraId="28F7591C">
      <w:pPr>
        <w:pStyle w:val="4"/>
        <w:spacing w:before="120" w:after="60"/>
        <w:rPr>
          <w:rFonts w:hint="eastAsia"/>
        </w:rPr>
      </w:pPr>
      <w:bookmarkStart w:id="2" w:name="_Toc206078970"/>
    </w:p>
    <w:p w14:paraId="3C4B59BE">
      <w:pPr>
        <w:rPr>
          <w:rFonts w:hint="eastAsia"/>
        </w:rPr>
      </w:pPr>
    </w:p>
    <w:p w14:paraId="29DCA59D">
      <w:pPr>
        <w:pStyle w:val="4"/>
        <w:spacing w:before="120" w:after="60"/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  <w:t>1.2. 功能特点</w:t>
      </w:r>
      <w:bookmarkEnd w:id="2"/>
    </w:p>
    <w:p w14:paraId="5F55907E">
      <w:pPr>
        <w:numPr>
          <w:ilvl w:val="0"/>
          <w:numId w:val="0"/>
        </w:numPr>
        <w:rPr>
          <w:rFonts w:ascii="宋体" w:hAnsi="宋体" w:eastAsia="宋体"/>
          <w:sz w:val="24"/>
        </w:rPr>
      </w:pPr>
      <w:bookmarkStart w:id="3" w:name="_Toc206078971"/>
      <w:r>
        <w:rPr>
          <w:rFonts w:hint="eastAsia" w:ascii="宋体" w:hAnsi="宋体" w:eastAsia="宋体"/>
          <w:sz w:val="24"/>
          <w:lang w:val="en-US" w:eastAsia="zh-CN"/>
        </w:rPr>
        <w:t>1.</w:t>
      </w:r>
      <w:r>
        <w:rPr>
          <w:rFonts w:ascii="宋体" w:hAnsi="宋体" w:eastAsia="宋体"/>
          <w:sz w:val="24"/>
        </w:rPr>
        <w:t>多模态智能交互</w:t>
      </w:r>
    </w:p>
    <w:p w14:paraId="66516F13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支持</w:t>
      </w:r>
      <w:r>
        <w:rPr>
          <w:rFonts w:ascii="宋体" w:hAnsi="宋体" w:eastAsia="宋体"/>
          <w:b/>
          <w:bCs/>
          <w:color w:val="auto"/>
          <w:sz w:val="24"/>
        </w:rPr>
        <w:t>文本输入与语音输入</w:t>
      </w:r>
      <w:r>
        <w:rPr>
          <w:rFonts w:ascii="宋体" w:hAnsi="宋体" w:eastAsia="宋体"/>
          <w:sz w:val="24"/>
        </w:rPr>
        <w:t>两种交互方式</w:t>
      </w:r>
    </w:p>
    <w:p w14:paraId="1B3D99ED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数字人以</w:t>
      </w:r>
      <w:r>
        <w:rPr>
          <w:rFonts w:ascii="宋体" w:hAnsi="宋体" w:eastAsia="宋体"/>
          <w:b/>
          <w:bCs/>
          <w:sz w:val="24"/>
        </w:rPr>
        <w:t>语音、表情和口型</w:t>
      </w:r>
      <w:r>
        <w:rPr>
          <w:rFonts w:ascii="宋体" w:hAnsi="宋体" w:eastAsia="宋体"/>
          <w:sz w:val="24"/>
        </w:rPr>
        <w:t>同步的方式进行回答</w:t>
      </w:r>
    </w:p>
    <w:p w14:paraId="7F694269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提供流畅的视频流展示，实现沉浸式导览体验</w:t>
      </w:r>
    </w:p>
    <w:p w14:paraId="75EE5738">
      <w:pPr>
        <w:numPr>
          <w:ilvl w:val="0"/>
          <w:numId w:val="0"/>
        </w:numPr>
        <w:rPr>
          <w:rFonts w:ascii="宋体" w:hAnsi="宋体" w:eastAsia="宋体"/>
          <w:sz w:val="24"/>
        </w:rPr>
      </w:pPr>
    </w:p>
    <w:p w14:paraId="4094AA46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>2.</w:t>
      </w:r>
      <w:r>
        <w:rPr>
          <w:rFonts w:ascii="宋体" w:hAnsi="宋体" w:eastAsia="宋体"/>
          <w:sz w:val="24"/>
        </w:rPr>
        <w:t>精准知识问答</w:t>
      </w:r>
    </w:p>
    <w:p w14:paraId="4C12681A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基于本地景区知识库构建，确保回答准确性</w:t>
      </w:r>
    </w:p>
    <w:p w14:paraId="0D469307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支持景点介绍、历史文化、开放信息、位置说明等多类问题</w:t>
      </w:r>
    </w:p>
    <w:p w14:paraId="2C63CA39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采用 Agent 工具调用 + RAG 检索增强技术，根据工具 observation 自动决定继续检索、追问或回答</w:t>
      </w:r>
    </w:p>
    <w:p w14:paraId="71A21BEC">
      <w:pPr>
        <w:numPr>
          <w:ilvl w:val="0"/>
          <w:numId w:val="0"/>
        </w:numPr>
        <w:rPr>
          <w:rFonts w:ascii="宋体" w:hAnsi="宋体" w:eastAsia="宋体"/>
          <w:sz w:val="24"/>
        </w:rPr>
      </w:pPr>
    </w:p>
    <w:p w14:paraId="63EFB85A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>3.</w:t>
      </w:r>
      <w:r>
        <w:rPr>
          <w:rFonts w:ascii="宋体" w:hAnsi="宋体" w:eastAsia="宋体"/>
          <w:sz w:val="24"/>
        </w:rPr>
        <w:t>个性化路线推荐</w:t>
      </w:r>
    </w:p>
    <w:p w14:paraId="2B0C75E8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基于固定标签集合 + LLM 归类的推荐算法</w:t>
      </w:r>
    </w:p>
    <w:p w14:paraId="234164EE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支持根据游客兴趣生成定制化游览路线</w:t>
      </w:r>
    </w:p>
    <w:p w14:paraId="774117C7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结合游客行为数据优化推荐结果</w:t>
      </w:r>
    </w:p>
    <w:p w14:paraId="07DBA475">
      <w:pPr>
        <w:numPr>
          <w:ilvl w:val="0"/>
          <w:numId w:val="0"/>
        </w:numPr>
        <w:rPr>
          <w:rFonts w:ascii="宋体" w:hAnsi="宋体" w:eastAsia="宋体"/>
          <w:sz w:val="24"/>
        </w:rPr>
      </w:pPr>
    </w:p>
    <w:p w14:paraId="6EEC6967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>4.</w:t>
      </w:r>
      <w:r>
        <w:rPr>
          <w:rFonts w:ascii="宋体" w:hAnsi="宋体" w:eastAsia="宋体"/>
          <w:sz w:val="24"/>
        </w:rPr>
        <w:t>数字化运营管理</w:t>
      </w:r>
    </w:p>
    <w:p w14:paraId="26397D78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提供数据大屏概览，展示核心运营指标</w:t>
      </w:r>
    </w:p>
    <w:p w14:paraId="74B2499C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支持游客行为分析与满意度趋势统计</w:t>
      </w:r>
    </w:p>
    <w:p w14:paraId="7B1D50C9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提供失败样例回看与系统运维功能</w:t>
      </w:r>
    </w:p>
    <w:p w14:paraId="2886B88F">
      <w:pPr>
        <w:numPr>
          <w:ilvl w:val="0"/>
          <w:numId w:val="0"/>
        </w:numPr>
        <w:rPr>
          <w:rFonts w:ascii="宋体" w:hAnsi="宋体" w:eastAsia="宋体"/>
          <w:sz w:val="24"/>
        </w:rPr>
      </w:pPr>
    </w:p>
    <w:p w14:paraId="6388A0A3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高可靠 RAG 问答</w:t>
      </w:r>
    </w:p>
    <w:p w14:paraId="0C755F78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采用 Agent 工具循环架构：QueryPlanner 生成首步计划，ToolRunner 统一调用景区事实、DOCX 检索、行为 SQL 和路线规划工具，AgentLoopController 基于 observation 决定最终答复或继续处理。</w:t>
      </w:r>
    </w:p>
    <w:p w14:paraId="76D583E3">
      <w:pPr>
        <w:pStyle w:val="4"/>
        <w:spacing w:before="120" w:after="60"/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  <w:t>1.3 应用场景</w:t>
      </w:r>
      <w:bookmarkEnd w:id="3"/>
    </w:p>
    <w:p w14:paraId="59D9E367">
      <w:pPr>
        <w:numPr>
          <w:ilvl w:val="0"/>
          <w:numId w:val="0"/>
        </w:numPr>
        <w:rPr>
          <w:rFonts w:ascii="宋体" w:hAnsi="宋体" w:eastAsia="宋体"/>
          <w:sz w:val="24"/>
        </w:rPr>
      </w:pPr>
      <w:bookmarkStart w:id="4" w:name="_Toc206078972"/>
      <w:r>
        <w:rPr>
          <w:rFonts w:hint="eastAsia" w:ascii="宋体" w:hAnsi="宋体" w:eastAsia="宋体"/>
          <w:sz w:val="24"/>
          <w:lang w:val="en-US" w:eastAsia="zh-CN"/>
        </w:rPr>
        <w:t>1.</w:t>
      </w:r>
      <w:r>
        <w:rPr>
          <w:rFonts w:ascii="宋体" w:hAnsi="宋体" w:eastAsia="宋体"/>
          <w:sz w:val="24"/>
        </w:rPr>
        <w:t>景区智能导览</w:t>
      </w:r>
    </w:p>
    <w:p w14:paraId="0023E443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功能实现：</w:t>
      </w:r>
    </w:p>
    <w:p w14:paraId="6B9A744D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eastAsia="zh-CN"/>
        </w:rPr>
        <w:t>（1）游客通过部署入口进入系统</w:t>
      </w:r>
    </w:p>
    <w:p w14:paraId="31976710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eastAsia="zh-CN"/>
        </w:rPr>
        <w:t>（</w:t>
      </w:r>
      <w:r>
        <w:rPr>
          <w:rFonts w:hint="eastAsia" w:ascii="宋体" w:hAnsi="宋体" w:eastAsia="宋体"/>
          <w:sz w:val="24"/>
          <w:lang w:val="en-US" w:eastAsia="zh-CN"/>
        </w:rPr>
        <w:t>2</w:t>
      </w:r>
      <w:r>
        <w:rPr>
          <w:rFonts w:hint="eastAsia" w:ascii="宋体" w:hAnsi="宋体" w:eastAsia="宋体"/>
          <w:sz w:val="24"/>
          <w:lang w:eastAsia="zh-CN"/>
        </w:rPr>
        <w:t>）</w:t>
      </w:r>
      <w:r>
        <w:rPr>
          <w:rFonts w:ascii="宋体" w:hAnsi="宋体" w:eastAsia="宋体"/>
          <w:sz w:val="24"/>
        </w:rPr>
        <w:t>支持文本与语音提问，获取景点信息</w:t>
      </w:r>
    </w:p>
    <w:p w14:paraId="351CC4A8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eastAsia="zh-CN"/>
        </w:rPr>
        <w:t>（</w:t>
      </w:r>
      <w:r>
        <w:rPr>
          <w:rFonts w:hint="eastAsia" w:ascii="宋体" w:hAnsi="宋体" w:eastAsia="宋体"/>
          <w:sz w:val="24"/>
          <w:lang w:val="en-US" w:eastAsia="zh-CN"/>
        </w:rPr>
        <w:t>3</w:t>
      </w:r>
      <w:r>
        <w:rPr>
          <w:rFonts w:hint="eastAsia" w:ascii="宋体" w:hAnsi="宋体" w:eastAsia="宋体"/>
          <w:sz w:val="24"/>
          <w:lang w:eastAsia="zh-CN"/>
        </w:rPr>
        <w:t>）</w:t>
      </w:r>
      <w:r>
        <w:rPr>
          <w:rFonts w:ascii="宋体" w:hAnsi="宋体" w:eastAsia="宋体"/>
          <w:sz w:val="24"/>
        </w:rPr>
        <w:t>提供个性化游览路线推荐</w:t>
      </w:r>
    </w:p>
    <w:p w14:paraId="3862FAF3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eastAsia="zh-CN"/>
        </w:rPr>
        <w:t>（</w:t>
      </w:r>
      <w:r>
        <w:rPr>
          <w:rFonts w:hint="eastAsia" w:ascii="宋体" w:hAnsi="宋体" w:eastAsia="宋体"/>
          <w:sz w:val="24"/>
          <w:lang w:val="en-US" w:eastAsia="zh-CN"/>
        </w:rPr>
        <w:t>4</w:t>
      </w:r>
      <w:r>
        <w:rPr>
          <w:rFonts w:hint="eastAsia" w:ascii="宋体" w:hAnsi="宋体" w:eastAsia="宋体"/>
          <w:sz w:val="24"/>
          <w:lang w:eastAsia="zh-CN"/>
        </w:rPr>
        <w:t>）</w:t>
      </w:r>
      <w:r>
        <w:rPr>
          <w:rFonts w:ascii="宋体" w:hAnsi="宋体" w:eastAsia="宋体"/>
          <w:sz w:val="24"/>
        </w:rPr>
        <w:t>弱 GPS 环境下的多轮问路服务</w:t>
      </w:r>
    </w:p>
    <w:p w14:paraId="122AA55A">
      <w:pPr>
        <w:numPr>
          <w:ilvl w:val="0"/>
          <w:numId w:val="0"/>
        </w:numPr>
        <w:rPr>
          <w:rFonts w:ascii="宋体" w:hAnsi="宋体" w:eastAsia="宋体"/>
          <w:sz w:val="24"/>
        </w:rPr>
      </w:pPr>
    </w:p>
    <w:p w14:paraId="2061CFCC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>2.</w:t>
      </w:r>
      <w:r>
        <w:rPr>
          <w:rFonts w:ascii="宋体" w:hAnsi="宋体" w:eastAsia="宋体"/>
          <w:sz w:val="24"/>
        </w:rPr>
        <w:t>景区运营管理</w:t>
      </w:r>
    </w:p>
    <w:p w14:paraId="1D120505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功能实现：</w:t>
      </w:r>
    </w:p>
    <w:p w14:paraId="212059DE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eastAsia="zh-CN"/>
        </w:rPr>
        <w:t>（1）查看当前系统运行状态与服务数据</w:t>
      </w:r>
    </w:p>
    <w:p w14:paraId="342A44A7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eastAsia="zh-CN"/>
        </w:rPr>
        <w:t>（</w:t>
      </w:r>
      <w:r>
        <w:rPr>
          <w:rFonts w:hint="eastAsia" w:ascii="宋体" w:hAnsi="宋体" w:eastAsia="宋体"/>
          <w:sz w:val="24"/>
          <w:lang w:val="en-US" w:eastAsia="zh-CN"/>
        </w:rPr>
        <w:t>2</w:t>
      </w:r>
      <w:r>
        <w:rPr>
          <w:rFonts w:hint="eastAsia" w:ascii="宋体" w:hAnsi="宋体" w:eastAsia="宋体"/>
          <w:sz w:val="24"/>
          <w:lang w:eastAsia="zh-CN"/>
        </w:rPr>
        <w:t>）</w:t>
      </w:r>
      <w:r>
        <w:rPr>
          <w:rFonts w:ascii="宋体" w:hAnsi="宋体" w:eastAsia="宋体"/>
          <w:sz w:val="24"/>
        </w:rPr>
        <w:t>管理景区知识库，更新讲解内容</w:t>
      </w:r>
    </w:p>
    <w:p w14:paraId="1082E83D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eastAsia="zh-CN"/>
        </w:rPr>
        <w:t>（</w:t>
      </w:r>
      <w:r>
        <w:rPr>
          <w:rFonts w:hint="eastAsia" w:ascii="宋体" w:hAnsi="宋体" w:eastAsia="宋体"/>
          <w:sz w:val="24"/>
          <w:lang w:val="en-US" w:eastAsia="zh-CN"/>
        </w:rPr>
        <w:t>3</w:t>
      </w:r>
      <w:r>
        <w:rPr>
          <w:rFonts w:hint="eastAsia" w:ascii="宋体" w:hAnsi="宋体" w:eastAsia="宋体"/>
          <w:sz w:val="24"/>
          <w:lang w:eastAsia="zh-CN"/>
        </w:rPr>
        <w:t>）</w:t>
      </w:r>
      <w:r>
        <w:rPr>
          <w:rFonts w:ascii="宋体" w:hAnsi="宋体" w:eastAsia="宋体"/>
          <w:sz w:val="24"/>
        </w:rPr>
        <w:t>配置数字人形象、音色与画质</w:t>
      </w:r>
    </w:p>
    <w:p w14:paraId="57088A6A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eastAsia="zh-CN"/>
        </w:rPr>
        <w:t>（</w:t>
      </w:r>
      <w:r>
        <w:rPr>
          <w:rFonts w:hint="eastAsia" w:ascii="宋体" w:hAnsi="宋体" w:eastAsia="宋体"/>
          <w:sz w:val="24"/>
          <w:lang w:val="en-US" w:eastAsia="zh-CN"/>
        </w:rPr>
        <w:t>4</w:t>
      </w:r>
      <w:r>
        <w:rPr>
          <w:rFonts w:hint="eastAsia" w:ascii="宋体" w:hAnsi="宋体" w:eastAsia="宋体"/>
          <w:sz w:val="24"/>
          <w:lang w:eastAsia="zh-CN"/>
        </w:rPr>
        <w:t>）</w:t>
      </w:r>
      <w:r>
        <w:rPr>
          <w:rFonts w:ascii="宋体" w:hAnsi="宋体" w:eastAsia="宋体"/>
          <w:sz w:val="24"/>
        </w:rPr>
        <w:t>分析游客行为数据，优化景区服务</w:t>
      </w:r>
    </w:p>
    <w:p w14:paraId="093B4567">
      <w:pPr>
        <w:numPr>
          <w:ilvl w:val="0"/>
          <w:numId w:val="0"/>
        </w:numPr>
        <w:rPr>
          <w:rFonts w:ascii="宋体" w:hAnsi="宋体" w:eastAsia="宋体"/>
          <w:sz w:val="24"/>
        </w:rPr>
      </w:pPr>
    </w:p>
    <w:p w14:paraId="56A03A57">
      <w:pPr>
        <w:numPr>
          <w:ilvl w:val="0"/>
          <w:numId w:val="0"/>
        </w:numPr>
        <w:rPr>
          <w:rFonts w:ascii="宋体" w:hAnsi="宋体" w:eastAsia="宋体"/>
          <w:sz w:val="24"/>
        </w:rPr>
      </w:pPr>
    </w:p>
    <w:p w14:paraId="0BD9BE2B">
      <w:pPr>
        <w:numPr>
          <w:ilvl w:val="0"/>
          <w:numId w:val="0"/>
        </w:numPr>
        <w:rPr>
          <w:rFonts w:ascii="宋体" w:hAnsi="宋体" w:eastAsia="宋体"/>
          <w:sz w:val="24"/>
        </w:rPr>
      </w:pPr>
    </w:p>
    <w:p w14:paraId="118B6EDF">
      <w:pPr>
        <w:numPr>
          <w:ilvl w:val="0"/>
          <w:numId w:val="0"/>
        </w:numPr>
        <w:rPr>
          <w:rFonts w:ascii="宋体" w:hAnsi="宋体" w:eastAsia="宋体"/>
          <w:sz w:val="24"/>
        </w:rPr>
      </w:pPr>
    </w:p>
    <w:p w14:paraId="578B80F4">
      <w:pPr>
        <w:numPr>
          <w:ilvl w:val="0"/>
          <w:numId w:val="0"/>
        </w:numPr>
        <w:rPr>
          <w:rFonts w:ascii="宋体" w:hAnsi="宋体" w:eastAsia="宋体"/>
          <w:sz w:val="24"/>
        </w:rPr>
      </w:pPr>
    </w:p>
    <w:p w14:paraId="13634BF6">
      <w:pPr>
        <w:numPr>
          <w:ilvl w:val="0"/>
          <w:numId w:val="0"/>
        </w:numPr>
        <w:rPr>
          <w:rFonts w:ascii="宋体" w:hAnsi="宋体" w:eastAsia="宋体"/>
          <w:sz w:val="24"/>
        </w:rPr>
      </w:pPr>
    </w:p>
    <w:p w14:paraId="6DFD19FD">
      <w:pPr>
        <w:numPr>
          <w:ilvl w:val="0"/>
          <w:numId w:val="0"/>
        </w:numPr>
        <w:rPr>
          <w:rFonts w:ascii="宋体" w:hAnsi="宋体" w:eastAsia="宋体"/>
          <w:sz w:val="24"/>
        </w:rPr>
      </w:pPr>
    </w:p>
    <w:p w14:paraId="78178735">
      <w:pPr>
        <w:numPr>
          <w:ilvl w:val="0"/>
          <w:numId w:val="0"/>
        </w:numPr>
        <w:rPr>
          <w:rFonts w:ascii="宋体" w:hAnsi="宋体" w:eastAsia="宋体"/>
          <w:sz w:val="24"/>
        </w:rPr>
      </w:pPr>
    </w:p>
    <w:p w14:paraId="50168740">
      <w:pPr>
        <w:numPr>
          <w:ilvl w:val="0"/>
          <w:numId w:val="0"/>
        </w:numPr>
        <w:rPr>
          <w:rFonts w:ascii="宋体" w:hAnsi="宋体" w:eastAsia="宋体"/>
          <w:sz w:val="24"/>
        </w:rPr>
      </w:pPr>
    </w:p>
    <w:p w14:paraId="78D60402">
      <w:pPr>
        <w:numPr>
          <w:ilvl w:val="0"/>
          <w:numId w:val="0"/>
        </w:numPr>
        <w:rPr>
          <w:rFonts w:ascii="宋体" w:hAnsi="宋体" w:eastAsia="宋体"/>
          <w:sz w:val="24"/>
        </w:rPr>
      </w:pPr>
    </w:p>
    <w:p w14:paraId="1C913ABF">
      <w:pPr>
        <w:numPr>
          <w:ilvl w:val="0"/>
          <w:numId w:val="0"/>
        </w:numPr>
        <w:rPr>
          <w:rFonts w:ascii="宋体" w:hAnsi="宋体" w:eastAsia="宋体"/>
          <w:sz w:val="24"/>
        </w:rPr>
      </w:pPr>
    </w:p>
    <w:p w14:paraId="3D59DBDA">
      <w:pPr>
        <w:pStyle w:val="4"/>
        <w:spacing w:before="120" w:after="60"/>
        <w:rPr>
          <w:rFonts w:hint="default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  <w:t>2.</w:t>
      </w:r>
      <w:bookmarkEnd w:id="4"/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  <w:t>环境要求</w:t>
      </w:r>
    </w:p>
    <w:p w14:paraId="01CEE655">
      <w:pPr>
        <w:pStyle w:val="4"/>
        <w:spacing w:before="120" w:after="60"/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</w:pPr>
      <w:r>
        <w:rPr>
          <w:rFonts w:hint="default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  <w:t>2.1 推荐硬件</w:t>
      </w:r>
    </w:p>
    <w:tbl>
      <w:tblPr>
        <w:tblStyle w:val="21"/>
        <w:tblpPr w:leftFromText="180" w:rightFromText="180" w:vertAnchor="text" w:horzAnchor="page" w:tblpX="3328" w:tblpY="225"/>
        <w:tblOverlap w:val="never"/>
        <w:tblW w:w="5170" w:type="dxa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0"/>
        <w:gridCol w:w="3800"/>
      </w:tblGrid>
      <w:tr w14:paraId="46FB56F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4874CB" w:themeFill="accent1"/>
            <w:noWrap/>
          </w:tcPr>
          <w:p w14:paraId="2C06ED60">
            <w:pPr>
              <w:spacing w:after="0" w:line="240" w:lineRule="auto"/>
              <w:jc w:val="center"/>
              <w:rPr>
                <w:rFonts w:hint="eastAsia" w:ascii="宋体" w:hAnsi="宋体" w:eastAsia="宋体"/>
                <w:b w:val="0"/>
                <w:bCs w:val="0"/>
                <w:color w:val="FFFFFF"/>
                <w:sz w:val="21"/>
                <w:szCs w:val="21"/>
                <w:lang w:eastAsia="zh-CN"/>
              </w:rPr>
            </w:pPr>
            <w:bookmarkStart w:id="5" w:name="_Toc206078974"/>
            <w:r>
              <w:rPr>
                <w:rFonts w:hint="eastAsia" w:ascii="宋体" w:hAnsi="宋体" w:eastAsia="宋体"/>
                <w:b/>
                <w:bCs/>
                <w:color w:val="FFFFFF"/>
                <w:sz w:val="21"/>
                <w:szCs w:val="21"/>
                <w:lang w:val="en-US" w:eastAsia="zh-CN"/>
              </w:rPr>
              <w:t>项目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4874CB" w:themeFill="accent1"/>
            <w:noWrap/>
          </w:tcPr>
          <w:p w14:paraId="55D872D1">
            <w:pPr>
              <w:spacing w:after="0" w:line="240" w:lineRule="auto"/>
              <w:ind w:firstLine="843" w:firstLineChars="400"/>
              <w:jc w:val="both"/>
              <w:rPr>
                <w:rFonts w:hint="eastAsia" w:ascii="宋体" w:hAnsi="宋体" w:eastAsia="宋体"/>
                <w:b w:val="0"/>
                <w:bCs w:val="0"/>
                <w:color w:val="FFFFFF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color w:val="FFFFFF"/>
                <w:sz w:val="21"/>
                <w:szCs w:val="21"/>
                <w:lang w:val="en-US" w:eastAsia="zh-CN"/>
              </w:rPr>
              <w:t>建议配置</w:t>
            </w:r>
          </w:p>
        </w:tc>
      </w:tr>
      <w:tr w14:paraId="3B18D3A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370" w:type="dxa"/>
            <w:shd w:val="clear" w:color="auto" w:fill="DAE3F4" w:themeFill="accent1" w:themeFillTint="33"/>
            <w:vAlign w:val="center"/>
          </w:tcPr>
          <w:p w14:paraId="0D64D252">
            <w:pPr>
              <w:spacing w:after="0" w:line="240" w:lineRule="auto"/>
              <w:jc w:val="center"/>
              <w:rPr>
                <w:rFonts w:hint="eastAsia" w:ascii="宋体" w:hAnsi="宋体" w:eastAsia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操作系统</w:t>
            </w:r>
          </w:p>
        </w:tc>
        <w:tc>
          <w:tcPr>
            <w:tcW w:w="3800" w:type="dxa"/>
            <w:shd w:val="clear" w:color="auto" w:fill="DAE3F4" w:themeFill="accent1" w:themeFillTint="33"/>
          </w:tcPr>
          <w:p w14:paraId="1594292B">
            <w:pPr>
              <w:spacing w:after="0" w:line="240" w:lineRule="auto"/>
              <w:rPr>
                <w:rFonts w:hint="eastAsia" w:ascii="宋体" w:hAns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Windows 10/11 64 位</w:t>
            </w:r>
          </w:p>
        </w:tc>
      </w:tr>
      <w:tr w14:paraId="304307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370" w:type="dxa"/>
            <w:vAlign w:val="center"/>
          </w:tcPr>
          <w:p w14:paraId="36E51DAC">
            <w:pPr>
              <w:spacing w:after="0" w:line="240" w:lineRule="auto"/>
              <w:jc w:val="center"/>
              <w:rPr>
                <w:rFonts w:hint="eastAsia" w:ascii="宋体" w:hAnsi="宋体" w:eastAsia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PU</w:t>
            </w:r>
          </w:p>
        </w:tc>
        <w:tc>
          <w:tcPr>
            <w:tcW w:w="3800" w:type="dxa"/>
          </w:tcPr>
          <w:p w14:paraId="12A79AFF">
            <w:pPr>
              <w:spacing w:after="0" w:line="240" w:lineRule="auto"/>
              <w:rPr>
                <w:rFonts w:hint="eastAsia" w:ascii="宋体" w:hAns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 核及以上</w:t>
            </w:r>
          </w:p>
        </w:tc>
      </w:tr>
      <w:tr w14:paraId="44686EC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370" w:type="dxa"/>
            <w:shd w:val="clear" w:color="auto" w:fill="DAE3F4" w:themeFill="accent1" w:themeFillTint="33"/>
            <w:vAlign w:val="center"/>
          </w:tcPr>
          <w:p w14:paraId="5143B1A3">
            <w:pPr>
              <w:spacing w:after="0" w:line="240" w:lineRule="auto"/>
              <w:jc w:val="center"/>
              <w:rPr>
                <w:rFonts w:hint="eastAsia" w:ascii="宋体" w:hAnsi="宋体" w:eastAsia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内存</w:t>
            </w:r>
          </w:p>
        </w:tc>
        <w:tc>
          <w:tcPr>
            <w:tcW w:w="3800" w:type="dxa"/>
            <w:shd w:val="clear" w:color="auto" w:fill="DAE3F4" w:themeFill="accent1" w:themeFillTint="33"/>
          </w:tcPr>
          <w:p w14:paraId="0E63A4EE">
            <w:pPr>
              <w:spacing w:after="0" w:line="240" w:lineRule="auto"/>
              <w:rPr>
                <w:rFonts w:hint="default" w:ascii="宋体" w:hAnsi="宋体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16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GB及以上</w:t>
            </w:r>
          </w:p>
        </w:tc>
      </w:tr>
      <w:tr w14:paraId="43CE2B2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370" w:type="dxa"/>
            <w:vAlign w:val="center"/>
          </w:tcPr>
          <w:p w14:paraId="7138FF3F">
            <w:pPr>
              <w:spacing w:after="0" w:line="240" w:lineRule="auto"/>
              <w:jc w:val="center"/>
              <w:rPr>
                <w:rFonts w:hint="eastAsia" w:ascii="宋体" w:hAnsi="宋体" w:eastAsia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GPU</w:t>
            </w:r>
          </w:p>
        </w:tc>
        <w:tc>
          <w:tcPr>
            <w:tcW w:w="3800" w:type="dxa"/>
          </w:tcPr>
          <w:p w14:paraId="45102A01">
            <w:pPr>
              <w:spacing w:after="0" w:line="240" w:lineRule="auto"/>
              <w:rPr>
                <w:rFonts w:hint="default" w:ascii="宋体" w:hAnsi="宋体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NVIDIA GPU，建议8GB显存及以上</w:t>
            </w:r>
          </w:p>
        </w:tc>
      </w:tr>
      <w:tr w14:paraId="196D892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370" w:type="dxa"/>
            <w:shd w:val="clear" w:color="auto" w:fill="DAE3F4" w:themeFill="accent1" w:themeFillTint="33"/>
            <w:vAlign w:val="center"/>
          </w:tcPr>
          <w:p w14:paraId="0CC69178">
            <w:pPr>
              <w:spacing w:after="0" w:line="240" w:lineRule="auto"/>
              <w:jc w:val="center"/>
              <w:rPr>
                <w:rFonts w:hint="eastAsia" w:ascii="宋体" w:hAnsi="宋体" w:eastAsia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磁盘</w:t>
            </w:r>
          </w:p>
        </w:tc>
        <w:tc>
          <w:tcPr>
            <w:tcW w:w="3800" w:type="dxa"/>
            <w:shd w:val="clear" w:color="auto" w:fill="DAE3F4" w:themeFill="accent1" w:themeFillTint="33"/>
          </w:tcPr>
          <w:p w14:paraId="23E58D86">
            <w:pPr>
              <w:spacing w:after="0" w:line="240" w:lineRule="auto"/>
              <w:rPr>
                <w:rFonts w:hint="default" w:ascii="宋体" w:hAnsi="宋体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30GB以上可用空间</w:t>
            </w:r>
          </w:p>
        </w:tc>
      </w:tr>
      <w:bookmarkEnd w:id="5"/>
    </w:tbl>
    <w:p w14:paraId="59EEE25F">
      <w:pPr>
        <w:rPr>
          <w:rFonts w:hint="eastAsia" w:ascii="宋体" w:hAnsi="宋体" w:eastAsia="宋体"/>
          <w:b/>
          <w:bCs/>
          <w:sz w:val="32"/>
          <w:szCs w:val="32"/>
        </w:rPr>
      </w:pPr>
    </w:p>
    <w:p w14:paraId="3C774AE3">
      <w:pPr>
        <w:rPr>
          <w:rFonts w:hint="eastAsia" w:ascii="宋体" w:hAnsi="宋体" w:eastAsia="宋体"/>
          <w:b/>
          <w:bCs/>
          <w:sz w:val="32"/>
          <w:szCs w:val="32"/>
        </w:rPr>
      </w:pPr>
    </w:p>
    <w:p w14:paraId="354BBCD4">
      <w:pPr>
        <w:rPr>
          <w:rFonts w:hint="eastAsia" w:ascii="宋体" w:hAnsi="宋体" w:eastAsia="宋体"/>
          <w:b/>
          <w:bCs/>
          <w:sz w:val="32"/>
          <w:szCs w:val="32"/>
        </w:rPr>
      </w:pPr>
    </w:p>
    <w:p w14:paraId="730EEDE9">
      <w:pPr>
        <w:rPr>
          <w:rFonts w:hint="eastAsia" w:ascii="宋体" w:hAnsi="宋体" w:eastAsia="宋体"/>
          <w:b/>
          <w:bCs/>
          <w:sz w:val="32"/>
          <w:szCs w:val="32"/>
        </w:rPr>
      </w:pPr>
    </w:p>
    <w:p w14:paraId="1A54C927">
      <w:pPr>
        <w:numPr>
          <w:ilvl w:val="0"/>
          <w:numId w:val="0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说明：无 GPU 时，前后台和问答链路仍可运行，但数字人视频体验会明显下降。</w:t>
      </w:r>
    </w:p>
    <w:p w14:paraId="417ACC08">
      <w:pPr>
        <w:numPr>
          <w:ilvl w:val="0"/>
          <w:numId w:val="0"/>
        </w:numPr>
        <w:rPr>
          <w:rFonts w:ascii="宋体" w:hAnsi="宋体" w:eastAsia="宋体"/>
          <w:sz w:val="24"/>
        </w:rPr>
      </w:pPr>
    </w:p>
    <w:p w14:paraId="06FA38BA">
      <w:pPr>
        <w:pStyle w:val="4"/>
        <w:spacing w:before="120" w:after="60"/>
        <w:rPr>
          <w:rFonts w:hint="default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</w:pPr>
      <w:r>
        <w:rPr>
          <w:rFonts w:hint="default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  <w:t>2.</w:t>
      </w:r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  <w:t>2</w:t>
      </w:r>
      <w:r>
        <w:rPr>
          <w:rFonts w:hint="default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  <w:t>环境与</w:t>
      </w:r>
      <w:r>
        <w:rPr>
          <w:rFonts w:hint="default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  <w:t>依赖</w:t>
      </w:r>
    </w:p>
    <w:p w14:paraId="25960C14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统一依赖入口：</w:t>
      </w:r>
    </w:p>
    <w:p w14:paraId="616BA5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environment.yml</w:t>
      </w:r>
    </w:p>
    <w:p w14:paraId="434BEEF1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依赖策略：</w:t>
      </w:r>
    </w:p>
    <w:p w14:paraId="52469A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Conda 负责 Python、Node.js 与基础二进制依赖。</w:t>
      </w:r>
    </w:p>
    <w:p w14:paraId="75BB4C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environment.yml 的 pip 部分负责应用层依赖。</w:t>
      </w:r>
    </w:p>
    <w:p w14:paraId="6789CD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GPU 版torch / torchvision /torchaudio由启动脚本按 CUDA 轮子安装。</w:t>
      </w:r>
    </w:p>
    <w:p w14:paraId="22BA65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openai-whisper 独立安装，降低构建兼容问题。</w:t>
      </w:r>
    </w:p>
    <w:p w14:paraId="0F99DCB1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关键运行参数来自 .env，例如：</w:t>
      </w:r>
    </w:p>
    <w:p w14:paraId="73EFC0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AVATAR_DEVICE=cuda</w:t>
      </w:r>
    </w:p>
    <w:p w14:paraId="28D55A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AVATAR_TORCH_DTYPE=float16</w:t>
      </w:r>
    </w:p>
    <w:p w14:paraId="56C182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AVATAR_WARMUP_SECONDS=0.0</w:t>
      </w:r>
    </w:p>
    <w:p w14:paraId="6F0045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AVATAR_CUDA_ALLOC_CONF=expandable_segments:True,max_split_size_mb:128</w:t>
      </w:r>
    </w:p>
    <w:p w14:paraId="2D0FE1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AVATAR_VIDEO_CRF=20</w:t>
      </w:r>
    </w:p>
    <w:p w14:paraId="7ADB7E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78518715">
      <w:pP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  <w:t>3.系统架构</w:t>
      </w:r>
    </w:p>
    <w:p w14:paraId="0DE4EF46">
      <w:r>
        <w:t>本版本的问答链路为 Agent 工具循环：API 接收请求和 conversation_context -&gt; QueryPlanner 生成首步计划 -&gt; ToolRunner 调用 structured_fact、hybrid_rag、behavior_sql 或 route_planner -&gt; AgentLoopController 根据 observation 决定继续调用工具、追问或最终回答。</w:t>
      </w:r>
    </w:p>
    <w:p w14:paraId="3E6C4D66">
      <w:r>
        <w:t>后端会按 client_session_id 维护短期会话记忆，包含 last_intent、last_strategy、last_attraction、last_scenic_slug、last_route_label、preferences、last_tools 和 pending_clarification，用于支持景点追问、路线连续对话和弱 GPS 多轮问路。</w:t>
      </w:r>
    </w:p>
    <w:p w14:paraId="27031106">
      <w:pPr>
        <w:numPr>
          <w:ilvl w:val="0"/>
          <w:numId w:val="0"/>
        </w:numPr>
        <w:rPr>
          <w:rFonts w:hint="eastAsia" w:ascii="宋体" w:hAnsi="宋体" w:eastAsia="宋体" w:cstheme="minorBidi"/>
          <w:color w:val="auto"/>
          <w:kern w:val="2"/>
          <w:sz w:val="24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color w:val="auto"/>
          <w:kern w:val="2"/>
          <w:sz w:val="24"/>
          <w:szCs w:val="28"/>
          <w:lang w:val="en-US" w:eastAsia="zh-CN" w:bidi="ar-SA"/>
        </w:rPr>
        <w:drawing>
          <wp:inline distT="0" distB="0" distL="114300" distR="114300">
            <wp:extent cx="5516880" cy="2670175"/>
            <wp:effectExtent l="0" t="0" r="0" b="9525"/>
            <wp:docPr id="2" name="图片 2" descr="06-01 流程图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6-01 流程图(1)"/>
                    <pic:cNvPicPr>
                      <a:picLocks noChangeAspect="1"/>
                    </pic:cNvPicPr>
                  </pic:nvPicPr>
                  <pic:blipFill>
                    <a:blip r:embed="rId10"/>
                    <a:srcRect t="8027" b="6955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CF81">
      <w:pPr>
        <w:numPr>
          <w:ilvl w:val="0"/>
          <w:numId w:val="0"/>
        </w:numPr>
        <w:rPr>
          <w:rFonts w:hint="default" w:ascii="宋体" w:hAnsi="宋体" w:eastAsia="宋体" w:cstheme="minorBidi"/>
          <w:color w:val="auto"/>
          <w:kern w:val="2"/>
          <w:sz w:val="24"/>
          <w:szCs w:val="28"/>
          <w:lang w:val="en-US" w:eastAsia="zh-CN" w:bidi="ar-SA"/>
        </w:rPr>
      </w:pPr>
    </w:p>
    <w:p w14:paraId="6EB5A886">
      <w:pPr>
        <w:numPr>
          <w:ilvl w:val="0"/>
          <w:numId w:val="0"/>
        </w:numPr>
        <w:rPr>
          <w:rFonts w:hint="default" w:ascii="宋体" w:hAnsi="宋体" w:eastAsia="宋体" w:cstheme="minorBidi"/>
          <w:color w:val="auto"/>
          <w:kern w:val="2"/>
          <w:sz w:val="24"/>
          <w:szCs w:val="28"/>
          <w:lang w:val="en-US" w:eastAsia="zh-CN" w:bidi="ar-SA"/>
        </w:rPr>
      </w:pPr>
    </w:p>
    <w:p w14:paraId="54A18E06">
      <w:pPr>
        <w:numPr>
          <w:ilvl w:val="0"/>
          <w:numId w:val="0"/>
        </w:numPr>
        <w:rPr>
          <w:rFonts w:hint="default" w:ascii="宋体" w:hAnsi="宋体" w:eastAsia="宋体" w:cstheme="minorBidi"/>
          <w:color w:val="auto"/>
          <w:kern w:val="2"/>
          <w:sz w:val="24"/>
          <w:szCs w:val="28"/>
          <w:lang w:val="en-US" w:eastAsia="zh-CN" w:bidi="ar-SA"/>
        </w:rPr>
      </w:pPr>
    </w:p>
    <w:p w14:paraId="7CF085CD">
      <w:pPr>
        <w:numPr>
          <w:ilvl w:val="0"/>
          <w:numId w:val="0"/>
        </w:numPr>
        <w:rPr>
          <w:rFonts w:hint="default" w:ascii="宋体" w:hAnsi="宋体" w:eastAsia="宋体" w:cstheme="minorBidi"/>
          <w:color w:val="auto"/>
          <w:kern w:val="2"/>
          <w:sz w:val="24"/>
          <w:szCs w:val="28"/>
          <w:lang w:val="en-US" w:eastAsia="zh-CN" w:bidi="ar-SA"/>
        </w:rPr>
      </w:pPr>
    </w:p>
    <w:p w14:paraId="6FF756F2">
      <w:pPr>
        <w:numPr>
          <w:ilvl w:val="0"/>
          <w:numId w:val="0"/>
        </w:numPr>
        <w:rPr>
          <w:rFonts w:hint="default" w:ascii="宋体" w:hAnsi="宋体" w:eastAsia="宋体" w:cstheme="minorBidi"/>
          <w:color w:val="auto"/>
          <w:kern w:val="2"/>
          <w:sz w:val="24"/>
          <w:szCs w:val="28"/>
          <w:lang w:val="en-US" w:eastAsia="zh-CN" w:bidi="ar-SA"/>
        </w:rPr>
      </w:pPr>
    </w:p>
    <w:p w14:paraId="092C1A7B">
      <w:pPr>
        <w:numPr>
          <w:ilvl w:val="0"/>
          <w:numId w:val="0"/>
        </w:numPr>
        <w:rPr>
          <w:rFonts w:hint="default" w:ascii="宋体" w:hAnsi="宋体" w:eastAsia="宋体" w:cstheme="minorBidi"/>
          <w:color w:val="auto"/>
          <w:kern w:val="2"/>
          <w:sz w:val="24"/>
          <w:szCs w:val="28"/>
          <w:lang w:val="en-US" w:eastAsia="zh-CN" w:bidi="ar-SA"/>
        </w:rPr>
      </w:pPr>
    </w:p>
    <w:p w14:paraId="646B2C65">
      <w:pPr>
        <w:numPr>
          <w:ilvl w:val="0"/>
          <w:numId w:val="0"/>
        </w:numPr>
        <w:rPr>
          <w:rFonts w:hint="default" w:ascii="宋体" w:hAnsi="宋体" w:eastAsia="宋体" w:cstheme="minorBidi"/>
          <w:color w:val="auto"/>
          <w:kern w:val="2"/>
          <w:sz w:val="24"/>
          <w:szCs w:val="28"/>
          <w:lang w:val="en-US" w:eastAsia="zh-CN" w:bidi="ar-SA"/>
        </w:rPr>
      </w:pPr>
    </w:p>
    <w:p w14:paraId="6E13F1FB">
      <w:pPr>
        <w:numPr>
          <w:ilvl w:val="0"/>
          <w:numId w:val="0"/>
        </w:numPr>
        <w:rPr>
          <w:rFonts w:hint="default" w:ascii="宋体" w:hAnsi="宋体" w:eastAsia="宋体" w:cstheme="minorBidi"/>
          <w:color w:val="auto"/>
          <w:kern w:val="2"/>
          <w:sz w:val="24"/>
          <w:szCs w:val="28"/>
          <w:lang w:val="en-US" w:eastAsia="zh-CN" w:bidi="ar-SA"/>
        </w:rPr>
      </w:pPr>
    </w:p>
    <w:p w14:paraId="4382E247">
      <w:pPr>
        <w:numPr>
          <w:ilvl w:val="0"/>
          <w:numId w:val="0"/>
        </w:numPr>
        <w:rPr>
          <w:rFonts w:hint="default" w:ascii="宋体" w:hAnsi="宋体" w:eastAsia="宋体" w:cstheme="minorBidi"/>
          <w:color w:val="auto"/>
          <w:kern w:val="2"/>
          <w:sz w:val="24"/>
          <w:szCs w:val="28"/>
          <w:lang w:val="en-US" w:eastAsia="zh-CN" w:bidi="ar-SA"/>
        </w:rPr>
      </w:pPr>
    </w:p>
    <w:p w14:paraId="1D6C52DC">
      <w:pPr>
        <w:numPr>
          <w:ilvl w:val="0"/>
          <w:numId w:val="0"/>
        </w:numPr>
        <w:rPr>
          <w:rFonts w:hint="default" w:ascii="宋体" w:hAnsi="宋体" w:eastAsia="宋体" w:cstheme="minorBidi"/>
          <w:color w:val="auto"/>
          <w:kern w:val="2"/>
          <w:sz w:val="24"/>
          <w:szCs w:val="28"/>
          <w:lang w:val="en-US" w:eastAsia="zh-CN" w:bidi="ar-SA"/>
        </w:rPr>
      </w:pPr>
    </w:p>
    <w:p w14:paraId="3738F2F2">
      <w:pPr>
        <w:rPr>
          <w:rFonts w:hint="default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</w:pPr>
      <w:bookmarkStart w:id="6" w:name="_Toc206078976"/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  <w:t>4.首次部署</w:t>
      </w:r>
      <w:bookmarkEnd w:id="6"/>
    </w:p>
    <w:p w14:paraId="424A7935">
      <w:pPr>
        <w:pStyle w:val="4"/>
        <w:spacing w:before="120" w:after="60"/>
        <w:rPr>
          <w:rFonts w:hint="default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  <w:t>4.1 准备环境</w:t>
      </w:r>
    </w:p>
    <w:p w14:paraId="40EF60A1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在项目根目录 D:\Human 执行：</w:t>
      </w:r>
    </w:p>
    <w:p w14:paraId="46E49F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bootstrap_windows.bat</w:t>
      </w:r>
    </w:p>
    <w:p w14:paraId="16FCAB8F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脚本会自动完成：</w:t>
      </w:r>
    </w:p>
    <w:p w14:paraId="70552A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创建或修复 D:\Human\env</w:t>
      </w:r>
    </w:p>
    <w:p w14:paraId="2480EA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安装 Conda 与 pip 依赖</w:t>
      </w:r>
    </w:p>
    <w:p w14:paraId="5A533A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安装 GPU 版 PyTorch</w:t>
      </w:r>
    </w:p>
    <w:p w14:paraId="5643D2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安装 Whisper</w:t>
      </w:r>
    </w:p>
    <w:p w14:paraId="33C963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下载项目所需模型</w:t>
      </w:r>
    </w:p>
    <w:p w14:paraId="040C6F84">
      <w:r>
        <w:t>生成 .env 模板并配置 Hugging Face 镜像端点</w:t>
      </w:r>
    </w:p>
    <w:p w14:paraId="11B551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执行运行时健康检查</w:t>
      </w:r>
    </w:p>
    <w:p w14:paraId="799A6FE1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如需使用统一 CLI：</w:t>
      </w:r>
    </w:p>
    <w:p w14:paraId="2F9034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conda run -p "D:/Human/env" python -m app.cli &lt;command&gt;</w:t>
      </w:r>
    </w:p>
    <w:p w14:paraId="2C80C64B">
      <w:pPr>
        <w:numPr>
          <w:ilvl w:val="0"/>
          <w:numId w:val="0"/>
        </w:numPr>
        <w:rPr>
          <w:rFonts w:hint="eastAsia"/>
        </w:rPr>
      </w:pPr>
    </w:p>
    <w:p w14:paraId="5DF33919">
      <w:pPr>
        <w:pStyle w:val="4"/>
        <w:spacing w:before="120" w:after="60"/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  <w:t>4.2构建游客行为库</w:t>
      </w:r>
    </w:p>
    <w:p w14:paraId="4D5F48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build_behavior_data.bat</w:t>
      </w:r>
    </w:p>
    <w:p w14:paraId="756CF6B3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该脚本会读取 data/raw_sql_data/ 下的 Excel 数据，并生成 SQLite 行为分析库。</w:t>
      </w:r>
    </w:p>
    <w:p w14:paraId="60D96AE2">
      <w:pPr>
        <w:pStyle w:val="4"/>
        <w:spacing w:before="120" w:after="60"/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  <w:t>4.3构建景区知识库</w:t>
      </w:r>
    </w:p>
    <w:p w14:paraId="275E0B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build_knowledge_base.bat</w:t>
      </w:r>
    </w:p>
    <w:p w14:paraId="40644F53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该脚本会读取 data/knowledge_base/ 下的 DOCX 资料，并同时生成：</w:t>
      </w:r>
    </w:p>
    <w:p w14:paraId="35911A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结构化景区事实</w:t>
      </w:r>
    </w:p>
    <w:p w14:paraId="0A2222C9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向量知识库</w:t>
      </w:r>
    </w:p>
    <w:p w14:paraId="5C439A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hybrid RAG 所需检索索引</w:t>
      </w:r>
    </w:p>
    <w:p w14:paraId="7D67586C">
      <w:pPr>
        <w:pStyle w:val="4"/>
        <w:spacing w:before="120" w:after="60"/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  <w:t>4.4 构建前端</w:t>
      </w:r>
    </w:p>
    <w:p w14:paraId="230A33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conda run -p "D:/Human/env" python -m app.cli build-frontend</w:t>
      </w:r>
    </w:p>
    <w:p w14:paraId="6346C26C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构建完成后，游客前台、登录页与管理后台均可通过统一后端入口访问。</w:t>
      </w:r>
    </w:p>
    <w:p w14:paraId="39B24645">
      <w:pPr>
        <w:pStyle w:val="4"/>
        <w:spacing w:before="120" w:after="60"/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  <w:t>4.5 配置 .env</w:t>
      </w:r>
    </w:p>
    <w:p w14:paraId="7BD6F155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首次部署在启动系统前必须完成 .env 配置。bootstrap_windows.bat 会在缺失 .env 时从 .env.example 复制模板；如果文件已存在，请直接编辑项目根目录下的 D:\Human\.env。</w:t>
      </w:r>
    </w:p>
    <w:p w14:paraId="3E835692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打开 .env 后，先确认以下五类配置。第一次部署只要按下面示例填好，即可完成前后台、问答、RAG 和数字人基础运行。</w:t>
      </w:r>
    </w:p>
    <w:p w14:paraId="299AA189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（1）LLM 接口配置：必填。系统的问答规划、自然语言生成和统一评测都会读取这组参数。LLM_API_KEY 不能保留 your_llm_api_key_here、sk-placeholder 或空值，否则 doctor 会提示配置不完整。</w:t>
      </w:r>
    </w:p>
    <w:p w14:paraId="0E9A08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LLM_API_KEY=替换为真实 API Key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br w:type="textWrapping"/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LLM_API_BASE=https://api.deepseek.com/v1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br w:type="textWrapping"/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LLM_MODEL_NAME=deepseek-chat</w:t>
      </w:r>
    </w:p>
    <w:p w14:paraId="4AAD6D38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如果使用 OpenAI 兼容服务，保持 /v1 结尾；如果使用其他供应商，请以供应商给出的 OpenAI-compatible base URL 为准。配置完成后保存文件，重新启动服务才会生效。</w:t>
      </w:r>
    </w:p>
    <w:p w14:paraId="79FB6FD6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（2）镜像与下载配置：国内网络建议保留以下默认值。HF_ENDPOINT 用于 Hugging Face 模型下载，PIP_INDEX_URL 用于 pip 依赖安装，TORCH_WHL_INDEX_URL 用于 GPU 版 PyTorch 轮子。</w:t>
      </w:r>
    </w:p>
    <w:p w14:paraId="3E9962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PIP_INDEX_URL=https://pypi.tuna.tsinghua.edu.cn/simple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br w:type="textWrapping"/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HF_ENDPOINT=https://hf-mirror.com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br w:type="textWrapping"/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TORCH_WHL_INDEX_URL=https://download.pytorch.org/whl/cu126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br w:type="textWrapping"/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OPENAI_WHISPER_REQUIREMENT=openai-whisper==20250625</w:t>
      </w:r>
    </w:p>
    <w:p w14:paraId="71E28E5C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如果在公司代理或海外网络中部署，也可以改回官方源；修改后重新运行 bootstrap_windows.bat 或对应 CLI 命令。</w:t>
      </w:r>
    </w:p>
    <w:p w14:paraId="0DAAB5BC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（3）模型、知识库与服务路径：默认路径均相对项目根目录 D:\Human，第一次部署建议不要改动。改动路径前，请先确认对应目录真实存在。</w:t>
      </w:r>
    </w:p>
    <w:p w14:paraId="42CD7E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MODEL_EMBEDDING_NAME=bge-large-zh-v1.5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br w:type="textWrapping"/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MODEL_EMBEDDING_PATH=./models/bge-large-zh-v1.5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br w:type="textWrapping"/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EMBEDDING_DEVICE=cpu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br w:type="textWrapping"/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EMBEDDING_NORMALIZE=true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br w:type="textWrapping"/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CHROMA_DB_DIR=./data/chroma_db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br w:type="textWrapping"/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KNOWLEDGE_BASE_DIR=./data/knowledge_base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br w:type="textWrapping"/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MODEL_AVATAR_NAME=SoulX-FlashHead-Lite-1.3B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br w:type="textWrapping"/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MODEL_AVATAR_PATH=./models/SoulX-FlashHead-Lite-1.3B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br w:type="textWrapping"/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MODEL_ASR_NAME=Whisper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br w:type="textWrapping"/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MODEL_ASR_PATH=base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br w:type="textWrapping"/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WHISPER_DOWNLOAD_DIR=./models/whisper-cache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br w:type="textWrapping"/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MODEL_TTS_NAME=Edge-TTS</w:t>
      </w:r>
    </w:p>
    <w:p w14:paraId="64897631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EMBEDDING_DEVICE 建议保持 cpu，避免向量检索与数字人推理抢占显存。MODEL_ASR_PATH 可使用 base；如需更高识别效果，可改为 large-v3，但首次下载更慢、占用更高。</w:t>
      </w:r>
    </w:p>
    <w:p w14:paraId="330EE4C2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（4）数字人运行参数：有 NVIDIA GPU 时使用 cuda；无 GPU 或 CUDA 不可用时改为 cpu，前后台和问答仍可运行，但数字人视频生成会明显变慢或不可用。</w:t>
      </w:r>
    </w:p>
    <w:p w14:paraId="2D9FCC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AVATAR_DEVICE=cuda</w:t>
      </w:r>
      <w:bookmarkStart w:id="8" w:name="_GoBack"/>
      <w:bookmarkEnd w:id="8"/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br w:type="textWrapping"/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AVATAR_TORCH_DTYPE=bfloat16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br w:type="textWrapping"/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AVATAR_WARMUP_SECONDS=0.5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br w:type="textWrapping"/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AVATAR_CUDA_ALLOC_CONF=expandable_segments:True,max_split_size_mb:128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br w:type="textWrapping"/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AVATAR_VIDEO_CRF=20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br w:type="textWrapping"/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AVATAR_EMPTY_CACHE_BEFORE_INFER=true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br w:type="textWrapping"/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AVATAR_EMPTY_CACHE_AFTER_INFER=true</w:t>
      </w:r>
    </w:p>
    <w:p w14:paraId="38FD16BF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如果显存不足，优先调整为省显存配置：AVATAR_TORCH_DTYPE=float16、AVATAR_WARMUP_SECONDS=0.0，并保持 AVATAR_EMPTY_CACHE_BEFORE_INFER=true。后台的数字人配置页也会写回这部分参数。</w:t>
      </w:r>
    </w:p>
    <w:p w14:paraId="0F9F454C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（5）服务监听配置：本地演示建议保持 HOST=0.0.0.0、PORT=8000；start_windows.bat 会以 127.0.0.1:8000 打开浏览器。若端口被占用，请同步修改 .env、启动命令或 start_windows.bat 中的 PORT。</w:t>
      </w:r>
    </w:p>
    <w:p w14:paraId="151FAD98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HOST=0.0.0.0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br w:type="textWrapping"/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PORT=8000</w:t>
      </w:r>
    </w:p>
    <w:p w14:paraId="024AF69F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配置完成后，先执行诊断命令确认 .env、模型、知识库和依赖是否齐全：</w:t>
      </w:r>
    </w:p>
    <w:p w14:paraId="1AEB7A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conda run -p "D:/Human/env" python -m app.cli doctor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br w:type="textWrapping"/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conda run -p "D:/Human/env" python -m app.cli runtime-health</w:t>
      </w:r>
    </w:p>
    <w:p w14:paraId="7AF5271E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检查通过标准：runtime-health 返回 ok=true；doctor 不再提示 LLM_API_KEY 缺失，missing_models 和 missing_data 为空。如果仍提示数据缺失，请回到 4.2、4.3 重新构建行为库和知识库。</w:t>
      </w:r>
    </w:p>
    <w:p w14:paraId="1A9BECFE"/>
    <w:p w14:paraId="5E8F5F3B">
      <w:pPr>
        <w:pStyle w:val="4"/>
        <w:spacing w:before="120" w:after="60"/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  <w:t>4.6 启动系统</w:t>
      </w:r>
    </w:p>
    <w:p w14:paraId="5CE021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start_windows.bat</w:t>
      </w:r>
    </w:p>
    <w:p w14:paraId="1E3D6FF9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启动后访问：</w:t>
      </w: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3500"/>
      </w:tblGrid>
      <w:tr w14:paraId="4366D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CC66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页面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0D44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地址</w:t>
            </w:r>
          </w:p>
        </w:tc>
      </w:tr>
      <w:tr w14:paraId="2E604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E927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游客前台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9483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宋体" w:hAnsi="宋体" w:eastAsia="宋体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http://127.0.0.1:8000/</w:t>
            </w:r>
          </w:p>
        </w:tc>
      </w:tr>
      <w:tr w14:paraId="5F8AA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4492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管理后台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446A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宋体" w:hAnsi="宋体" w:eastAsia="宋体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http://127.0.0.1:8000/admin</w:t>
            </w:r>
          </w:p>
        </w:tc>
      </w:tr>
      <w:tr w14:paraId="552BC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0E69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登录页</w:t>
            </w:r>
          </w:p>
        </w:tc>
        <w:tc>
          <w:tcPr>
            <w:tcW w:w="0" w:type="auto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2DB1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宋体" w:hAnsi="宋体" w:eastAsia="宋体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http://127.0.0.1:8000/login</w:t>
            </w:r>
          </w:p>
        </w:tc>
      </w:tr>
    </w:tbl>
    <w:p w14:paraId="135484BC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t>游客前台：http://127.0.0.1:8000/</w:t>
      </w:r>
    </w:p>
    <w:p w14:paraId="0D41296B">
      <w:pPr>
        <w:pStyle w:val="12"/>
      </w:pPr>
      <w:r>
        <w:t>管理后台：http://127.0.0.1:8000/admin</w:t>
      </w:r>
    </w:p>
    <w:p w14:paraId="17573E4F">
      <w:pPr>
        <w:pStyle w:val="12"/>
      </w:pPr>
      <w:r>
        <w:t>登录页：http://127.0.0.1:8000/login</w:t>
      </w:r>
    </w:p>
    <w:p w14:paraId="13307DC9">
      <w:pPr>
        <w:pStyle w:val="12"/>
      </w:pPr>
      <w:r>
        <w:t>健康检查：http://127.0.0.1:8000/health</w:t>
      </w:r>
    </w:p>
    <w:p w14:paraId="0E4F7E52">
      <w:pPr>
        <w:pStyle w:val="12"/>
      </w:pPr>
      <w:r>
        <w:t>首次启动后建议先打开健康检查地址，确认返回 ok=true；再使用管理员账号登录后台，检查模型、知识库、行为库和日志面板状态。</w:t>
      </w:r>
    </w:p>
    <w:p w14:paraId="05073F28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默认管理员账号</w:t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密码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：</w:t>
      </w:r>
    </w:p>
    <w:p w14:paraId="2DB776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60" w:afterAutospacing="0" w:line="14" w:lineRule="atLeast"/>
        <w:rPr>
          <w:rFonts w:hint="default" w:ascii="宋体" w:hAnsi="宋体" w:eastAsia="宋体" w:cstheme="minorBidi"/>
          <w:kern w:val="2"/>
          <w:sz w:val="24"/>
          <w:szCs w:val="24"/>
          <w:lang w:eastAsia="zh-CN" w:bidi="ar-SA"/>
          <w14:ligatures w14:val="standardContextual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eastAsia="zh-CN" w:bidi="ar-SA"/>
          <w14:ligatures w14:val="standardContextual"/>
        </w:rPr>
        <w:t>admin / admin123</w:t>
      </w:r>
    </w:p>
    <w:p w14:paraId="72B707B3">
      <w:pPr>
        <w:rPr>
          <w:rFonts w:hint="eastAsia" w:eastAsia="宋体" w:asciiTheme="majorHAnsi" w:hAnsiTheme="majorHAnsi" w:cstheme="majorBidi"/>
          <w:b/>
          <w:color w:val="4874CB" w:themeColor="accent1"/>
          <w:kern w:val="2"/>
          <w:sz w:val="32"/>
          <w:szCs w:val="32"/>
          <w:lang w:val="en-US" w:eastAsia="zh-CN" w:bidi="ar-SA"/>
          <w14:textFill>
            <w14:solidFill>
              <w14:schemeClr w14:val="accent1"/>
            </w14:solidFill>
          </w14:textFill>
          <w14:ligatures w14:val="standardContextual"/>
        </w:rPr>
      </w:pPr>
    </w:p>
    <w:p w14:paraId="2354E145">
      <w:pPr>
        <w:rPr>
          <w:rFonts w:hint="eastAsia" w:eastAsia="宋体" w:asciiTheme="majorHAnsi" w:hAnsiTheme="majorHAnsi" w:cstheme="majorBidi"/>
          <w:b/>
          <w:color w:val="4874CB" w:themeColor="accent1"/>
          <w:kern w:val="2"/>
          <w:sz w:val="32"/>
          <w:szCs w:val="32"/>
          <w:lang w:val="en-US" w:eastAsia="zh-CN" w:bidi="ar-SA"/>
          <w14:textFill>
            <w14:solidFill>
              <w14:schemeClr w14:val="accent1"/>
            </w14:solidFill>
          </w14:textFill>
          <w14:ligatures w14:val="standardContextual"/>
        </w:rPr>
      </w:pPr>
    </w:p>
    <w:p w14:paraId="528615C2">
      <w:pPr>
        <w:rPr>
          <w:rFonts w:hint="eastAsia" w:eastAsia="宋体" w:asciiTheme="majorHAnsi" w:hAnsiTheme="majorHAnsi" w:cstheme="majorBidi"/>
          <w:b/>
          <w:color w:val="4874CB" w:themeColor="accent1"/>
          <w:kern w:val="2"/>
          <w:sz w:val="32"/>
          <w:szCs w:val="32"/>
          <w:lang w:val="en-US" w:eastAsia="zh-CN" w:bidi="ar-SA"/>
          <w14:textFill>
            <w14:solidFill>
              <w14:schemeClr w14:val="accent1"/>
            </w14:solidFill>
          </w14:textFill>
          <w14:ligatures w14:val="standardContextual"/>
        </w:rPr>
      </w:pPr>
    </w:p>
    <w:p w14:paraId="32FEC8EE">
      <w:pPr>
        <w:rPr>
          <w:rFonts w:hint="eastAsia" w:eastAsia="宋体" w:asciiTheme="majorHAnsi" w:hAnsiTheme="majorHAnsi" w:cstheme="majorBidi"/>
          <w:b/>
          <w:color w:val="4874CB" w:themeColor="accent1"/>
          <w:kern w:val="2"/>
          <w:sz w:val="32"/>
          <w:szCs w:val="32"/>
          <w:lang w:val="en-US" w:eastAsia="zh-CN" w:bidi="ar-SA"/>
          <w14:textFill>
            <w14:solidFill>
              <w14:schemeClr w14:val="accent1"/>
            </w14:solidFill>
          </w14:textFill>
          <w14:ligatures w14:val="standardContextual"/>
        </w:rPr>
      </w:pPr>
    </w:p>
    <w:p w14:paraId="752F2B33">
      <w:pPr>
        <w:rPr>
          <w:rFonts w:hint="eastAsia" w:eastAsia="宋体" w:asciiTheme="majorHAnsi" w:hAnsiTheme="majorHAnsi" w:cstheme="majorBidi"/>
          <w:b/>
          <w:color w:val="4874CB" w:themeColor="accent1"/>
          <w:kern w:val="2"/>
          <w:sz w:val="32"/>
          <w:szCs w:val="32"/>
          <w:lang w:val="en-US" w:eastAsia="zh-CN" w:bidi="ar-SA"/>
          <w14:textFill>
            <w14:solidFill>
              <w14:schemeClr w14:val="accent1"/>
            </w14:solidFill>
          </w14:textFill>
          <w14:ligatures w14:val="standardContextual"/>
        </w:rPr>
      </w:pPr>
    </w:p>
    <w:p w14:paraId="49B78159">
      <w:pPr>
        <w:rPr>
          <w:rFonts w:hint="eastAsia" w:eastAsia="宋体" w:asciiTheme="majorHAnsi" w:hAnsiTheme="majorHAnsi" w:cstheme="majorBidi"/>
          <w:b/>
          <w:color w:val="4874CB" w:themeColor="accent1"/>
          <w:kern w:val="2"/>
          <w:sz w:val="32"/>
          <w:szCs w:val="32"/>
          <w:lang w:val="en-US" w:eastAsia="zh-CN" w:bidi="ar-SA"/>
          <w14:textFill>
            <w14:solidFill>
              <w14:schemeClr w14:val="accent1"/>
            </w14:solidFill>
          </w14:textFill>
          <w14:ligatures w14:val="standardContextual"/>
        </w:rPr>
      </w:pPr>
    </w:p>
    <w:p w14:paraId="1C5AF45A">
      <w:pPr>
        <w:rPr>
          <w:rFonts w:hint="eastAsia" w:eastAsia="宋体" w:asciiTheme="majorHAnsi" w:hAnsiTheme="majorHAnsi" w:cstheme="majorBidi"/>
          <w:b/>
          <w:color w:val="4874CB" w:themeColor="accent1"/>
          <w:kern w:val="2"/>
          <w:sz w:val="32"/>
          <w:szCs w:val="32"/>
          <w:lang w:val="en-US" w:eastAsia="zh-CN" w:bidi="ar-SA"/>
          <w14:textFill>
            <w14:solidFill>
              <w14:schemeClr w14:val="accent1"/>
            </w14:solidFill>
          </w14:textFill>
          <w14:ligatures w14:val="standardContextual"/>
        </w:rPr>
      </w:pPr>
    </w:p>
    <w:p w14:paraId="645134B9">
      <w:pPr>
        <w:rPr>
          <w:rFonts w:hint="eastAsia" w:eastAsia="宋体" w:asciiTheme="majorHAnsi" w:hAnsiTheme="majorHAnsi" w:cstheme="majorBidi"/>
          <w:b/>
          <w:color w:val="4874CB" w:themeColor="accent1"/>
          <w:kern w:val="2"/>
          <w:sz w:val="32"/>
          <w:szCs w:val="32"/>
          <w:lang w:val="en-US" w:eastAsia="zh-CN" w:bidi="ar-SA"/>
          <w14:textFill>
            <w14:solidFill>
              <w14:schemeClr w14:val="accent1"/>
            </w14:solidFill>
          </w14:textFill>
          <w14:ligatures w14:val="standardContextual"/>
        </w:rPr>
      </w:pPr>
    </w:p>
    <w:p w14:paraId="71A3236F">
      <w:pPr>
        <w:rPr>
          <w:rFonts w:hint="default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  <w:t>5.核心</w:t>
      </w:r>
      <w:r>
        <w:rPr>
          <w:rFonts w:hint="default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  <w:t>接口与</w:t>
      </w:r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  <w:t>统一</w:t>
      </w:r>
      <w:r>
        <w:rPr>
          <w:rFonts w:hint="default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  <w:t>响应</w:t>
      </w:r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  <w:t>契约</w:t>
      </w:r>
      <w:r>
        <w:rPr>
          <w:rFonts w:hint="default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  <w:t>说明</w:t>
      </w:r>
    </w:p>
    <w:p w14:paraId="4F9387B7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60" w:lineRule="auto"/>
        <w:ind w:left="0" w:firstLine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本次升级后，文本、语音和 WebSocket 问答接口均接收最近对话上下文，并统一返回标准化 rag_metadata。前端、后台和评测工具可直接消费结构化结果，无需从自然语言答案中反推执行过程。</w:t>
      </w:r>
    </w:p>
    <w:p w14:paraId="63567DEC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60" w:lineRule="auto"/>
        <w:ind w:left="0" w:firstLine="0"/>
        <w:jc w:val="left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核心响应契约字段包括：</w:t>
      </w:r>
    </w:p>
    <w:p w14:paraId="0D91A979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{ </w:t>
      </w:r>
    </w:p>
    <w:p w14:paraId="6433E363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"answer": "自然语言回答内容",</w:t>
      </w:r>
    </w:p>
    <w:p w14:paraId="46D04F98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"response_kind": "回答类型（fact/sql/rag/route/refusal/clarification）",</w:t>
      </w:r>
    </w:p>
    <w:p w14:paraId="1C452BEE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 xml:space="preserve">"plan": "Planner执行计划（策略、判定原因、关键槽位）", </w:t>
      </w:r>
    </w:p>
    <w:p w14:paraId="0D820F16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"evidence": "支撑证据（事实原文、SQL摘要、检索片段）", </w:t>
      </w:r>
    </w:p>
    <w:p w14:paraId="07F240CD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"refusal": "拒答信息（原因、建议追问方向）", </w:t>
      </w:r>
    </w:p>
    <w:p w14:paraId="27E7AA1E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"warnings": "非致命质量风险提示", </w:t>
      </w:r>
    </w:p>
    <w:p w14:paraId="3B5A85CA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"observability": "可观测信息（延迟、tools trace、agent_loop trace、synthesis trace）"</w:t>
      </w:r>
    </w:p>
    <w:p w14:paraId="63DF717A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}</w:t>
      </w:r>
    </w:p>
    <w:p w14:paraId="3D2BA4D5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60" w:lineRule="auto"/>
        <w:ind w:left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这意味着前端、后台和评测工具都可以直接消费统一的结构化结果，而不必从自然语言答案中猜测执行过程。</w:t>
      </w:r>
    </w:p>
    <w:p w14:paraId="7CF20877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F4429CC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7E331A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159534A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F714891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4D3BD63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EACE83C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9140C8">
      <w:pP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  <w:t>6.日志与后台可观测性</w:t>
      </w:r>
    </w:p>
    <w:p w14:paraId="46A738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系统已实现全链路结构化日志持久化</w:t>
      </w:r>
    </w:p>
    <w:p w14:paraId="48C979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所有日志自动保存至 data/processed/logs.db，同时保留本轮工具调用和 Agent 决策轨迹</w:t>
      </w:r>
    </w:p>
    <w:p w14:paraId="4821CC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包含以下机器可读字段：</w:t>
      </w:r>
    </w:p>
    <w:p w14:paraId="1CA15F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leftChars="0" w:right="0" w:rightChars="0" w:firstLine="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plan_json：Planner 完整执行计划</w:t>
      </w:r>
    </w:p>
    <w:p w14:paraId="633868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leftChars="0" w:right="0" w:rightChars="0" w:firstLine="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evidence_json：所有支撑证据</w:t>
      </w:r>
    </w:p>
    <w:p w14:paraId="3E736B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leftChars="0" w:right="0" w:rightChars="0" w:firstLine="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refusal_json：拒答详情</w:t>
      </w:r>
    </w:p>
    <w:p w14:paraId="058EC9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leftChars="0" w:right="0" w:rightChars="0" w:firstLine="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warnings_json：警告信息</w:t>
      </w:r>
    </w:p>
    <w:p w14:paraId="642F34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leftChars="0" w:right="0" w:rightChars="0" w:firstLine="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observability_json：性能与链路信息，包含 tools、agent_loop、synthesis 三类 trace</w:t>
      </w:r>
    </w:p>
    <w:p w14:paraId="40F38B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360" w:lineRule="auto"/>
        <w:ind w:left="0" w:right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</w:p>
    <w:p w14:paraId="2F7ADE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360" w:lineRule="auto"/>
        <w:ind w:left="0" w:right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日志用途</w:t>
      </w:r>
    </w:p>
    <w:p w14:paraId="7090D3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0" w:right="0" w:righ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1.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管理后台失败样例完整回放</w:t>
      </w:r>
    </w:p>
    <w:p w14:paraId="516FA9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0" w:right="0" w:righ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2.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调试 Planner 决策逻辑</w:t>
      </w:r>
    </w:p>
    <w:p w14:paraId="037E0D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0" w:right="0" w:righ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3.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线上行为与评测结果对齐</w:t>
      </w:r>
    </w:p>
    <w:p w14:paraId="643E932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0" w:right="0" w:righ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4.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后续策略迭代与回归分析</w:t>
      </w:r>
    </w:p>
    <w:p w14:paraId="611627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0" w:right="0" w:righ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5.排查工具 observation 不足、数据源冲突或追问槽位缺失问题</w:t>
      </w:r>
    </w:p>
    <w:p w14:paraId="67F26A77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157996E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C076AC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C619E6E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1D4F79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5AF3943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AD2765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46FDE53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BF5ACBF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16EC56A">
      <w:pP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  <w:t>7.常用命令</w:t>
      </w:r>
    </w:p>
    <w:p w14:paraId="225C8B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24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```bat</w:t>
      </w:r>
    </w:p>
    <w:p w14:paraId="7925CA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24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宋体" w:hAnsi="宋体" w:eastAsia="宋体" w:cs="宋体"/>
          <w:sz w:val="24"/>
          <w:szCs w:val="24"/>
        </w:rPr>
        <w:t>1. 环境诊断检查</w:t>
      </w:r>
    </w:p>
    <w:p w14:paraId="5958C7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24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conda run -p "D:/Human/env" python -m app.cli doctor</w:t>
      </w:r>
    </w:p>
    <w:p w14:paraId="636C78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24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宋体" w:hAnsi="宋体" w:eastAsia="宋体" w:cs="宋体"/>
          <w:sz w:val="24"/>
          <w:szCs w:val="24"/>
        </w:rPr>
        <w:t>2. 运行时健康检查</w:t>
      </w:r>
    </w:p>
    <w:p w14:paraId="3D0E8B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24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conda run -p "D:/Human/env" python -m app.cli runtime-health</w:t>
      </w:r>
    </w:p>
    <w:p w14:paraId="42A21B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24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10D931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24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宋体" w:hAnsi="宋体" w:eastAsia="宋体" w:cs="宋体"/>
          <w:sz w:val="24"/>
          <w:szCs w:val="24"/>
        </w:rPr>
        <w:t>3. 数据准备</w:t>
      </w:r>
    </w:p>
    <w:p w14:paraId="5B3AD1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24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conda run -p "D:/Human/env" python -m app.cli prepare-data</w:t>
      </w:r>
    </w:p>
    <w:p w14:paraId="1D3573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24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宋体" w:hAnsi="宋体" w:eastAsia="宋体" w:cs="宋体"/>
          <w:sz w:val="24"/>
          <w:szCs w:val="24"/>
        </w:rPr>
        <w:t>4. 知识库构建</w:t>
      </w:r>
    </w:p>
    <w:p w14:paraId="1F75E5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24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conda run -p "D:/Human/env" python -m app.cli prepare-kb</w:t>
      </w:r>
    </w:p>
    <w:p w14:paraId="7949F2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24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宋体" w:hAnsi="宋体" w:eastAsia="宋体" w:cs="宋体"/>
          <w:sz w:val="24"/>
          <w:szCs w:val="24"/>
        </w:rPr>
        <w:t>5. 前端构建</w:t>
      </w:r>
    </w:p>
    <w:p w14:paraId="1FD774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24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conda run -p "D:/Human/env" python -m app.cli build-frontend</w:t>
      </w:r>
    </w:p>
    <w:p w14:paraId="07B809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24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486669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24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宋体" w:hAnsi="宋体" w:eastAsia="宋体" w:cs="宋体"/>
          <w:sz w:val="24"/>
          <w:szCs w:val="24"/>
        </w:rPr>
        <w:t>6. 生成统一评估用例</w:t>
      </w:r>
    </w:p>
    <w:p w14:paraId="32ABBD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24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conda run -p "D:/Human/env" python -m app.cli generate-unified-eval --target 1200 --output tests/unified_eval_cases.jsonl</w:t>
      </w:r>
    </w:p>
    <w:p w14:paraId="0A169A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24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宋体" w:hAnsi="宋体" w:eastAsia="宋体" w:cs="宋体"/>
          <w:sz w:val="24"/>
          <w:szCs w:val="24"/>
        </w:rPr>
        <w:t>7. 运行统一评估</w:t>
      </w:r>
    </w:p>
    <w:p w14:paraId="56034B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24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conda run -p "D:/Human/env" python -m app.cli eval-unified --dataset tests/unified_eval_cases.jsonl --report reports/unified_eval_agent_full1200.json --markdown-report reports/unified_eval_agent_full1200.md --tier full --no-fail</w:t>
      </w:r>
    </w:p>
    <w:p w14:paraId="4A7881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24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750326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24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8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. 运行 Agent 工具循环回归测试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br w:type="textWrapping"/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conda run -p "D:/Human/env" python -m unittest tests.test_tool_runner_agent_loop tests.test_rag_contract tests.test_pipeline_general_chat tests.test_router_cache_and_planner tests.test_fact_configured_overrides</w:t>
      </w:r>
    </w:p>
    <w:p w14:paraId="6D7C82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240" w:lineRule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conda run -p "D:/Human/env" python -m app.cli seed-demo-logs --reset</w:t>
      </w:r>
    </w:p>
    <w:p w14:paraId="357A34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240" w:lineRule="auto"/>
        <w:rPr>
          <w:rFonts w:hint="default" w:eastAsia="宋体" w:asciiTheme="majorHAnsi" w:hAnsiTheme="majorHAnsi" w:cstheme="majorBidi"/>
          <w:b/>
          <w:color w:val="4874CB" w:themeColor="accent1"/>
          <w:kern w:val="2"/>
          <w:sz w:val="32"/>
          <w:szCs w:val="32"/>
          <w:lang w:val="en-US" w:eastAsia="zh-CN" w:bidi="ar-SA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```</w:t>
      </w:r>
    </w:p>
    <w:p w14:paraId="34ED8C5E">
      <w:pPr>
        <w:pStyle w:val="3"/>
        <w:rPr>
          <w:rFonts w:hint="default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</w:pPr>
      <w:bookmarkStart w:id="7" w:name="_Toc206079010"/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  <w:t>8.系统使用流程</w:t>
      </w:r>
    </w:p>
    <w:bookmarkEnd w:id="7"/>
    <w:p w14:paraId="032183A9">
      <w:pPr>
        <w:pStyle w:val="4"/>
        <w:spacing w:before="120" w:after="60"/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  <w:t>8.1 游客前台操作</w:t>
      </w:r>
    </w:p>
    <w:p w14:paraId="50B4D261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会话模型</w:t>
      </w:r>
    </w:p>
    <w:p w14:paraId="6D4C03E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每次进入前台自动开启一轮新会话</w:t>
      </w:r>
    </w:p>
    <w:p w14:paraId="271D596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旧会话会自动归档到本地历史</w:t>
      </w:r>
    </w:p>
    <w:p w14:paraId="4FEF77F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本地历史按 username 隔离，保存在浏览器 visitor_chat_archives_v1</w:t>
      </w:r>
    </w:p>
    <w:p w14:paraId="36DA41E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当前会话和历史会话都支持重命名与删除</w:t>
      </w:r>
    </w:p>
    <w:p w14:paraId="633480F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历史会话进入只读模式，输入框和语音按钮自动禁用</w:t>
      </w:r>
    </w:p>
    <w:p w14:paraId="171E7BDB">
      <w:r>
        <w:t>当前正在进行的对话会携带最近上下文到后端，便于追问“它”“这里”“刚才那个景点”</w:t>
      </w:r>
    </w:p>
    <w:p w14:paraId="0AAAB6F5">
      <w:r>
        <w:t>后端短期记忆会保留上一轮景点、路线、偏好和工具调用摘要，退出或清理运行时缓存后重置</w:t>
      </w:r>
    </w:p>
    <w:p w14:paraId="2770CE27">
      <w:pPr>
        <w:rPr>
          <w:rFonts w:ascii="宋体" w:hAnsi="宋体" w:eastAsia="宋体" w:cs="宋体"/>
          <w:sz w:val="24"/>
          <w:szCs w:val="24"/>
        </w:rPr>
      </w:pPr>
    </w:p>
    <w:p w14:paraId="04FED5C6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布局说明</w:t>
      </w:r>
    </w:p>
    <w:p w14:paraId="0925EF7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左侧：可折叠历史侧栏，默认收起</w:t>
      </w:r>
    </w:p>
    <w:p w14:paraId="6997570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中间：实时或历史对话主区</w:t>
      </w:r>
    </w:p>
    <w:p w14:paraId="224CDCD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右侧：数字人视频主位和轻状态条</w:t>
      </w:r>
    </w:p>
    <w:p w14:paraId="2175D525">
      <w:pPr>
        <w:rPr>
          <w:rFonts w:ascii="宋体" w:hAnsi="宋体" w:eastAsia="宋体" w:cs="宋体"/>
          <w:sz w:val="24"/>
          <w:szCs w:val="24"/>
        </w:rPr>
      </w:pPr>
    </w:p>
    <w:p w14:paraId="46EEBE9E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体验约束</w:t>
      </w:r>
    </w:p>
    <w:p w14:paraId="759EE2A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聊天滚动区与视频舞台彻底分离</w:t>
      </w:r>
    </w:p>
    <w:p w14:paraId="62D1730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退出登录只清认证状态，不清本地历史</w:t>
      </w:r>
    </w:p>
    <w:p w14:paraId="06070F5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游客前台不展示用户画像分析结果</w:t>
      </w:r>
    </w:p>
    <w:p w14:paraId="3642E28C">
      <w:pPr>
        <w:rPr>
          <w:rFonts w:ascii="宋体" w:hAnsi="宋体" w:eastAsia="宋体" w:cs="宋体"/>
          <w:sz w:val="24"/>
          <w:szCs w:val="24"/>
        </w:rPr>
      </w:pPr>
    </w:p>
    <w:p w14:paraId="0F8AFF6F">
      <w:pPr>
        <w:rPr>
          <w:rFonts w:ascii="宋体" w:hAnsi="宋体" w:eastAsia="宋体" w:cs="宋体"/>
          <w:sz w:val="24"/>
          <w:szCs w:val="24"/>
        </w:rPr>
      </w:pPr>
    </w:p>
    <w:p w14:paraId="34DB26C9">
      <w:pPr>
        <w:rPr>
          <w:rFonts w:ascii="宋体" w:hAnsi="宋体" w:eastAsia="宋体" w:cs="宋体"/>
          <w:sz w:val="24"/>
          <w:szCs w:val="24"/>
        </w:rPr>
      </w:pPr>
    </w:p>
    <w:p w14:paraId="06A04C94">
      <w:pPr>
        <w:pStyle w:val="4"/>
        <w:spacing w:before="120" w:after="60"/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  <w:t>8.2 管理后台操作</w:t>
      </w:r>
    </w:p>
    <w:p w14:paraId="290AEF6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后台采用深色数据驾驶舱风格，主要模块包括：</w:t>
      </w:r>
    </w:p>
    <w:p w14:paraId="670D5068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KPI 卡片</w:t>
      </w:r>
    </w:p>
    <w:p w14:paraId="0F366C6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累计互动量</w:t>
      </w:r>
    </w:p>
    <w:p w14:paraId="02CE60E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当日互动量</w:t>
      </w:r>
    </w:p>
    <w:p w14:paraId="5967143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平均响应耗时</w:t>
      </w:r>
    </w:p>
    <w:p w14:paraId="363DECA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知识文档数</w:t>
      </w:r>
    </w:p>
    <w:p w14:paraId="057B008D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图表面板</w:t>
      </w:r>
    </w:p>
    <w:p w14:paraId="002ACD3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意图分布</w:t>
      </w:r>
    </w:p>
    <w:p w14:paraId="57DD2F0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推荐标签分布</w:t>
      </w:r>
    </w:p>
    <w:p w14:paraId="5640D8C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满意度趋势</w:t>
      </w:r>
    </w:p>
    <w:p w14:paraId="75D663B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关注焦点</w:t>
      </w:r>
    </w:p>
    <w:p w14:paraId="5AA0BB08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洞察面板</w:t>
      </w:r>
    </w:p>
    <w:p w14:paraId="19645E6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热点问题</w:t>
      </w:r>
    </w:p>
    <w:p w14:paraId="7FC5711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热门景点偏好</w:t>
      </w:r>
    </w:p>
    <w:p w14:paraId="39526BE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最近失败样例</w:t>
      </w:r>
    </w:p>
    <w:p w14:paraId="366CF76D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ascii="宋体" w:hAnsi="宋体" w:eastAsia="宋体" w:cs="宋体"/>
          <w:sz w:val="24"/>
          <w:szCs w:val="24"/>
        </w:rPr>
        <w:t>运维面板</w:t>
      </w:r>
    </w:p>
    <w:p w14:paraId="38900B3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音色切换与试听</w:t>
      </w:r>
    </w:p>
    <w:p w14:paraId="6E2CB48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默认头像上传</w:t>
      </w:r>
    </w:p>
    <w:p w14:paraId="27E090B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数字人画质模式切换</w:t>
      </w:r>
    </w:p>
    <w:p w14:paraId="494C3ED9">
      <w:pPr>
        <w:rPr>
          <w:rFonts w:ascii="宋体" w:hAnsi="宋体" w:eastAsia="宋体" w:cs="宋体"/>
          <w:sz w:val="24"/>
          <w:szCs w:val="24"/>
        </w:rPr>
      </w:pPr>
    </w:p>
    <w:p w14:paraId="402F01F6">
      <w:pPr>
        <w:rPr>
          <w:rFonts w:ascii="宋体" w:hAnsi="宋体" w:eastAsia="宋体" w:cs="宋体"/>
          <w:sz w:val="24"/>
          <w:szCs w:val="24"/>
        </w:rPr>
      </w:pPr>
    </w:p>
    <w:p w14:paraId="4BF2D06C">
      <w:pPr>
        <w:rPr>
          <w:rFonts w:ascii="宋体" w:hAnsi="宋体" w:eastAsia="宋体" w:cs="宋体"/>
          <w:sz w:val="24"/>
          <w:szCs w:val="24"/>
        </w:rPr>
      </w:pPr>
    </w:p>
    <w:p w14:paraId="2821A14D">
      <w:pPr>
        <w:rPr>
          <w:rFonts w:ascii="宋体" w:hAnsi="宋体" w:eastAsia="宋体" w:cs="宋体"/>
          <w:sz w:val="24"/>
          <w:szCs w:val="24"/>
        </w:rPr>
      </w:pPr>
    </w:p>
    <w:p w14:paraId="3EDEA2C6">
      <w:pPr>
        <w:pStyle w:val="4"/>
        <w:spacing w:before="120" w:after="60"/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  <w:t>8.3 数字人配置管理</w:t>
      </w:r>
    </w:p>
    <w:p w14:paraId="531F35E4">
      <w:pPr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核心任务：配置数字人参数</w:t>
      </w:r>
    </w:p>
    <w:p w14:paraId="34F81D56">
      <w:pPr>
        <w:rPr>
          <w:rFonts w:ascii="宋体" w:hAnsi="宋体" w:eastAsia="宋体" w:cs="宋体"/>
          <w:sz w:val="24"/>
          <w:szCs w:val="24"/>
          <w:lang w:val="en-US" w:eastAsia="zh-CN"/>
        </w:rPr>
      </w:pPr>
    </w:p>
    <w:p w14:paraId="59B6C2D0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音色管理</w:t>
      </w:r>
    </w:p>
    <w:p w14:paraId="685DE51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支持音色切换与试听</w:t>
      </w:r>
    </w:p>
    <w:p w14:paraId="0468E2DF">
      <w:pPr>
        <w:rPr>
          <w:rFonts w:ascii="宋体" w:hAnsi="宋体" w:eastAsia="宋体" w:cs="宋体"/>
          <w:sz w:val="24"/>
          <w:szCs w:val="24"/>
        </w:rPr>
      </w:pPr>
    </w:p>
    <w:p w14:paraId="12D4BF0E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头像管理</w:t>
      </w:r>
    </w:p>
    <w:p w14:paraId="6446C87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支持默认头像上传</w:t>
      </w:r>
    </w:p>
    <w:p w14:paraId="04CDDCFA">
      <w:pPr>
        <w:rPr>
          <w:rFonts w:ascii="宋体" w:hAnsi="宋体" w:eastAsia="宋体" w:cs="宋体"/>
          <w:sz w:val="24"/>
          <w:szCs w:val="24"/>
        </w:rPr>
      </w:pPr>
    </w:p>
    <w:p w14:paraId="0B37B811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画质模式切换</w:t>
      </w:r>
    </w:p>
    <w:p w14:paraId="00B47678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sz w:val="24"/>
          <w:szCs w:val="24"/>
        </w:rPr>
        <w:t>省显存模式：</w:t>
      </w:r>
    </w:p>
    <w:p w14:paraId="713AB7A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AVATAR_TORCH_DTYPE=float16</w:t>
      </w:r>
    </w:p>
    <w:p w14:paraId="59399B1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AVATAR_WARMUP_SECONDS=0.0</w:t>
      </w:r>
    </w:p>
    <w:p w14:paraId="23AE736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优先降低显存占用和首包压力</w:t>
      </w:r>
    </w:p>
    <w:p w14:paraId="6F8132D6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sz w:val="24"/>
          <w:szCs w:val="24"/>
        </w:rPr>
        <w:t>高质量模式：</w:t>
      </w:r>
    </w:p>
    <w:p w14:paraId="401262F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AVATAR_TORCH_DTYPE=bfloat16</w:t>
      </w:r>
    </w:p>
    <w:p w14:paraId="6AFF9E5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AVATAR_WARMUP_SECONDS=0.5</w:t>
      </w:r>
    </w:p>
    <w:p w14:paraId="7BE244B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优先画质稳定性和数字人观感</w:t>
      </w:r>
    </w:p>
    <w:p w14:paraId="5B2127EF">
      <w:pPr>
        <w:rPr>
          <w:rFonts w:ascii="宋体" w:hAnsi="宋体" w:eastAsia="宋体" w:cs="宋体"/>
          <w:sz w:val="24"/>
          <w:szCs w:val="24"/>
        </w:rPr>
      </w:pPr>
    </w:p>
    <w:p w14:paraId="60D5E15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后台切换时会：</w:t>
      </w:r>
    </w:p>
    <w:p w14:paraId="74D5830A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更新运行时配置</w:t>
      </w:r>
    </w:p>
    <w:p w14:paraId="0DC3D161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写回 .env</w:t>
      </w:r>
    </w:p>
    <w:p w14:paraId="26227C12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重置并重载 AvatarEngine</w:t>
      </w:r>
    </w:p>
    <w:p w14:paraId="56DB6EC6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ascii="宋体" w:hAnsi="宋体" w:eastAsia="宋体" w:cs="宋体"/>
          <w:sz w:val="24"/>
          <w:szCs w:val="24"/>
        </w:rPr>
        <w:t>保持默认头像基底图不丢失</w:t>
      </w:r>
    </w:p>
    <w:p w14:paraId="2E7997EC">
      <w:pPr>
        <w:rPr>
          <w:rFonts w:hint="eastAsia" w:eastAsia="宋体" w:asciiTheme="majorHAnsi" w:hAnsiTheme="majorHAnsi" w:cstheme="majorBidi"/>
          <w:b/>
          <w:color w:val="4874CB" w:themeColor="accent1"/>
          <w:kern w:val="2"/>
          <w:sz w:val="32"/>
          <w:szCs w:val="32"/>
          <w:lang w:val="en-US" w:eastAsia="zh-CN" w:bidi="ar-SA"/>
          <w14:textFill>
            <w14:solidFill>
              <w14:schemeClr w14:val="accent1"/>
            </w14:solidFill>
          </w14:textFill>
          <w14:ligatures w14:val="standardContextual"/>
        </w:rPr>
      </w:pPr>
    </w:p>
    <w:p w14:paraId="59C5EB16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  <w:t>9.统一评测</w:t>
      </w:r>
    </w:p>
    <w:p w14:paraId="41B815FB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统一评测命令：</w:t>
      </w:r>
    </w:p>
    <w:p w14:paraId="1BFD97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36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cs="宋体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sz w:val="24"/>
          <w:szCs w:val="24"/>
        </w:rPr>
        <w:t>. 生成统一评估用例</w:t>
      </w:r>
    </w:p>
    <w:p w14:paraId="292B0D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36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conda run -p "D:/Human/env" python -m app.cli generate-unified-eval --target 1200 --output tests/unified_eval_cases.jsonl</w:t>
      </w:r>
    </w:p>
    <w:p w14:paraId="33A578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36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cs="宋体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sz w:val="24"/>
          <w:szCs w:val="24"/>
        </w:rPr>
        <w:t>. 运行统一评估</w:t>
      </w:r>
    </w:p>
    <w:p w14:paraId="175BCC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36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conda run -p "D:/Human/env" python -m app.cli eval-unified --dataset tests/unified_eval_cases.jsonl --report reports/unified_eval_agent_full1200.json --markdown-report reports/unified_eval_agent_full1200.md --tier full --no-fail</w:t>
      </w:r>
    </w:p>
    <w:p w14:paraId="5E87F49E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最新完整评测结果：</w:t>
      </w:r>
    </w:p>
    <w:p w14:paraId="45A0E8F3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720"/>
        </w:tabs>
        <w:spacing w:before="0" w:beforeAutospacing="1" w:after="0" w:afterAutospacing="1"/>
        <w:ind w:left="720" w:hanging="360"/>
        <w:rPr>
          <w:rFonts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总题数：1200</w:t>
      </w:r>
    </w:p>
    <w:p w14:paraId="13439138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720"/>
        </w:tabs>
        <w:spacing w:before="53" w:beforeAutospacing="0" w:after="0" w:afterAutospacing="1"/>
        <w:ind w:left="720" w:hanging="360"/>
        <w:rPr>
          <w:rFonts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总分：99.20 / 100</w:t>
      </w:r>
    </w:p>
    <w:p w14:paraId="6EFF4606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720"/>
        </w:tabs>
        <w:spacing w:before="53" w:beforeAutospacing="0" w:after="0" w:afterAutospacing="1"/>
        <w:ind w:left="720" w:hanging="360"/>
        <w:rPr>
          <w:rFonts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总失败数：15</w:t>
      </w:r>
    </w:p>
    <w:p w14:paraId="3D02790A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720"/>
        </w:tabs>
        <w:spacing w:before="53" w:beforeAutospacing="0" w:after="0" w:afterAutospacing="1"/>
        <w:ind w:left="720" w:hanging="360"/>
        <w:rPr>
          <w:rFonts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运行时长：612.499s</w:t>
      </w:r>
    </w:p>
    <w:p w14:paraId="4607BCF9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分项结果：</w:t>
      </w:r>
    </w:p>
    <w:p w14:paraId="0262B76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docx_structured: 99.23</w:t>
      </w:r>
    </w:p>
    <w:p w14:paraId="1B4F0B5F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rPr>
          <w:rFonts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docx_rag: 98.53</w:t>
      </w:r>
    </w:p>
    <w:p w14:paraId="10D792E5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rPr>
          <w:rFonts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behavior_sql: 100.00</w:t>
      </w:r>
    </w:p>
    <w:p w14:paraId="37F1C8F2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rPr>
          <w:rFonts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fusion: 99.71</w:t>
      </w:r>
    </w:p>
    <w:p w14:paraId="26037D58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rPr>
          <w:rFonts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boundary: 96.67</w:t>
      </w:r>
    </w:p>
    <w:p w14:paraId="3739E677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当前剩余长尾问题仅集中在：</w:t>
      </w:r>
    </w:p>
    <w:p w14:paraId="3BB24A8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docx_structured 的少量结构化事实长尾表达</w:t>
      </w:r>
    </w:p>
    <w:p w14:paraId="46FB0EED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  <w:rPr>
          <w:rFonts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docx_rag 的个别专有名词覆盖</w:t>
      </w:r>
    </w:p>
    <w:p w14:paraId="151828FA">
      <w:pPr>
        <w:rPr>
          <w:rFonts w:hint="eastAsia" w:eastAsia="宋体" w:asciiTheme="majorHAnsi" w:hAnsiTheme="majorHAnsi" w:cstheme="majorBidi"/>
          <w:b/>
          <w:color w:val="4874CB" w:themeColor="accent1"/>
          <w:kern w:val="2"/>
          <w:sz w:val="32"/>
          <w:szCs w:val="32"/>
          <w:lang w:val="en-US" w:eastAsia="zh-CN" w:bidi="ar-SA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本轮单元回归：27 个用例全部通过，覆盖 ToolRunner、AgentLoopController、闲聊保护、planner 路由和响应契约。</w:t>
      </w:r>
    </w:p>
    <w:p w14:paraId="77A5269C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32"/>
          <w:szCs w:val="28"/>
          <w:lang w:val="en-US" w:eastAsia="zh-CN" w:bidi="ar-SA"/>
          <w14:ligatures w14:val="none"/>
        </w:rPr>
        <w:t>10. 常见问题与异常排查</w:t>
      </w:r>
    </w:p>
    <w:p w14:paraId="6A84369C">
      <w:pPr>
        <w:pStyle w:val="4"/>
        <w:spacing w:before="120" w:after="60"/>
        <w:rPr>
          <w:rFonts w:hint="default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  <w:t>10.1</w:t>
      </w:r>
      <w:r>
        <w:rPr>
          <w:rFonts w:hint="default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  <w:t>语音识别失败</w:t>
      </w:r>
    </w:p>
    <w:p w14:paraId="78E19DB6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 w:line="240" w:lineRule="auto"/>
        <w:ind w:left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检查：</w:t>
      </w:r>
    </w:p>
    <w:p w14:paraId="493E82EE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 w:line="24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浏览器麦克风权限是否开启</w:t>
      </w:r>
    </w:p>
    <w:p w14:paraId="5FFFBAAF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 w:line="24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`/api/v1/interact/audio` 是否可访问</w:t>
      </w:r>
    </w:p>
    <w:p w14:paraId="73B192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imageio-ffmpeg` 自带 ffmpeg 是否存在</w:t>
      </w:r>
    </w:p>
    <w:p w14:paraId="0936DFD2">
      <w:pPr>
        <w:pStyle w:val="4"/>
        <w:spacing w:before="120" w:after="60"/>
        <w:rPr>
          <w:rFonts w:hint="default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  <w:t>10</w:t>
      </w:r>
      <w:r>
        <w:rPr>
          <w:rFonts w:hint="default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  <w:t>.2 数字人视频未生成</w:t>
      </w:r>
    </w:p>
    <w:p w14:paraId="091C8EA7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 w:line="24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检查：</w:t>
      </w:r>
    </w:p>
    <w:p w14:paraId="06043BB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 w:line="24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返回体中是否包含 `video_stream_url`</w:t>
      </w:r>
    </w:p>
    <w:p w14:paraId="257566F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SoulX-FlashHead/data/temp/` 下是否生成 `*_video.mp4`</w:t>
      </w:r>
    </w:p>
    <w:p w14:paraId="1AEF5B7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GPU 显存是否足够</w:t>
      </w:r>
    </w:p>
    <w:p w14:paraId="3D1CC9F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当前画质模式是否适合机器配置</w:t>
      </w:r>
    </w:p>
    <w:p w14:paraId="02C7AB51">
      <w:pPr>
        <w:pStyle w:val="4"/>
        <w:spacing w:before="120" w:after="60"/>
        <w:rPr>
          <w:rFonts w:hint="default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  <w:t>10</w:t>
      </w:r>
      <w:r>
        <w:rPr>
          <w:rFonts w:hint="default" w:ascii="微软雅黑" w:hAnsi="微软雅黑" w:eastAsia="微软雅黑" w:cs="微软雅黑"/>
          <w:b/>
          <w:bCs/>
          <w:i w:val="0"/>
          <w:color w:val="1F4E79"/>
          <w:kern w:val="0"/>
          <w:sz w:val="26"/>
          <w:szCs w:val="26"/>
          <w:lang w:val="en-US" w:eastAsia="zh-CN" w:bidi="ar-SA"/>
          <w14:ligatures w14:val="none"/>
        </w:rPr>
        <w:t>.3 后台图表为空</w:t>
      </w:r>
    </w:p>
    <w:p w14:paraId="074DCF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 w:line="24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先执行：</w:t>
      </w:r>
    </w:p>
    <w:p w14:paraId="199A00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```bat</w:t>
      </w:r>
    </w:p>
    <w:p w14:paraId="3476B9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conda run -p "D:/Human/env" python -m app.cli seed-demo-logs --reset</w:t>
      </w:r>
    </w:p>
    <w:p w14:paraId="5A2916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24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```</w:t>
      </w:r>
    </w:p>
    <w:p w14:paraId="6CE57E15">
      <w:pPr>
        <w:rPr>
          <w:rFonts w:ascii="宋体" w:hAnsi="宋体" w:eastAsia="宋体" w:cs="宋体"/>
          <w:sz w:val="24"/>
          <w:szCs w:val="24"/>
        </w:rPr>
      </w:pPr>
    </w:p>
    <w:sectPr>
      <w:footerReference r:id="rId7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118DC">
    <w:pPr>
      <w:pStyle w:val="7"/>
      <w:tabs>
        <w:tab w:val="clear" w:pos="8306"/>
      </w:tabs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487CD">
    <w:pPr>
      <w:pStyle w:val="7"/>
      <w:tabs>
        <w:tab w:val="center" w:pos="4680"/>
        <w:tab w:val="right" w:pos="9360"/>
        <w:tab w:val="clear" w:pos="4153"/>
        <w:tab w:val="clear" w:pos="8306"/>
      </w:tabs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E3195D">
    <w:pPr>
      <w:pStyle w:val="7"/>
      <w:jc w:val="center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67689"/>
                            <w:docPartObj>
                              <w:docPartGallery w:val="autotext"/>
                            </w:docPartObj>
                          </w:sdtPr>
                          <w:sdtContent>
                            <w:sdt>
                              <w:sdtPr>
                                <w:id w:val="147465298"/>
                                <w:docPartObj>
                                  <w:docPartGallery w:val="autotext"/>
                                </w:docPartObj>
                              </w:sdtPr>
                              <w:sdtContent>
                                <w:p w14:paraId="35CEEE11">
                                  <w:pPr>
                                    <w:pStyle w:val="7"/>
                                    <w:jc w:val="center"/>
                                  </w:pPr>
                                  <w:r>
                                    <w:rPr>
                                      <w:lang w:val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instrText xml:space="preserve">PAGE</w:instrTex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lang w:val="zh-CN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zh-CN"/>
                                    </w:rPr>
                                    <w:t xml:space="preserve"> </w:t>
                                  </w:r>
                                </w:p>
                              </w:sdtContent>
                            </w:sdt>
                          </w:sdtContent>
                        </w:sdt>
                        <w:p w14:paraId="05B153EF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67689"/>
                      <w:docPartObj>
                        <w:docPartGallery w:val="autotext"/>
                      </w:docPartObj>
                    </w:sdtPr>
                    <w:sdtContent>
                      <w:sdt>
                        <w:sdtPr>
                          <w:id w:val="147465298"/>
                          <w:docPartObj>
                            <w:docPartGallery w:val="autotext"/>
                          </w:docPartObj>
                        </w:sdtPr>
                        <w:sdtContent>
                          <w:p w14:paraId="35CEEE11">
                            <w:pPr>
                              <w:pStyle w:val="7"/>
                              <w:jc w:val="center"/>
                            </w:pPr>
                            <w:r>
                              <w:rPr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PAGE</w:instrTex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lang w:val="zh-CN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lang w:val="zh-CN"/>
                              </w:rPr>
                              <w:t xml:space="preserve"> </w:t>
                            </w:r>
                          </w:p>
                        </w:sdtContent>
                      </w:sdt>
                    </w:sdtContent>
                  </w:sdt>
                  <w:p w14:paraId="05B153EF"/>
                </w:txbxContent>
              </v:textbox>
            </v:shape>
          </w:pict>
        </mc:Fallback>
      </mc:AlternateContent>
    </w:r>
  </w:p>
  <w:p w14:paraId="2AC3296F">
    <w:pPr>
      <w:pStyle w:val="7"/>
      <w:tabs>
        <w:tab w:val="clear" w:pos="8306"/>
      </w:tabs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35EEBC"/>
    <w:multiLevelType w:val="multilevel"/>
    <w:tmpl w:val="9135EE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3F203E0"/>
    <w:multiLevelType w:val="multilevel"/>
    <w:tmpl w:val="D3F203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9D64B3F"/>
    <w:multiLevelType w:val="multilevel"/>
    <w:tmpl w:val="D9D64B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A2B85A2"/>
    <w:multiLevelType w:val="singleLevel"/>
    <w:tmpl w:val="0A2B85A2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D978F80"/>
    <w:multiLevelType w:val="multilevel"/>
    <w:tmpl w:val="0D978F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BFF1F41"/>
    <w:multiLevelType w:val="multilevel"/>
    <w:tmpl w:val="1BFF1F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13E2C12"/>
    <w:multiLevelType w:val="singleLevel"/>
    <w:tmpl w:val="213E2C12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2C68D376"/>
    <w:multiLevelType w:val="multilevel"/>
    <w:tmpl w:val="2C68D3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58E3B2E"/>
    <w:multiLevelType w:val="singleLevel"/>
    <w:tmpl w:val="358E3B2E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700CC813"/>
    <w:multiLevelType w:val="multilevel"/>
    <w:tmpl w:val="700CC8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9"/>
  </w:num>
  <w:num w:numId="7">
    <w:abstractNumId w:val="7"/>
  </w:num>
  <w:num w:numId="8">
    <w:abstractNumId w:val="2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531A4D"/>
    <w:rsid w:val="02A3564F"/>
    <w:rsid w:val="0B801CEE"/>
    <w:rsid w:val="138A5FE6"/>
    <w:rsid w:val="1448749A"/>
    <w:rsid w:val="15406E6B"/>
    <w:rsid w:val="17CB327E"/>
    <w:rsid w:val="1B8276EF"/>
    <w:rsid w:val="234A52C4"/>
    <w:rsid w:val="25042447"/>
    <w:rsid w:val="25D96410"/>
    <w:rsid w:val="2A0136D3"/>
    <w:rsid w:val="2A531A4D"/>
    <w:rsid w:val="2BF5596C"/>
    <w:rsid w:val="2E734E6D"/>
    <w:rsid w:val="32F17C31"/>
    <w:rsid w:val="37780283"/>
    <w:rsid w:val="37CE392A"/>
    <w:rsid w:val="398F66E6"/>
    <w:rsid w:val="39EE5E02"/>
    <w:rsid w:val="39F647B9"/>
    <w:rsid w:val="3AAF309E"/>
    <w:rsid w:val="3B5879B5"/>
    <w:rsid w:val="42782BC7"/>
    <w:rsid w:val="454334E5"/>
    <w:rsid w:val="45B24157"/>
    <w:rsid w:val="467E01DE"/>
    <w:rsid w:val="495C3403"/>
    <w:rsid w:val="4B165540"/>
    <w:rsid w:val="4C4423AE"/>
    <w:rsid w:val="521A50F0"/>
    <w:rsid w:val="5328284C"/>
    <w:rsid w:val="574803A0"/>
    <w:rsid w:val="59270B4E"/>
    <w:rsid w:val="59D747E6"/>
    <w:rsid w:val="5B7A1FBA"/>
    <w:rsid w:val="5C2B7526"/>
    <w:rsid w:val="623644AE"/>
    <w:rsid w:val="62A86B5A"/>
    <w:rsid w:val="62BE08F6"/>
    <w:rsid w:val="678B52EF"/>
    <w:rsid w:val="686B3AFC"/>
    <w:rsid w:val="699121C1"/>
    <w:rsid w:val="6E3630BC"/>
    <w:rsid w:val="70BF3499"/>
    <w:rsid w:val="739A53BF"/>
    <w:rsid w:val="74834C59"/>
    <w:rsid w:val="7A9159A9"/>
    <w:rsid w:val="7C0D3A1B"/>
    <w:rsid w:val="7C116A4B"/>
    <w:rsid w:val="7DF54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80"/>
      <w:outlineLvl w:val="0"/>
    </w:pPr>
    <w:rPr>
      <w:rFonts w:eastAsia="宋体" w:asciiTheme="majorHAnsi" w:hAnsiTheme="majorHAnsi" w:cstheme="majorBidi"/>
      <w:b/>
      <w:sz w:val="48"/>
      <w:szCs w:val="4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eastAsia="宋体" w:asciiTheme="majorHAnsi" w:hAnsiTheme="majorHAnsi" w:cstheme="majorBidi"/>
      <w:b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="宋体" w:asciiTheme="majorHAnsi" w:hAnsiTheme="majorHAnsi" w:cstheme="majorBidi"/>
      <w:b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default="1" w:styleId="16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7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8">
    <w:name w:val="header"/>
    <w:basedOn w:val="1"/>
    <w:link w:val="22"/>
    <w:unhideWhenUsed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9">
    <w:name w:val="toc 1"/>
    <w:basedOn w:val="1"/>
    <w:next w:val="1"/>
    <w:semiHidden/>
    <w:unhideWhenUsed/>
    <w:qFormat/>
    <w:uiPriority w:val="39"/>
    <w:rPr>
      <w:rFonts w:ascii="微软雅黑" w:hAnsi="微软雅黑" w:eastAsia="微软雅黑" w:cs="微软雅黑"/>
    </w:rPr>
  </w:style>
  <w:style w:type="paragraph" w:styleId="1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HTML Code"/>
    <w:basedOn w:val="16"/>
    <w:qFormat/>
    <w:uiPriority w:val="0"/>
    <w:rPr>
      <w:rFonts w:ascii="Courier New" w:hAnsi="Courier New"/>
      <w:sz w:val="20"/>
    </w:rPr>
  </w:style>
  <w:style w:type="paragraph" w:customStyle="1" w:styleId="19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table" w:customStyle="1" w:styleId="21">
    <w:name w:val="Grid Table 4 Accent 1"/>
    <w:basedOn w:val="14"/>
    <w:qFormat/>
    <w:uiPriority w:val="49"/>
    <w:pPr>
      <w:spacing w:after="0" w:line="240" w:lineRule="auto"/>
    </w:pPr>
    <w:tblPr>
      <w:tblBorders>
        <w:top w:val="single" w:color="91ABDF" w:themeColor="accent1" w:themeTint="99" w:sz="4" w:space="0"/>
        <w:left w:val="single" w:color="91ABDF" w:themeColor="accent1" w:themeTint="99" w:sz="4" w:space="0"/>
        <w:bottom w:val="single" w:color="91ABDF" w:themeColor="accent1" w:themeTint="99" w:sz="4" w:space="0"/>
        <w:right w:val="single" w:color="91ABDF" w:themeColor="accent1" w:themeTint="99" w:sz="4" w:space="0"/>
        <w:insideH w:val="single" w:color="91ABDF" w:themeColor="accent1" w:themeTint="99" w:sz="4" w:space="0"/>
        <w:insideV w:val="single" w:color="91ABDF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874CB" w:themeColor="accent1" w:sz="4" w:space="0"/>
          <w:left w:val="single" w:color="4874CB" w:themeColor="accent1" w:sz="4" w:space="0"/>
          <w:bottom w:val="single" w:color="4874CB" w:themeColor="accent1" w:sz="4" w:space="0"/>
          <w:right w:val="single" w:color="4874CB" w:themeColor="accent1" w:sz="4" w:space="0"/>
          <w:insideH w:val="nil"/>
          <w:insideV w:val="nil"/>
        </w:tcBorders>
        <w:shd w:val="clear" w:color="auto" w:fill="4874CB" w:themeFill="accent1"/>
      </w:tcPr>
    </w:tblStylePr>
    <w:tblStylePr w:type="lastRow">
      <w:rPr>
        <w:b/>
        <w:bCs/>
      </w:rPr>
      <w:tcPr>
        <w:tcBorders>
          <w:top w:val="double" w:color="4874C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character" w:customStyle="1" w:styleId="22">
    <w:name w:val="页眉 字符"/>
    <w:basedOn w:val="16"/>
    <w:link w:val="8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3922</Words>
  <Characters>8512</Characters>
  <Lines>0</Lines>
  <Paragraphs>0</Paragraphs>
  <TotalTime>6</TotalTime>
  <ScaleCrop>false</ScaleCrop>
  <LinksUpToDate>false</LinksUpToDate>
  <CharactersWithSpaces>9043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2026-05-16T10:53:00Z</dcterms:created>
  <dc:creator>朱文楦</dc:creator>
  <cp:lastModifiedBy>Louis</cp:lastModifiedBy>
  <dcterms:modified xsi:type="dcterms:W3CDTF">2026-06-18T12:56:26Z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DED2F20F14B34C928413E6CE29E781A8_13</vt:lpwstr>
  </property>
  <property fmtid="{D5CDD505-2E9C-101B-9397-08002B2CF9AE}" pid="4" name="KSOTemplateDocerSaveRecord">
    <vt:lpwstr>eyJoZGlkIjoiNjZhMjhjYjA3YjM1YjQxOWNkMTY0MzBlOTg3ZWMzYzEiLCJ1c2VySWQiOiIyNDU0NDg4MTkifQ==</vt:lpwstr>
  </property>
</Properties>
</file>