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0A05" w14:textId="77777777" w:rsidR="00B27567" w:rsidRDefault="00470256">
      <w:pPr>
        <w:snapToGrid w:val="0"/>
        <w:spacing w:after="0" w:line="600" w:lineRule="exact"/>
        <w:ind w:firstLineChars="200" w:firstLine="1044"/>
        <w:jc w:val="left"/>
        <w:rPr>
          <w:rFonts w:ascii="黑体" w:eastAsia="黑体" w:hAnsi="宋体" w:cs="黑体" w:hint="eastAsia"/>
          <w:b/>
          <w:sz w:val="52"/>
          <w:szCs w:val="52"/>
        </w:rPr>
      </w:pPr>
      <w:r>
        <w:rPr>
          <w:rFonts w:ascii="黑体" w:eastAsia="黑体" w:hAnsi="宋体" w:cs="黑体" w:hint="eastAsia"/>
          <w:b/>
          <w:kern w:val="0"/>
          <w:sz w:val="52"/>
          <w:szCs w:val="52"/>
          <w:lang w:bidi="ar"/>
        </w:rPr>
        <w:t>西南交通大学实习实训开发文档</w:t>
      </w:r>
    </w:p>
    <w:p w14:paraId="42EA1AC3" w14:textId="77777777" w:rsidR="00B27567" w:rsidRDefault="00470256">
      <w:pPr>
        <w:tabs>
          <w:tab w:val="left" w:pos="2712"/>
        </w:tabs>
        <w:snapToGrid w:val="0"/>
        <w:spacing w:after="0" w:line="240" w:lineRule="atLeast"/>
        <w:jc w:val="left"/>
        <w:rPr>
          <w:rFonts w:ascii="黑体" w:eastAsia="黑体" w:hAnsi="宋体" w:cs="黑体" w:hint="eastAsia"/>
          <w:sz w:val="52"/>
          <w:szCs w:val="52"/>
        </w:rPr>
      </w:pPr>
      <w:r>
        <w:rPr>
          <w:rFonts w:ascii="Arial" w:eastAsia="宋体" w:hAnsi="Arial" w:cs="Times New Roman"/>
          <w:noProof/>
          <w:kern w:val="0"/>
          <w:sz w:val="20"/>
          <w:szCs w:val="20"/>
          <w:lang w:bidi="ar"/>
        </w:rPr>
        <w:drawing>
          <wp:inline distT="0" distB="0" distL="114300" distR="114300" wp14:anchorId="1CBAE042" wp14:editId="483A0444">
            <wp:extent cx="5875020" cy="1874520"/>
            <wp:effectExtent l="0" t="0" r="762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867B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7D60E3A3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tbl>
      <w:tblPr>
        <w:tblpPr w:leftFromText="180" w:rightFromText="180" w:vertAnchor="text" w:horzAnchor="page" w:tblpXSpec="center" w:tblpY="40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48"/>
        <w:gridCol w:w="5904"/>
      </w:tblGrid>
      <w:tr w:rsidR="00B27567" w14:paraId="430388DD" w14:textId="77777777">
        <w:trPr>
          <w:cantSplit/>
          <w:trHeight w:val="785"/>
        </w:trPr>
        <w:tc>
          <w:tcPr>
            <w:tcW w:w="1948" w:type="dxa"/>
            <w:vAlign w:val="center"/>
          </w:tcPr>
          <w:p w14:paraId="0909E4F2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项目标题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 xml:space="preserve">: </w:t>
            </w:r>
          </w:p>
        </w:tc>
        <w:tc>
          <w:tcPr>
            <w:tcW w:w="5904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A0CDC9" w14:textId="77777777" w:rsidR="00B27567" w:rsidRDefault="00470256">
            <w:pPr>
              <w:pStyle w:val="a0"/>
              <w:widowControl/>
              <w:ind w:left="0"/>
              <w:jc w:val="center"/>
              <w:rPr>
                <w:rFonts w:ascii="楷体_GB2312" w:eastAsia="楷体_GB2312" w:cs="楷体_GB2312"/>
                <w:b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b/>
                <w:sz w:val="32"/>
                <w:szCs w:val="32"/>
              </w:rPr>
              <w:t>音乐专辑数据分析展示</w:t>
            </w:r>
          </w:p>
        </w:tc>
      </w:tr>
      <w:tr w:rsidR="00B27567" w14:paraId="730A8325" w14:textId="77777777">
        <w:trPr>
          <w:cantSplit/>
          <w:trHeight w:val="391"/>
        </w:trPr>
        <w:tc>
          <w:tcPr>
            <w:tcW w:w="1948" w:type="dxa"/>
            <w:vMerge w:val="restart"/>
            <w:vAlign w:val="center"/>
          </w:tcPr>
          <w:p w14:paraId="79A64EE3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学生姓名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>:</w:t>
            </w:r>
          </w:p>
        </w:tc>
        <w:tc>
          <w:tcPr>
            <w:tcW w:w="5904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2D5B0A" w14:textId="77777777" w:rsidR="00B27567" w:rsidRDefault="00B2756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27567" w14:paraId="03239FFD" w14:textId="77777777">
        <w:trPr>
          <w:cantSplit/>
          <w:trHeight w:val="580"/>
        </w:trPr>
        <w:tc>
          <w:tcPr>
            <w:tcW w:w="1948" w:type="dxa"/>
            <w:vMerge/>
            <w:vAlign w:val="center"/>
          </w:tcPr>
          <w:p w14:paraId="75560DA9" w14:textId="77777777" w:rsidR="00B27567" w:rsidRDefault="00B2756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5709E7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楷体_GB2312" w:eastAsia="楷体_GB2312" w:hAnsi="楷体_GB2312" w:cs="楷体_GB2312" w:hint="eastAsia"/>
                <w:b/>
                <w:sz w:val="32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b/>
                <w:kern w:val="0"/>
                <w:sz w:val="32"/>
                <w:szCs w:val="32"/>
                <w:lang w:bidi="ar"/>
              </w:rPr>
              <w:t>刘黎辉</w:t>
            </w:r>
            <w:r>
              <w:rPr>
                <w:rFonts w:ascii="楷体_GB2312" w:eastAsia="楷体_GB2312" w:hAnsi="楷体_GB2312" w:cs="楷体_GB2312" w:hint="eastAsia"/>
                <w:b/>
                <w:kern w:val="0"/>
                <w:sz w:val="32"/>
                <w:szCs w:val="32"/>
                <w:lang w:bidi="ar"/>
              </w:rPr>
              <w:t xml:space="preserve"> </w:t>
            </w:r>
            <w:r>
              <w:rPr>
                <w:rFonts w:ascii="楷体_GB2312" w:eastAsia="楷体_GB2312" w:hAnsi="楷体_GB2312" w:cs="楷体_GB2312" w:hint="eastAsia"/>
                <w:b/>
                <w:kern w:val="0"/>
                <w:sz w:val="32"/>
                <w:szCs w:val="32"/>
                <w:lang w:bidi="ar"/>
              </w:rPr>
              <w:t>杨凌</w:t>
            </w:r>
            <w:r>
              <w:rPr>
                <w:rFonts w:ascii="楷体_GB2312" w:eastAsia="楷体_GB2312" w:hAnsi="楷体_GB2312" w:cs="楷体_GB2312" w:hint="eastAsia"/>
                <w:b/>
                <w:kern w:val="0"/>
                <w:sz w:val="32"/>
                <w:szCs w:val="32"/>
                <w:lang w:bidi="ar"/>
              </w:rPr>
              <w:t xml:space="preserve"> </w:t>
            </w:r>
            <w:r>
              <w:rPr>
                <w:rFonts w:ascii="楷体_GB2312" w:eastAsia="楷体_GB2312" w:hAnsi="楷体_GB2312" w:cs="楷体_GB2312" w:hint="eastAsia"/>
                <w:b/>
                <w:kern w:val="0"/>
                <w:sz w:val="32"/>
                <w:szCs w:val="32"/>
                <w:lang w:bidi="ar"/>
              </w:rPr>
              <w:t>刘嘉曦</w:t>
            </w:r>
          </w:p>
        </w:tc>
      </w:tr>
      <w:tr w:rsidR="00B27567" w14:paraId="0C7E52AF" w14:textId="77777777">
        <w:trPr>
          <w:trHeight w:val="680"/>
        </w:trPr>
        <w:tc>
          <w:tcPr>
            <w:tcW w:w="1948" w:type="dxa"/>
            <w:vAlign w:val="center"/>
          </w:tcPr>
          <w:p w14:paraId="08BD61D0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学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号：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5E30AD" w14:textId="77777777" w:rsidR="00B27567" w:rsidRDefault="00470256">
            <w:pPr>
              <w:snapToGrid w:val="0"/>
              <w:spacing w:after="0" w:line="240" w:lineRule="atLeast"/>
              <w:rPr>
                <w:rFonts w:ascii="楷体_GB2312" w:eastAsia="楷体_GB2312" w:hAnsi="楷体_GB2312" w:cs="楷体_GB2312" w:hint="eastAsia"/>
                <w:b/>
                <w:sz w:val="32"/>
                <w:szCs w:val="32"/>
              </w:rPr>
            </w:pPr>
            <w:r>
              <w:rPr>
                <w:rFonts w:ascii="楷体_GB2312" w:eastAsia="楷体_GB2312" w:hAnsi="楷体_GB2312" w:cs="楷体_GB2312" w:hint="eastAsia"/>
                <w:b/>
                <w:sz w:val="32"/>
                <w:szCs w:val="32"/>
              </w:rPr>
              <w:t>2025113931 2025113883 2025113928</w:t>
            </w:r>
          </w:p>
        </w:tc>
      </w:tr>
      <w:tr w:rsidR="00B27567" w14:paraId="54E58D8F" w14:textId="77777777">
        <w:trPr>
          <w:trHeight w:val="680"/>
        </w:trPr>
        <w:tc>
          <w:tcPr>
            <w:tcW w:w="1948" w:type="dxa"/>
            <w:vAlign w:val="center"/>
          </w:tcPr>
          <w:p w14:paraId="6536CB47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所属院系：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215C7B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数学学院</w:t>
            </w:r>
          </w:p>
        </w:tc>
      </w:tr>
      <w:tr w:rsidR="00B27567" w14:paraId="56940113" w14:textId="77777777">
        <w:trPr>
          <w:trHeight w:val="680"/>
        </w:trPr>
        <w:tc>
          <w:tcPr>
            <w:tcW w:w="1948" w:type="dxa"/>
            <w:vAlign w:val="center"/>
          </w:tcPr>
          <w:p w14:paraId="05748D9B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专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业：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6937F1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数据科学与大数据技术</w:t>
            </w:r>
          </w:p>
        </w:tc>
      </w:tr>
      <w:tr w:rsidR="00B27567" w14:paraId="1B487F4C" w14:textId="77777777">
        <w:trPr>
          <w:trHeight w:val="680"/>
        </w:trPr>
        <w:tc>
          <w:tcPr>
            <w:tcW w:w="1948" w:type="dxa"/>
            <w:vAlign w:val="center"/>
          </w:tcPr>
          <w:p w14:paraId="06FA1EA8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班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级：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6C3F6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>202</w:t>
            </w:r>
            <w:r>
              <w:rPr>
                <w:rFonts w:ascii="Arial" w:eastAsia="楷体_GB2312" w:hAnsi="Arial" w:cs="Times New Roman" w:hint="eastAsia"/>
                <w:b/>
                <w:kern w:val="0"/>
                <w:sz w:val="32"/>
                <w:szCs w:val="32"/>
                <w:lang w:bidi="ar"/>
              </w:rPr>
              <w:t>5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>-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大数据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1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班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 xml:space="preserve"> 3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班</w:t>
            </w:r>
          </w:p>
        </w:tc>
      </w:tr>
      <w:tr w:rsidR="00B27567" w14:paraId="2F0E1249" w14:textId="77777777">
        <w:trPr>
          <w:trHeight w:val="680"/>
        </w:trPr>
        <w:tc>
          <w:tcPr>
            <w:tcW w:w="1948" w:type="dxa"/>
            <w:vAlign w:val="center"/>
          </w:tcPr>
          <w:p w14:paraId="474852A9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指导老师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>: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98053F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吴优</w:t>
            </w:r>
          </w:p>
        </w:tc>
      </w:tr>
      <w:tr w:rsidR="00B27567" w14:paraId="39DB9CAF" w14:textId="77777777">
        <w:trPr>
          <w:trHeight w:val="680"/>
        </w:trPr>
        <w:tc>
          <w:tcPr>
            <w:tcW w:w="1948" w:type="dxa"/>
            <w:vAlign w:val="center"/>
          </w:tcPr>
          <w:p w14:paraId="49E05089" w14:textId="77777777" w:rsidR="00B27567" w:rsidRDefault="00470256">
            <w:pPr>
              <w:snapToGrid w:val="0"/>
              <w:spacing w:after="0" w:line="240" w:lineRule="atLeast"/>
              <w:jc w:val="left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日</w:t>
            </w:r>
            <w:r>
              <w:rPr>
                <w:rFonts w:ascii="Arial" w:eastAsia="楷体_GB2312" w:hAnsi="Arial" w:cs="Times New Roman"/>
                <w:b/>
                <w:kern w:val="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Arial" w:eastAsia="楷体_GB2312" w:hAnsi="Arial" w:cs="楷体_GB2312" w:hint="eastAsia"/>
                <w:b/>
                <w:kern w:val="0"/>
                <w:sz w:val="32"/>
                <w:szCs w:val="32"/>
                <w:lang w:bidi="ar"/>
              </w:rPr>
              <w:t>期：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7E85B1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eastAsia="楷体_GB2312"/>
                <w:b/>
                <w:sz w:val="32"/>
                <w:szCs w:val="32"/>
              </w:rPr>
            </w:pPr>
            <w:r>
              <w:rPr>
                <w:rFonts w:eastAsia="楷体_GB2312" w:hint="eastAsia"/>
                <w:b/>
                <w:sz w:val="32"/>
                <w:szCs w:val="32"/>
              </w:rPr>
              <w:t>2026</w:t>
            </w:r>
            <w:r>
              <w:rPr>
                <w:rFonts w:eastAsia="楷体_GB2312" w:hint="eastAsia"/>
                <w:b/>
                <w:sz w:val="32"/>
                <w:szCs w:val="32"/>
              </w:rPr>
              <w:t>年</w:t>
            </w:r>
            <w:r>
              <w:rPr>
                <w:rFonts w:eastAsia="楷体_GB2312" w:hint="eastAsia"/>
                <w:b/>
                <w:sz w:val="32"/>
                <w:szCs w:val="32"/>
              </w:rPr>
              <w:t>7</w:t>
            </w:r>
            <w:r>
              <w:rPr>
                <w:rFonts w:eastAsia="楷体_GB2312" w:hint="eastAsia"/>
                <w:b/>
                <w:sz w:val="32"/>
                <w:szCs w:val="32"/>
              </w:rPr>
              <w:t>月</w:t>
            </w:r>
            <w:r>
              <w:rPr>
                <w:rFonts w:eastAsia="楷体_GB2312" w:hint="eastAsia"/>
                <w:b/>
                <w:sz w:val="32"/>
                <w:szCs w:val="32"/>
              </w:rPr>
              <w:t>16</w:t>
            </w:r>
            <w:r>
              <w:rPr>
                <w:rFonts w:eastAsia="楷体_GB2312" w:hint="eastAsia"/>
                <w:b/>
                <w:sz w:val="32"/>
                <w:szCs w:val="32"/>
              </w:rPr>
              <w:t>日</w:t>
            </w:r>
          </w:p>
        </w:tc>
      </w:tr>
    </w:tbl>
    <w:p w14:paraId="3916C70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9DF49FD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62649F3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5EFBD5A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194009E1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8C7AA98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2EE8695A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251E7D42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1DB82578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C8233ED" w14:textId="77777777" w:rsidR="00B27567" w:rsidRDefault="00470256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  <w:r>
        <w:rPr>
          <w:rFonts w:hAnsi="宋体" w:hint="eastAsia"/>
          <w:b/>
          <w:sz w:val="24"/>
          <w:szCs w:val="20"/>
        </w:rPr>
        <w:lastRenderedPageBreak/>
        <w:t>文档信息</w:t>
      </w:r>
    </w:p>
    <w:tbl>
      <w:tblPr>
        <w:tblW w:w="9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60"/>
      </w:tblGrid>
      <w:tr w:rsidR="00B27567" w14:paraId="57FEA208" w14:textId="77777777">
        <w:trPr>
          <w:trHeight w:val="1085"/>
          <w:jc w:val="center"/>
        </w:trPr>
        <w:tc>
          <w:tcPr>
            <w:tcW w:w="9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E1F0" w14:textId="77777777" w:rsidR="00B27567" w:rsidRDefault="00470256">
            <w:pPr>
              <w:snapToGrid w:val="0"/>
              <w:spacing w:after="0" w:line="1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创建日期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:2026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12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</w:tr>
      <w:tr w:rsidR="00B27567" w14:paraId="7936AC2C" w14:textId="77777777">
        <w:trPr>
          <w:trHeight w:val="1118"/>
          <w:jc w:val="center"/>
        </w:trPr>
        <w:tc>
          <w:tcPr>
            <w:tcW w:w="9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F1AF" w14:textId="77777777" w:rsidR="00B27567" w:rsidRDefault="00470256">
            <w:pPr>
              <w:snapToGrid w:val="0"/>
              <w:spacing w:after="0" w:line="1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上次更新日期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:2026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</w:tr>
    </w:tbl>
    <w:p w14:paraId="41781FE0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86BB303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16BF3D61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1A26A0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0ECBA7A8" w14:textId="77777777" w:rsidR="00B27567" w:rsidRDefault="00470256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  <w:r>
        <w:rPr>
          <w:rFonts w:hAnsi="宋体" w:hint="eastAsia"/>
          <w:b/>
          <w:sz w:val="24"/>
          <w:szCs w:val="20"/>
        </w:rPr>
        <w:t>修订历史纪录</w:t>
      </w:r>
    </w:p>
    <w:tbl>
      <w:tblPr>
        <w:tblW w:w="8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7"/>
        <w:gridCol w:w="968"/>
        <w:gridCol w:w="3597"/>
        <w:gridCol w:w="1538"/>
      </w:tblGrid>
      <w:tr w:rsidR="00B27567" w14:paraId="161A3014" w14:textId="77777777">
        <w:trPr>
          <w:trHeight w:val="1296"/>
          <w:jc w:val="center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8238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b/>
                <w:sz w:val="36"/>
                <w:szCs w:val="36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36"/>
                <w:szCs w:val="36"/>
                <w:lang w:bidi="ar"/>
              </w:rPr>
              <w:t>日期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F5BF0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b/>
                <w:sz w:val="36"/>
                <w:szCs w:val="36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36"/>
                <w:szCs w:val="36"/>
                <w:lang w:bidi="ar"/>
              </w:rPr>
              <w:t>版本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C580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b/>
                <w:sz w:val="36"/>
                <w:szCs w:val="36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36"/>
                <w:szCs w:val="36"/>
                <w:lang w:bidi="ar"/>
              </w:rPr>
              <w:t>说明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ABFF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b/>
                <w:sz w:val="36"/>
                <w:szCs w:val="36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36"/>
                <w:szCs w:val="36"/>
                <w:lang w:bidi="ar"/>
              </w:rPr>
              <w:t>作者</w:t>
            </w:r>
          </w:p>
        </w:tc>
      </w:tr>
      <w:tr w:rsidR="00B27567" w14:paraId="10959834" w14:textId="77777777">
        <w:trPr>
          <w:trHeight w:val="1168"/>
          <w:jc w:val="center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2BF6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12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34CA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V1.0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FA9B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引言与经验教训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E241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刘黎辉</w:t>
            </w:r>
          </w:p>
        </w:tc>
      </w:tr>
      <w:tr w:rsidR="00B27567" w14:paraId="687C5A13" w14:textId="77777777">
        <w:trPr>
          <w:trHeight w:val="1168"/>
          <w:jc w:val="center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CC65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13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1FCC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V1.1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BE88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开发工作评价与技术积累总结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570C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刘黎辉</w:t>
            </w:r>
          </w:p>
        </w:tc>
      </w:tr>
      <w:tr w:rsidR="00B27567" w14:paraId="072F6188" w14:textId="77777777">
        <w:trPr>
          <w:trHeight w:val="1168"/>
          <w:jc w:val="center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86858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14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7987D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V1.2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C6CE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实际开发结果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4AD0C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杨凌</w:t>
            </w:r>
          </w:p>
        </w:tc>
      </w:tr>
      <w:tr w:rsidR="00B27567" w14:paraId="4F38AC45" w14:textId="77777777">
        <w:trPr>
          <w:trHeight w:val="1180"/>
          <w:jc w:val="center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4C6A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2026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16</w:t>
            </w: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日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4636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V2.0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7F4D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kern w:val="0"/>
                <w:sz w:val="32"/>
                <w:szCs w:val="32"/>
                <w:lang w:bidi="ar"/>
              </w:rPr>
              <w:t>汇总整理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8637" w14:textId="77777777" w:rsidR="00B27567" w:rsidRDefault="00470256">
            <w:pPr>
              <w:snapToGrid w:val="0"/>
              <w:spacing w:after="0" w:line="240" w:lineRule="atLeast"/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刘嘉曦</w:t>
            </w:r>
          </w:p>
        </w:tc>
      </w:tr>
    </w:tbl>
    <w:p w14:paraId="4C35A710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156DC0A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C44538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24466C51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CB63153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348F0516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6DC2DEDA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67EC446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6E0A3E3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1A02F49E" w14:textId="77777777" w:rsidR="00B27567" w:rsidRDefault="00470256">
      <w:pPr>
        <w:pStyle w:val="a6"/>
        <w:widowControl/>
        <w:rPr>
          <w:sz w:val="72"/>
          <w:szCs w:val="72"/>
        </w:rPr>
      </w:pPr>
      <w:r>
        <w:rPr>
          <w:rFonts w:cs="宋体" w:hint="eastAsia"/>
          <w:sz w:val="72"/>
          <w:szCs w:val="72"/>
        </w:rPr>
        <w:lastRenderedPageBreak/>
        <w:t>目录</w:t>
      </w:r>
    </w:p>
    <w:p w14:paraId="7E6F2371" w14:textId="77777777" w:rsidR="00B27567" w:rsidRDefault="00B27567">
      <w:pPr>
        <w:pStyle w:val="1"/>
        <w:widowControl/>
        <w:numPr>
          <w:ilvl w:val="0"/>
          <w:numId w:val="0"/>
        </w:numPr>
        <w:ind w:firstLineChars="200" w:firstLine="964"/>
        <w:rPr>
          <w:rFonts w:ascii="宋体" w:hAnsi="宋体" w:cs="宋体" w:hint="eastAsia"/>
          <w:sz w:val="48"/>
          <w:szCs w:val="48"/>
        </w:rPr>
      </w:pPr>
      <w:bookmarkStart w:id="0" w:name="_Toc24817"/>
    </w:p>
    <w:p w14:paraId="08AFA249" w14:textId="77777777" w:rsidR="00B27567" w:rsidRDefault="00470256">
      <w:pPr>
        <w:pStyle w:val="1"/>
        <w:widowControl/>
        <w:numPr>
          <w:ilvl w:val="0"/>
          <w:numId w:val="0"/>
        </w:numPr>
        <w:ind w:firstLineChars="200" w:firstLine="964"/>
        <w:rPr>
          <w:rFonts w:ascii="宋体" w:hAnsi="宋体" w:cs="宋体" w:hint="eastAsia"/>
          <w:sz w:val="48"/>
          <w:szCs w:val="48"/>
        </w:rPr>
      </w:pPr>
      <w:r>
        <w:rPr>
          <w:rFonts w:ascii="宋体" w:hAnsi="宋体" w:cs="宋体" w:hint="eastAsia"/>
          <w:sz w:val="48"/>
          <w:szCs w:val="48"/>
        </w:rPr>
        <w:t>1.</w:t>
      </w:r>
      <w:r>
        <w:rPr>
          <w:rFonts w:ascii="宋体" w:hAnsi="宋体" w:cs="宋体" w:hint="eastAsia"/>
          <w:sz w:val="48"/>
          <w:szCs w:val="48"/>
        </w:rPr>
        <w:t>引言</w:t>
      </w:r>
      <w:bookmarkEnd w:id="0"/>
    </w:p>
    <w:p w14:paraId="54F1844A" w14:textId="77777777" w:rsidR="00B27567" w:rsidRDefault="00470256">
      <w:pPr>
        <w:pStyle w:val="2"/>
        <w:widowControl/>
        <w:numPr>
          <w:ilvl w:val="1"/>
          <w:numId w:val="0"/>
        </w:numPr>
        <w:ind w:firstLineChars="500" w:firstLine="1807"/>
        <w:rPr>
          <w:rFonts w:ascii="宋体" w:hAnsi="宋体" w:cs="宋体" w:hint="eastAsia"/>
          <w:sz w:val="36"/>
          <w:szCs w:val="36"/>
        </w:rPr>
      </w:pPr>
      <w:bookmarkStart w:id="1" w:name="_Toc18403675"/>
      <w:bookmarkStart w:id="2" w:name="_Toc17381"/>
      <w:r>
        <w:rPr>
          <w:rFonts w:ascii="宋体" w:hAnsi="宋体" w:cs="宋体" w:hint="eastAsia"/>
          <w:sz w:val="36"/>
          <w:szCs w:val="36"/>
        </w:rPr>
        <w:t>1.1</w:t>
      </w:r>
      <w:r>
        <w:rPr>
          <w:rFonts w:ascii="宋体" w:hAnsi="宋体" w:cs="宋体" w:hint="eastAsia"/>
          <w:sz w:val="36"/>
          <w:szCs w:val="36"/>
        </w:rPr>
        <w:t>编写目的</w:t>
      </w:r>
      <w:bookmarkEnd w:id="1"/>
      <w:bookmarkEnd w:id="2"/>
    </w:p>
    <w:p w14:paraId="506CE672" w14:textId="77777777" w:rsidR="00B27567" w:rsidRDefault="00470256">
      <w:pPr>
        <w:pStyle w:val="2"/>
        <w:widowControl/>
        <w:numPr>
          <w:ilvl w:val="1"/>
          <w:numId w:val="0"/>
        </w:numPr>
        <w:ind w:firstLineChars="500" w:firstLine="1807"/>
        <w:rPr>
          <w:rFonts w:ascii="宋体" w:hAnsi="宋体" w:cs="宋体" w:hint="eastAsia"/>
          <w:sz w:val="36"/>
          <w:szCs w:val="36"/>
        </w:rPr>
      </w:pPr>
      <w:bookmarkStart w:id="3" w:name="_Toc20445"/>
      <w:bookmarkStart w:id="4" w:name="_Toc18403677"/>
      <w:r>
        <w:rPr>
          <w:rFonts w:ascii="宋体" w:hAnsi="宋体" w:cs="宋体" w:hint="eastAsia"/>
          <w:sz w:val="36"/>
          <w:szCs w:val="36"/>
        </w:rPr>
        <w:t>1.2</w:t>
      </w:r>
      <w:r>
        <w:rPr>
          <w:rFonts w:ascii="宋体" w:hAnsi="宋体" w:cs="宋体" w:hint="eastAsia"/>
          <w:sz w:val="36"/>
          <w:szCs w:val="36"/>
        </w:rPr>
        <w:t>定义</w:t>
      </w:r>
      <w:bookmarkEnd w:id="3"/>
      <w:bookmarkEnd w:id="4"/>
    </w:p>
    <w:p w14:paraId="7CD17BE7" w14:textId="77777777" w:rsidR="00B27567" w:rsidRDefault="00470256">
      <w:pPr>
        <w:pStyle w:val="a5"/>
        <w:keepLines/>
        <w:snapToGrid w:val="0"/>
        <w:spacing w:before="40" w:beforeAutospacing="0" w:after="40" w:afterAutospacing="0" w:line="240" w:lineRule="atLeast"/>
        <w:ind w:left="720"/>
        <w:rPr>
          <w:b/>
        </w:rPr>
      </w:pPr>
      <w:r>
        <w:rPr>
          <w:rFonts w:ascii="宋体" w:eastAsia="宋体" w:hAnsi="宋体" w:cs="宋体" w:hint="eastAsia"/>
          <w:sz w:val="36"/>
          <w:szCs w:val="36"/>
          <w:lang w:bidi="ar"/>
        </w:rPr>
        <w:t xml:space="preserve">      </w:t>
      </w:r>
      <w:r>
        <w:rPr>
          <w:rFonts w:ascii="宋体" w:eastAsia="宋体" w:hAnsi="宋体" w:cs="宋体" w:hint="eastAsia"/>
          <w:b/>
          <w:sz w:val="36"/>
          <w:szCs w:val="36"/>
          <w:lang w:bidi="ar"/>
        </w:rPr>
        <w:t>1.3</w:t>
      </w:r>
      <w:r>
        <w:rPr>
          <w:rFonts w:ascii="宋体" w:eastAsia="宋体" w:hAnsi="宋体" w:cs="宋体" w:hint="eastAsia"/>
          <w:b/>
          <w:sz w:val="36"/>
          <w:szCs w:val="36"/>
          <w:lang w:bidi="ar"/>
        </w:rPr>
        <w:t>人员分工</w:t>
      </w:r>
    </w:p>
    <w:p w14:paraId="0B8B3A9E" w14:textId="77777777" w:rsidR="00B27567" w:rsidRDefault="00470256">
      <w:pPr>
        <w:pStyle w:val="1"/>
        <w:widowControl/>
        <w:numPr>
          <w:ilvl w:val="0"/>
          <w:numId w:val="0"/>
        </w:numPr>
        <w:ind w:firstLineChars="200" w:firstLine="964"/>
        <w:rPr>
          <w:rFonts w:ascii="宋体" w:hAnsi="宋体" w:cs="宋体" w:hint="eastAsia"/>
          <w:sz w:val="48"/>
          <w:szCs w:val="48"/>
        </w:rPr>
      </w:pPr>
      <w:r>
        <w:rPr>
          <w:rFonts w:ascii="宋体" w:hAnsi="宋体" w:cs="宋体" w:hint="eastAsia"/>
          <w:sz w:val="48"/>
          <w:szCs w:val="48"/>
        </w:rPr>
        <w:t>2.</w:t>
      </w:r>
      <w:r>
        <w:rPr>
          <w:rFonts w:ascii="宋体" w:hAnsi="宋体" w:cs="宋体" w:hint="eastAsia"/>
          <w:sz w:val="48"/>
          <w:szCs w:val="48"/>
        </w:rPr>
        <w:t>实际开发结果</w:t>
      </w:r>
    </w:p>
    <w:p w14:paraId="77546FE0" w14:textId="77777777" w:rsidR="00B27567" w:rsidRDefault="00470256">
      <w:pPr>
        <w:pStyle w:val="a5"/>
        <w:keepLines/>
        <w:tabs>
          <w:tab w:val="left" w:pos="312"/>
        </w:tabs>
        <w:snapToGrid w:val="0"/>
        <w:spacing w:before="40" w:beforeAutospacing="0" w:after="40" w:afterAutospacing="0" w:line="240" w:lineRule="atLeast"/>
        <w:ind w:firstLineChars="500" w:firstLine="1807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t>2.1</w:t>
      </w:r>
    </w:p>
    <w:p w14:paraId="7D54D237" w14:textId="77777777" w:rsidR="00B27567" w:rsidRDefault="00470256">
      <w:pPr>
        <w:pStyle w:val="a5"/>
        <w:keepLines/>
        <w:tabs>
          <w:tab w:val="left" w:pos="312"/>
        </w:tabs>
        <w:snapToGrid w:val="0"/>
        <w:spacing w:before="40" w:beforeAutospacing="0" w:after="40" w:afterAutospacing="0" w:line="240" w:lineRule="atLeast"/>
        <w:ind w:firstLineChars="500" w:firstLine="1807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t>2.2</w:t>
      </w:r>
    </w:p>
    <w:p w14:paraId="3A119346" w14:textId="77777777" w:rsidR="00B27567" w:rsidRDefault="00470256">
      <w:pPr>
        <w:pStyle w:val="a5"/>
        <w:keepLines/>
        <w:tabs>
          <w:tab w:val="left" w:pos="312"/>
        </w:tabs>
        <w:snapToGrid w:val="0"/>
        <w:spacing w:before="40" w:beforeAutospacing="0" w:after="40" w:afterAutospacing="0" w:line="240" w:lineRule="atLeast"/>
        <w:ind w:firstLineChars="500" w:firstLine="1807"/>
        <w:rPr>
          <w:rFonts w:ascii="宋体" w:eastAsia="宋体" w:hAnsi="宋体" w:cs="宋体" w:hint="eastAsia"/>
          <w:b/>
          <w:color w:val="333333"/>
          <w:spacing w:val="-2"/>
          <w:sz w:val="36"/>
          <w:szCs w:val="36"/>
          <w:shd w:val="clear" w:color="auto" w:fill="FFFFFF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t>2.3</w:t>
      </w:r>
    </w:p>
    <w:p w14:paraId="4F4BB1AE" w14:textId="77777777" w:rsidR="00B27567" w:rsidRDefault="00470256">
      <w:pPr>
        <w:pStyle w:val="a5"/>
        <w:keepLines/>
        <w:tabs>
          <w:tab w:val="left" w:pos="312"/>
        </w:tabs>
        <w:snapToGrid w:val="0"/>
        <w:spacing w:before="40" w:beforeAutospacing="0" w:after="40" w:afterAutospacing="0" w:line="240" w:lineRule="atLeast"/>
        <w:ind w:firstLineChars="200" w:firstLine="956"/>
        <w:rPr>
          <w:rFonts w:ascii="宋体" w:eastAsia="宋体" w:hAnsi="宋体" w:cs="宋体" w:hint="eastAsia"/>
          <w:b/>
          <w:color w:val="333333"/>
          <w:spacing w:val="-2"/>
          <w:sz w:val="48"/>
          <w:szCs w:val="48"/>
          <w:shd w:val="clear" w:color="auto" w:fill="FFFFFF"/>
        </w:rPr>
      </w:pPr>
      <w:r>
        <w:rPr>
          <w:rFonts w:ascii="宋体" w:eastAsia="宋体" w:hAnsi="宋体" w:cs="宋体" w:hint="eastAsia"/>
          <w:b/>
          <w:color w:val="333333"/>
          <w:spacing w:val="-2"/>
          <w:sz w:val="48"/>
          <w:szCs w:val="48"/>
          <w:shd w:val="clear" w:color="auto" w:fill="FFFFFF"/>
          <w:lang w:bidi="ar"/>
        </w:rPr>
        <w:t>3.</w:t>
      </w:r>
      <w:r>
        <w:rPr>
          <w:rFonts w:ascii="宋体" w:eastAsia="宋体" w:hAnsi="宋体" w:cs="宋体" w:hint="eastAsia"/>
          <w:b/>
          <w:color w:val="333333"/>
          <w:spacing w:val="-2"/>
          <w:sz w:val="48"/>
          <w:szCs w:val="48"/>
          <w:shd w:val="clear" w:color="auto" w:fill="FFFFFF"/>
          <w:lang w:bidi="ar"/>
        </w:rPr>
        <w:t>开发工作评价</w:t>
      </w:r>
    </w:p>
    <w:p w14:paraId="25EC4478" w14:textId="77777777" w:rsidR="00B27567" w:rsidRDefault="00470256">
      <w:pPr>
        <w:pStyle w:val="2"/>
        <w:widowControl/>
        <w:numPr>
          <w:ilvl w:val="1"/>
          <w:numId w:val="0"/>
        </w:numPr>
        <w:ind w:firstLineChars="500" w:firstLine="1807"/>
        <w:rPr>
          <w:rFonts w:ascii="宋体" w:hAnsi="宋体" w:cs="宋体" w:hint="eastAsia"/>
          <w:sz w:val="36"/>
          <w:szCs w:val="36"/>
        </w:rPr>
      </w:pPr>
      <w:bookmarkStart w:id="5" w:name="_Toc18403685"/>
      <w:bookmarkStart w:id="6" w:name="_Toc3116"/>
      <w:r>
        <w:rPr>
          <w:rFonts w:ascii="宋体" w:hAnsi="宋体" w:cs="宋体" w:hint="eastAsia"/>
          <w:sz w:val="36"/>
          <w:szCs w:val="36"/>
        </w:rPr>
        <w:t>3.1</w:t>
      </w:r>
      <w:r>
        <w:rPr>
          <w:rFonts w:ascii="宋体" w:hAnsi="宋体" w:cs="宋体" w:hint="eastAsia"/>
          <w:sz w:val="36"/>
          <w:szCs w:val="36"/>
        </w:rPr>
        <w:t>对项目开发过程的评价</w:t>
      </w:r>
      <w:bookmarkEnd w:id="5"/>
      <w:bookmarkEnd w:id="6"/>
    </w:p>
    <w:p w14:paraId="740B646A" w14:textId="77777777" w:rsidR="00B27567" w:rsidRDefault="00470256">
      <w:pPr>
        <w:pStyle w:val="2"/>
        <w:widowControl/>
        <w:numPr>
          <w:ilvl w:val="1"/>
          <w:numId w:val="0"/>
        </w:numPr>
        <w:ind w:firstLineChars="500" w:firstLine="1807"/>
        <w:rPr>
          <w:rFonts w:ascii="宋体" w:hAnsi="宋体" w:cs="宋体" w:hint="eastAsia"/>
          <w:sz w:val="36"/>
          <w:szCs w:val="36"/>
        </w:rPr>
      </w:pPr>
      <w:bookmarkStart w:id="7" w:name="_Toc6371"/>
      <w:bookmarkStart w:id="8" w:name="_Toc18403686"/>
      <w:r>
        <w:rPr>
          <w:rFonts w:ascii="宋体" w:hAnsi="宋体" w:cs="宋体" w:hint="eastAsia"/>
          <w:sz w:val="36"/>
          <w:szCs w:val="36"/>
        </w:rPr>
        <w:t>3.2</w:t>
      </w:r>
      <w:r>
        <w:rPr>
          <w:rFonts w:ascii="宋体" w:hAnsi="宋体" w:cs="宋体" w:hint="eastAsia"/>
          <w:sz w:val="36"/>
          <w:szCs w:val="36"/>
        </w:rPr>
        <w:t>对技术方法的评价</w:t>
      </w:r>
      <w:bookmarkEnd w:id="7"/>
      <w:bookmarkEnd w:id="8"/>
    </w:p>
    <w:p w14:paraId="741838E1" w14:textId="77777777" w:rsidR="00B27567" w:rsidRDefault="00470256">
      <w:pPr>
        <w:pStyle w:val="2"/>
        <w:widowControl/>
        <w:numPr>
          <w:ilvl w:val="1"/>
          <w:numId w:val="0"/>
        </w:numPr>
        <w:ind w:firstLineChars="500" w:firstLine="1807"/>
        <w:rPr>
          <w:rFonts w:ascii="宋体" w:hAnsi="宋体" w:cs="宋体" w:hint="eastAsia"/>
          <w:sz w:val="36"/>
          <w:szCs w:val="36"/>
        </w:rPr>
      </w:pPr>
      <w:bookmarkStart w:id="9" w:name="_Toc29323"/>
      <w:bookmarkStart w:id="10" w:name="_Toc18403687"/>
      <w:r>
        <w:rPr>
          <w:rFonts w:ascii="宋体" w:hAnsi="宋体" w:cs="宋体" w:hint="eastAsia"/>
          <w:sz w:val="36"/>
          <w:szCs w:val="36"/>
        </w:rPr>
        <w:t>3.3</w:t>
      </w:r>
      <w:r>
        <w:rPr>
          <w:rFonts w:ascii="宋体" w:hAnsi="宋体" w:cs="宋体" w:hint="eastAsia"/>
          <w:sz w:val="36"/>
          <w:szCs w:val="36"/>
        </w:rPr>
        <w:t>对产品质量的评价</w:t>
      </w:r>
      <w:bookmarkEnd w:id="9"/>
      <w:bookmarkEnd w:id="10"/>
    </w:p>
    <w:p w14:paraId="604B1209" w14:textId="77777777" w:rsidR="00B27567" w:rsidRDefault="00470256">
      <w:pPr>
        <w:pStyle w:val="1"/>
        <w:widowControl/>
        <w:numPr>
          <w:ilvl w:val="0"/>
          <w:numId w:val="0"/>
        </w:numPr>
        <w:ind w:firstLineChars="200" w:firstLine="964"/>
        <w:rPr>
          <w:sz w:val="36"/>
          <w:szCs w:val="36"/>
        </w:rPr>
      </w:pPr>
      <w:bookmarkStart w:id="11" w:name="_Toc30430"/>
      <w:bookmarkStart w:id="12" w:name="_Toc18403689"/>
      <w:r>
        <w:rPr>
          <w:rFonts w:ascii="宋体" w:hAnsi="宋体" w:cs="宋体" w:hint="eastAsia"/>
          <w:sz w:val="48"/>
          <w:szCs w:val="48"/>
        </w:rPr>
        <w:t>4.</w:t>
      </w:r>
      <w:r>
        <w:rPr>
          <w:rFonts w:ascii="宋体" w:hAnsi="宋体" w:cs="宋体" w:hint="eastAsia"/>
          <w:sz w:val="48"/>
          <w:szCs w:val="48"/>
        </w:rPr>
        <w:t>技术积累总结</w:t>
      </w:r>
      <w:bookmarkEnd w:id="11"/>
      <w:bookmarkEnd w:id="12"/>
    </w:p>
    <w:p w14:paraId="3AFFDEAD" w14:textId="77777777" w:rsidR="00B27567" w:rsidRDefault="00470256">
      <w:pPr>
        <w:pStyle w:val="1"/>
        <w:widowControl/>
        <w:numPr>
          <w:ilvl w:val="0"/>
          <w:numId w:val="0"/>
        </w:numPr>
        <w:ind w:firstLineChars="200" w:firstLine="964"/>
        <w:rPr>
          <w:rFonts w:ascii="宋体" w:hAnsi="宋体" w:cs="宋体" w:hint="eastAsia"/>
          <w:sz w:val="48"/>
          <w:szCs w:val="48"/>
        </w:rPr>
      </w:pPr>
      <w:bookmarkStart w:id="13" w:name="_Toc18403690"/>
      <w:bookmarkStart w:id="14" w:name="_Toc17397"/>
      <w:r>
        <w:rPr>
          <w:rFonts w:ascii="宋体" w:hAnsi="宋体" w:cs="宋体" w:hint="eastAsia"/>
          <w:sz w:val="48"/>
          <w:szCs w:val="48"/>
        </w:rPr>
        <w:t>5</w:t>
      </w:r>
      <w:r>
        <w:rPr>
          <w:rFonts w:ascii="宋体" w:hAnsi="宋体" w:cs="宋体" w:hint="eastAsia"/>
          <w:sz w:val="48"/>
          <w:szCs w:val="48"/>
        </w:rPr>
        <w:t>经验与教训</w:t>
      </w:r>
      <w:bookmarkEnd w:id="13"/>
      <w:bookmarkEnd w:id="14"/>
    </w:p>
    <w:p w14:paraId="050E72E9" w14:textId="77777777" w:rsidR="00B27567" w:rsidRDefault="00470256">
      <w:pPr>
        <w:pStyle w:val="InfoBlue"/>
        <w:widowControl/>
        <w:ind w:firstLineChars="500" w:firstLine="1807"/>
        <w:rPr>
          <w:rFonts w:ascii="宋体" w:hAnsi="宋体" w:cs="宋体" w:hint="eastAsia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5.1</w:t>
      </w:r>
      <w:r>
        <w:rPr>
          <w:rFonts w:ascii="宋体" w:hAnsi="宋体" w:cs="宋体" w:hint="eastAsia"/>
          <w:b/>
          <w:sz w:val="36"/>
          <w:szCs w:val="36"/>
        </w:rPr>
        <w:t>实践经验</w:t>
      </w:r>
    </w:p>
    <w:p w14:paraId="165B02E1" w14:textId="77777777" w:rsidR="00B27567" w:rsidRDefault="00470256">
      <w:pPr>
        <w:pStyle w:val="a5"/>
        <w:keepLines/>
        <w:snapToGrid w:val="0"/>
        <w:spacing w:before="40" w:beforeAutospacing="0" w:after="40" w:afterAutospacing="0" w:line="240" w:lineRule="atLeast"/>
        <w:ind w:firstLineChars="500" w:firstLine="1807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  <w:lang w:bidi="ar"/>
        </w:rPr>
        <w:t>5.2</w:t>
      </w:r>
      <w:r>
        <w:rPr>
          <w:rFonts w:ascii="宋体" w:eastAsia="宋体" w:hAnsi="宋体" w:cs="宋体" w:hint="eastAsia"/>
          <w:b/>
          <w:sz w:val="36"/>
          <w:szCs w:val="36"/>
          <w:lang w:bidi="ar"/>
        </w:rPr>
        <w:t>实践教训</w:t>
      </w:r>
    </w:p>
    <w:p w14:paraId="3C8A27FD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1B2CDBDF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22FBAE04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2C4F852E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01B4F242" w14:textId="77777777" w:rsidR="00B27567" w:rsidRDefault="00470256">
      <w:pPr>
        <w:snapToGrid w:val="0"/>
        <w:spacing w:after="0" w:line="240" w:lineRule="atLeast"/>
        <w:jc w:val="left"/>
        <w:rPr>
          <w:rFonts w:hAnsi="宋体" w:hint="eastAsia"/>
          <w:bCs/>
          <w:sz w:val="32"/>
          <w:szCs w:val="32"/>
        </w:rPr>
      </w:pPr>
      <w:r>
        <w:rPr>
          <w:rFonts w:hAnsi="宋体" w:hint="eastAsia"/>
          <w:bCs/>
          <w:sz w:val="32"/>
          <w:szCs w:val="32"/>
        </w:rPr>
        <w:lastRenderedPageBreak/>
        <w:t>1.</w:t>
      </w:r>
      <w:r>
        <w:rPr>
          <w:rFonts w:hAnsi="宋体" w:hint="eastAsia"/>
          <w:bCs/>
          <w:sz w:val="32"/>
          <w:szCs w:val="32"/>
        </w:rPr>
        <w:t>引言</w:t>
      </w:r>
    </w:p>
    <w:p w14:paraId="15BE7877" w14:textId="77777777" w:rsidR="00B27567" w:rsidRDefault="00470256">
      <w:pPr>
        <w:snapToGrid w:val="0"/>
        <w:spacing w:after="0" w:line="240" w:lineRule="atLeast"/>
        <w:jc w:val="left"/>
        <w:rPr>
          <w:rFonts w:hAnsi="宋体" w:hint="eastAsia"/>
          <w:bCs/>
          <w:sz w:val="32"/>
          <w:szCs w:val="32"/>
        </w:rPr>
      </w:pPr>
      <w:r>
        <w:rPr>
          <w:rFonts w:hAnsi="宋体" w:hint="eastAsia"/>
          <w:bCs/>
          <w:sz w:val="32"/>
          <w:szCs w:val="32"/>
        </w:rPr>
        <w:t>1.1</w:t>
      </w:r>
      <w:r>
        <w:rPr>
          <w:rFonts w:hAnsi="宋体" w:hint="eastAsia"/>
          <w:bCs/>
          <w:sz w:val="32"/>
          <w:szCs w:val="32"/>
        </w:rPr>
        <w:t>编写目的</w:t>
      </w:r>
    </w:p>
    <w:p w14:paraId="47202055" w14:textId="77777777" w:rsidR="00B27567" w:rsidRDefault="00470256">
      <w:pPr>
        <w:snapToGrid w:val="0"/>
        <w:spacing w:after="0" w:line="240" w:lineRule="atLeast"/>
        <w:ind w:firstLineChars="200" w:firstLine="560"/>
        <w:jc w:val="left"/>
        <w:rPr>
          <w:rFonts w:hAnsi="宋体" w:hint="eastAsia"/>
          <w:bCs/>
          <w:sz w:val="28"/>
          <w:szCs w:val="28"/>
        </w:rPr>
      </w:pPr>
      <w:r>
        <w:rPr>
          <w:rFonts w:hAnsi="宋体" w:hint="eastAsia"/>
          <w:bCs/>
          <w:sz w:val="28"/>
          <w:szCs w:val="28"/>
        </w:rPr>
        <w:t>本项目的核心目的在于，依托</w:t>
      </w:r>
      <w:r>
        <w:rPr>
          <w:rFonts w:hAnsi="宋体" w:hint="eastAsia"/>
          <w:bCs/>
          <w:sz w:val="28"/>
          <w:szCs w:val="28"/>
        </w:rPr>
        <w:t xml:space="preserve"> Python </w:t>
      </w:r>
      <w:r>
        <w:rPr>
          <w:rFonts w:hAnsi="宋体" w:hint="eastAsia"/>
          <w:bCs/>
          <w:sz w:val="28"/>
          <w:szCs w:val="28"/>
        </w:rPr>
        <w:t>数据分析生态（</w:t>
      </w:r>
      <w:r>
        <w:rPr>
          <w:rFonts w:hAnsi="宋体" w:hint="eastAsia"/>
          <w:bCs/>
          <w:sz w:val="28"/>
          <w:szCs w:val="28"/>
        </w:rPr>
        <w:t>Pandas</w:t>
      </w:r>
      <w:r>
        <w:rPr>
          <w:rFonts w:hAnsi="宋体" w:hint="eastAsia"/>
          <w:bCs/>
          <w:sz w:val="28"/>
          <w:szCs w:val="28"/>
        </w:rPr>
        <w:t>、</w:t>
      </w:r>
      <w:r>
        <w:rPr>
          <w:rFonts w:hAnsi="宋体" w:hint="eastAsia"/>
          <w:bCs/>
          <w:sz w:val="28"/>
          <w:szCs w:val="28"/>
        </w:rPr>
        <w:t>Matplotlib</w:t>
      </w:r>
      <w:r>
        <w:rPr>
          <w:rFonts w:hAnsi="宋体" w:hint="eastAsia"/>
          <w:bCs/>
          <w:sz w:val="28"/>
          <w:szCs w:val="28"/>
        </w:rPr>
        <w:t>、</w:t>
      </w:r>
      <w:r>
        <w:rPr>
          <w:rFonts w:hAnsi="宋体" w:hint="eastAsia"/>
          <w:bCs/>
          <w:sz w:val="28"/>
          <w:szCs w:val="28"/>
        </w:rPr>
        <w:t xml:space="preserve">Scikit-learn </w:t>
      </w:r>
      <w:r>
        <w:rPr>
          <w:rFonts w:hAnsi="宋体" w:hint="eastAsia"/>
          <w:bCs/>
          <w:sz w:val="28"/>
          <w:szCs w:val="28"/>
        </w:rPr>
        <w:t>等），对</w:t>
      </w:r>
      <w:r>
        <w:rPr>
          <w:rFonts w:hAnsi="宋体" w:hint="eastAsia"/>
          <w:bCs/>
          <w:sz w:val="28"/>
          <w:szCs w:val="28"/>
        </w:rPr>
        <w:t>Kaggle</w:t>
      </w:r>
      <w:r>
        <w:rPr>
          <w:rFonts w:hAnsi="宋体" w:hint="eastAsia"/>
          <w:bCs/>
          <w:sz w:val="28"/>
          <w:szCs w:val="28"/>
        </w:rPr>
        <w:t>平台上的</w:t>
      </w:r>
      <w:r>
        <w:rPr>
          <w:rFonts w:hAnsi="宋体" w:hint="eastAsia"/>
          <w:bCs/>
          <w:sz w:val="28"/>
          <w:szCs w:val="28"/>
        </w:rPr>
        <w:t>10</w:t>
      </w:r>
      <w:r>
        <w:rPr>
          <w:rFonts w:hAnsi="宋体" w:hint="eastAsia"/>
          <w:bCs/>
          <w:sz w:val="28"/>
          <w:szCs w:val="28"/>
        </w:rPr>
        <w:t>万条音乐专辑数据进行一次从基础统计到进阶挖掘的系统性分析。我们旨在不依赖任何现成的商业分析平台，仅通过原生</w:t>
      </w:r>
      <w:r>
        <w:rPr>
          <w:rFonts w:hAnsi="宋体" w:hint="eastAsia"/>
          <w:bCs/>
          <w:sz w:val="28"/>
          <w:szCs w:val="28"/>
        </w:rPr>
        <w:t>Python</w:t>
      </w:r>
      <w:r>
        <w:rPr>
          <w:rFonts w:hAnsi="宋体" w:hint="eastAsia"/>
          <w:bCs/>
          <w:sz w:val="28"/>
          <w:szCs w:val="28"/>
        </w:rPr>
        <w:t>脚本完成数据清洗、分组聚合、相关性检验、回归建模及可视化输出。</w:t>
      </w:r>
    </w:p>
    <w:p w14:paraId="36854914" w14:textId="77777777" w:rsidR="00B27567" w:rsidRDefault="00470256">
      <w:pPr>
        <w:snapToGrid w:val="0"/>
        <w:spacing w:after="0" w:line="240" w:lineRule="atLeast"/>
        <w:jc w:val="left"/>
        <w:rPr>
          <w:rFonts w:hAnsi="宋体" w:hint="eastAsia"/>
          <w:bCs/>
          <w:sz w:val="28"/>
          <w:szCs w:val="28"/>
        </w:rPr>
      </w:pPr>
      <w:r>
        <w:rPr>
          <w:rFonts w:hAnsi="宋体" w:hint="eastAsia"/>
          <w:bCs/>
          <w:sz w:val="28"/>
          <w:szCs w:val="28"/>
        </w:rPr>
        <w:t>通过本次开发，我们期望达成以下具体目标：</w:t>
      </w:r>
    </w:p>
    <w:p w14:paraId="325142D5" w14:textId="77777777" w:rsidR="00B27567" w:rsidRDefault="00470256">
      <w:pPr>
        <w:numPr>
          <w:ilvl w:val="0"/>
          <w:numId w:val="2"/>
        </w:numPr>
        <w:snapToGrid w:val="0"/>
        <w:spacing w:after="0" w:line="240" w:lineRule="atLeast"/>
        <w:jc w:val="left"/>
        <w:rPr>
          <w:rFonts w:hAnsi="宋体" w:hint="eastAsia"/>
          <w:bCs/>
          <w:sz w:val="28"/>
          <w:szCs w:val="28"/>
        </w:rPr>
      </w:pPr>
      <w:r>
        <w:rPr>
          <w:rFonts w:hAnsi="宋体" w:hint="eastAsia"/>
          <w:bCs/>
          <w:sz w:val="28"/>
          <w:szCs w:val="28"/>
        </w:rPr>
        <w:t>揭示市场数字规律：通过</w:t>
      </w:r>
      <w:r>
        <w:rPr>
          <w:rFonts w:hAnsi="宋体" w:hint="eastAsia"/>
          <w:bCs/>
          <w:sz w:val="28"/>
          <w:szCs w:val="28"/>
        </w:rPr>
        <w:t>groupby</w:t>
      </w:r>
      <w:r>
        <w:rPr>
          <w:rFonts w:hAnsi="宋体" w:hint="eastAsia"/>
          <w:bCs/>
          <w:sz w:val="28"/>
          <w:szCs w:val="28"/>
        </w:rPr>
        <w:t>分组聚合，统计各流派的专辑数量与销量分布；通过双轴柱状图呈现</w:t>
      </w:r>
      <w:r>
        <w:rPr>
          <w:rFonts w:hAnsi="宋体" w:hint="eastAsia"/>
          <w:bCs/>
          <w:sz w:val="28"/>
          <w:szCs w:val="28"/>
        </w:rPr>
        <w:t xml:space="preserve"> 20 </w:t>
      </w:r>
      <w:r>
        <w:rPr>
          <w:rFonts w:hAnsi="宋体" w:hint="eastAsia"/>
          <w:bCs/>
          <w:sz w:val="28"/>
          <w:szCs w:val="28"/>
        </w:rPr>
        <w:t>年间年度发行趋势；验证“单曲越多越好卖”等业界直觉是否为真命题。</w:t>
      </w:r>
    </w:p>
    <w:p w14:paraId="727DB28D" w14:textId="77777777" w:rsidR="00B27567" w:rsidRDefault="00470256">
      <w:pPr>
        <w:numPr>
          <w:ilvl w:val="0"/>
          <w:numId w:val="2"/>
        </w:numPr>
        <w:snapToGrid w:val="0"/>
        <w:spacing w:after="0" w:line="240" w:lineRule="atLeast"/>
        <w:jc w:val="left"/>
        <w:rPr>
          <w:rFonts w:hAnsi="宋体" w:hint="eastAsia"/>
          <w:bCs/>
          <w:sz w:val="28"/>
          <w:szCs w:val="28"/>
        </w:rPr>
      </w:pPr>
      <w:r>
        <w:rPr>
          <w:rFonts w:hAnsi="宋体" w:hint="eastAsia"/>
          <w:bCs/>
          <w:sz w:val="28"/>
          <w:szCs w:val="28"/>
        </w:rPr>
        <w:t>量化专辑争议度：利用三评分体系的标准差量化专辑争议度，并分析其与销量分化的关系。</w:t>
      </w:r>
    </w:p>
    <w:p w14:paraId="5B37CEDF" w14:textId="77777777" w:rsidR="00B27567" w:rsidRDefault="00470256">
      <w:pPr>
        <w:numPr>
          <w:ilvl w:val="0"/>
          <w:numId w:val="2"/>
        </w:numPr>
        <w:snapToGrid w:val="0"/>
        <w:spacing w:after="0" w:line="240" w:lineRule="atLeast"/>
        <w:jc w:val="left"/>
        <w:rPr>
          <w:rFonts w:hAnsi="宋体" w:hint="eastAsia"/>
          <w:bCs/>
          <w:sz w:val="28"/>
          <w:szCs w:val="28"/>
        </w:rPr>
      </w:pPr>
      <w:r>
        <w:rPr>
          <w:rFonts w:hAnsi="宋体" w:hint="eastAsia"/>
          <w:bCs/>
          <w:sz w:val="28"/>
          <w:szCs w:val="28"/>
        </w:rPr>
        <w:t>构建评估工具：通过标准化线性回归比较各特征对销量的影响权重，并最终设计出一套“专辑投资价值评分卡”，为音乐产业的</w:t>
      </w:r>
      <w:r>
        <w:rPr>
          <w:rFonts w:hAnsi="宋体" w:hint="eastAsia"/>
          <w:bCs/>
          <w:sz w:val="28"/>
          <w:szCs w:val="28"/>
        </w:rPr>
        <w:t xml:space="preserve"> A&amp;R</w:t>
      </w:r>
      <w:r>
        <w:rPr>
          <w:rFonts w:hAnsi="宋体" w:hint="eastAsia"/>
          <w:bCs/>
          <w:sz w:val="28"/>
          <w:szCs w:val="28"/>
        </w:rPr>
        <w:t>（艺人与曲目）部门提供决策支持。</w:t>
      </w:r>
    </w:p>
    <w:p w14:paraId="07082066" w14:textId="77777777" w:rsidR="00B27567" w:rsidRDefault="00470256">
      <w:pPr>
        <w:numPr>
          <w:ilvl w:val="0"/>
          <w:numId w:val="2"/>
        </w:numPr>
        <w:snapToGrid w:val="0"/>
        <w:spacing w:after="0" w:line="240" w:lineRule="atLeast"/>
        <w:jc w:val="left"/>
        <w:rPr>
          <w:rFonts w:ascii="Segoe UI" w:eastAsia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hAnsi="宋体" w:hint="eastAsia"/>
          <w:bCs/>
          <w:sz w:val="28"/>
          <w:szCs w:val="28"/>
        </w:rPr>
        <w:t>建立分析范式：帮助开发者建立“数据即数组、规律即运算”的认知，深化对数值计算与商业分析关联的理解。</w:t>
      </w:r>
    </w:p>
    <w:p w14:paraId="5DCFA54C" w14:textId="77777777" w:rsidR="00B27567" w:rsidRDefault="00470256">
      <w:pPr>
        <w:pStyle w:val="a5"/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.2</w:t>
      </w:r>
      <w:r>
        <w:rPr>
          <w:sz w:val="32"/>
          <w:szCs w:val="32"/>
        </w:rPr>
        <w:t>定义</w:t>
      </w:r>
    </w:p>
    <w:p w14:paraId="02052FF3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Pandas</w:t>
      </w:r>
      <w:r>
        <w:rPr>
          <w:sz w:val="28"/>
          <w:szCs w:val="28"/>
        </w:rPr>
        <w:t>：</w:t>
      </w:r>
      <w:r>
        <w:rPr>
          <w:sz w:val="28"/>
          <w:szCs w:val="28"/>
        </w:rPr>
        <w:t>Python</w:t>
      </w:r>
      <w:r>
        <w:rPr>
          <w:sz w:val="28"/>
          <w:szCs w:val="28"/>
        </w:rPr>
        <w:t>数据分析核心库，用于处理结构化数据（</w:t>
      </w:r>
      <w:r>
        <w:rPr>
          <w:sz w:val="28"/>
          <w:szCs w:val="28"/>
        </w:rPr>
        <w:t>DataFrame</w:t>
      </w:r>
      <w:r>
        <w:rPr>
          <w:sz w:val="28"/>
          <w:szCs w:val="28"/>
        </w:rPr>
        <w:t>）。</w:t>
      </w:r>
    </w:p>
    <w:p w14:paraId="1C0D40DD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Matplotlib</w:t>
      </w:r>
      <w:r>
        <w:rPr>
          <w:sz w:val="28"/>
          <w:szCs w:val="28"/>
        </w:rPr>
        <w:t>：</w:t>
      </w:r>
      <w:r>
        <w:rPr>
          <w:sz w:val="28"/>
          <w:szCs w:val="28"/>
        </w:rPr>
        <w:t>Python</w:t>
      </w:r>
      <w:r>
        <w:rPr>
          <w:sz w:val="28"/>
          <w:szCs w:val="28"/>
        </w:rPr>
        <w:t>的</w:t>
      </w:r>
      <w:r>
        <w:rPr>
          <w:sz w:val="28"/>
          <w:szCs w:val="28"/>
        </w:rPr>
        <w:t>2D</w:t>
      </w:r>
      <w:r>
        <w:rPr>
          <w:sz w:val="28"/>
          <w:szCs w:val="28"/>
        </w:rPr>
        <w:t>绘图库，用于生成各类统计图表。</w:t>
      </w:r>
    </w:p>
    <w:p w14:paraId="437E31FC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Scikit-learn</w:t>
      </w:r>
      <w:r>
        <w:rPr>
          <w:sz w:val="28"/>
          <w:szCs w:val="28"/>
        </w:rPr>
        <w:t>：</w:t>
      </w:r>
      <w:r>
        <w:rPr>
          <w:sz w:val="28"/>
          <w:szCs w:val="28"/>
        </w:rPr>
        <w:t>Python</w:t>
      </w:r>
      <w:r>
        <w:rPr>
          <w:sz w:val="28"/>
          <w:szCs w:val="28"/>
        </w:rPr>
        <w:t>机器学习库，用于数据标准化、线性回归建模及交叉验证。</w:t>
      </w:r>
    </w:p>
    <w:p w14:paraId="5B5056E7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 xml:space="preserve">Pearson </w:t>
      </w:r>
      <w:r>
        <w:rPr>
          <w:sz w:val="28"/>
          <w:szCs w:val="28"/>
        </w:rPr>
        <w:t>相关系数：衡量两个变量之间线性相关程度的统计指标。</w:t>
      </w:r>
    </w:p>
    <w:p w14:paraId="3422CB43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 xml:space="preserve">Spearman </w:t>
      </w:r>
      <w:r>
        <w:rPr>
          <w:sz w:val="28"/>
          <w:szCs w:val="28"/>
        </w:rPr>
        <w:t>秩相关系数：衡量两个变量之间单调关系（不限于线性）的统计指标。</w:t>
      </w:r>
    </w:p>
    <w:p w14:paraId="35DCA008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lastRenderedPageBreak/>
        <w:t>争议度：指一张专辑在</w:t>
      </w:r>
      <w:r>
        <w:rPr>
          <w:sz w:val="28"/>
          <w:szCs w:val="28"/>
        </w:rPr>
        <w:t xml:space="preserve"> Rolling Stone</w:t>
      </w:r>
      <w:r>
        <w:rPr>
          <w:sz w:val="28"/>
          <w:szCs w:val="28"/>
        </w:rPr>
        <w:t>、</w:t>
      </w:r>
      <w:r>
        <w:rPr>
          <w:sz w:val="28"/>
          <w:szCs w:val="28"/>
        </w:rPr>
        <w:t>MTV</w:t>
      </w:r>
      <w:r>
        <w:rPr>
          <w:sz w:val="28"/>
          <w:szCs w:val="28"/>
        </w:rPr>
        <w:t>、</w:t>
      </w:r>
      <w:r>
        <w:rPr>
          <w:sz w:val="28"/>
          <w:szCs w:val="28"/>
        </w:rPr>
        <w:t xml:space="preserve">Music Maniac </w:t>
      </w:r>
      <w:r>
        <w:rPr>
          <w:sz w:val="28"/>
          <w:szCs w:val="28"/>
        </w:rPr>
        <w:t>三个评分体系中得分的标准差。标准差越大，代表评分分歧越大，争议度越高。</w:t>
      </w:r>
    </w:p>
    <w:p w14:paraId="6BF432D0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log1p</w:t>
      </w:r>
      <w:r>
        <w:rPr>
          <w:sz w:val="28"/>
          <w:szCs w:val="28"/>
        </w:rPr>
        <w:t>正态化：即</w:t>
      </w:r>
      <w:r>
        <w:rPr>
          <w:sz w:val="28"/>
          <w:szCs w:val="28"/>
        </w:rPr>
        <w:t>log(1+x)</w:t>
      </w:r>
      <w:r>
        <w:rPr>
          <w:sz w:val="28"/>
          <w:szCs w:val="28"/>
        </w:rPr>
        <w:t> </w:t>
      </w:r>
      <w:r>
        <w:rPr>
          <w:sz w:val="28"/>
          <w:szCs w:val="28"/>
        </w:rPr>
        <w:t>变换，用于处理严重右偏（长尾）的销量数据，使其更接近正态分布，以满足线性回归模型的假设。</w:t>
      </w:r>
    </w:p>
    <w:p w14:paraId="124E4296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评分卡：本项目中开发的一套双维度评估工具，从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销量潜力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艺术价值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两个维度对专辑进行加权打分并划分等级（</w:t>
      </w:r>
      <w:r>
        <w:rPr>
          <w:sz w:val="28"/>
          <w:szCs w:val="28"/>
        </w:rPr>
        <w:t>S/A/B/C/D</w:t>
      </w:r>
      <w:r>
        <w:rPr>
          <w:sz w:val="28"/>
          <w:szCs w:val="28"/>
        </w:rPr>
        <w:t>）。</w:t>
      </w:r>
    </w:p>
    <w:p w14:paraId="5F5D330E" w14:textId="77777777" w:rsidR="00B27567" w:rsidRDefault="00470256">
      <w:pPr>
        <w:pStyle w:val="a5"/>
        <w:rPr>
          <w:sz w:val="32"/>
          <w:szCs w:val="32"/>
        </w:rPr>
      </w:pPr>
      <w:r>
        <w:rPr>
          <w:sz w:val="32"/>
          <w:szCs w:val="32"/>
        </w:rPr>
        <w:t>1.3</w:t>
      </w:r>
      <w:r>
        <w:rPr>
          <w:sz w:val="32"/>
          <w:szCs w:val="32"/>
        </w:rPr>
        <w:t>人员分工</w:t>
      </w:r>
    </w:p>
    <w:p w14:paraId="157C93A1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本项目由三人小组协作完成，具体分工如下：</w:t>
      </w:r>
    </w:p>
    <w:tbl>
      <w:tblPr>
        <w:tblW w:w="70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5748"/>
      </w:tblGrid>
      <w:tr w:rsidR="00B27567" w14:paraId="06733AC8" w14:textId="77777777">
        <w:trPr>
          <w:tblHeader/>
        </w:trPr>
        <w:tc>
          <w:tcPr>
            <w:tcW w:w="0" w:type="auto"/>
            <w:tcBorders>
              <w:top w:val="single" w:sz="4" w:space="0" w:color="CDDAE8"/>
              <w:left w:val="single" w:sz="4" w:space="0" w:color="CDDAE8"/>
              <w:bottom w:val="single" w:sz="4" w:space="0" w:color="CDDAE8"/>
              <w:right w:val="single" w:sz="4" w:space="0" w:color="CDDAE8"/>
            </w:tcBorders>
            <w:shd w:val="clear" w:color="auto" w:fill="E6EDF5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7383E69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b/>
                <w:color w:val="1F3A4B"/>
                <w:sz w:val="24"/>
              </w:rPr>
            </w:pPr>
            <w:r>
              <w:rPr>
                <w:rFonts w:ascii="Segoe UI" w:eastAsia="Segoe UI" w:hAnsi="Segoe UI" w:cs="Segoe UI"/>
                <w:b/>
                <w:color w:val="1F3A4B"/>
                <w:kern w:val="0"/>
                <w:sz w:val="24"/>
                <w:lang w:bidi="ar"/>
              </w:rPr>
              <w:t>成员姓名</w:t>
            </w:r>
          </w:p>
        </w:tc>
        <w:tc>
          <w:tcPr>
            <w:tcW w:w="0" w:type="auto"/>
            <w:tcBorders>
              <w:top w:val="single" w:sz="4" w:space="0" w:color="CDDAE8"/>
              <w:left w:val="single" w:sz="4" w:space="0" w:color="CDDAE8"/>
              <w:bottom w:val="single" w:sz="4" w:space="0" w:color="CDDAE8"/>
              <w:right w:val="single" w:sz="4" w:space="0" w:color="CDDAE8"/>
            </w:tcBorders>
            <w:shd w:val="clear" w:color="auto" w:fill="E6EDF5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3BF2173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b/>
                <w:color w:val="1F3A4B"/>
                <w:sz w:val="24"/>
              </w:rPr>
            </w:pPr>
            <w:r>
              <w:rPr>
                <w:rFonts w:ascii="Segoe UI" w:eastAsia="Segoe UI" w:hAnsi="Segoe UI" w:cs="Segoe UI"/>
                <w:b/>
                <w:color w:val="1F3A4B"/>
                <w:kern w:val="0"/>
                <w:sz w:val="24"/>
                <w:lang w:bidi="ar"/>
              </w:rPr>
              <w:t>主要职责</w:t>
            </w:r>
          </w:p>
        </w:tc>
      </w:tr>
      <w:tr w:rsidR="00B27567" w14:paraId="73405F42" w14:textId="77777777"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DA2C3D4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Style w:val="a8"/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刘黎晖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（组长）</w:t>
            </w:r>
          </w:p>
        </w:tc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83F6632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项目架构设计；核心分析逻辑（相关性、回归）代码实现；评分卡模型设计；答辩主讲。</w:t>
            </w:r>
          </w:p>
        </w:tc>
      </w:tr>
      <w:tr w:rsidR="00B27567" w14:paraId="5C1ECF5F" w14:textId="77777777"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79351AE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Style w:val="a8"/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杨凌</w:t>
            </w:r>
          </w:p>
        </w:tc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9B12680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数据清洗与预处理；基础统计任务（流派数量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销量、年度趋势）代码实现；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Matplotlib 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图表绘制与美化。</w:t>
            </w:r>
          </w:p>
        </w:tc>
      </w:tr>
      <w:tr w:rsidR="00B27567" w14:paraId="45374071" w14:textId="77777777"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06454E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Style w:val="a8"/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刘嘉曦</w:t>
            </w:r>
          </w:p>
        </w:tc>
        <w:tc>
          <w:tcPr>
            <w:tcW w:w="0" w:type="auto"/>
            <w:tcBorders>
              <w:top w:val="single" w:sz="4" w:space="0" w:color="D6E0EC"/>
              <w:left w:val="single" w:sz="4" w:space="0" w:color="D6E0EC"/>
              <w:bottom w:val="single" w:sz="4" w:space="0" w:color="D6E0EC"/>
              <w:right w:val="single" w:sz="4" w:space="0" w:color="D6E0EC"/>
            </w:tcBorders>
            <w:shd w:val="clear" w:color="auto" w:fill="FFFF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C9D9A59" w14:textId="77777777" w:rsidR="00B27567" w:rsidRDefault="00470256">
            <w:pPr>
              <w:widowControl/>
              <w:spacing w:after="0"/>
              <w:jc w:val="left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进阶分析（争议度计算、四象限图）代码实现；评分卡前端展示逻辑；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PPT </w:t>
            </w: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素材整理与文档编写。</w:t>
            </w:r>
          </w:p>
        </w:tc>
      </w:tr>
    </w:tbl>
    <w:p w14:paraId="73B00F7B" w14:textId="77777777" w:rsidR="00B27567" w:rsidRDefault="0047025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</w:t>
      </w:r>
      <w:r>
        <w:rPr>
          <w:sz w:val="32"/>
          <w:szCs w:val="32"/>
        </w:rPr>
        <w:t>实际开发结果</w:t>
      </w:r>
    </w:p>
    <w:p w14:paraId="444ED91F" w14:textId="77777777" w:rsidR="00B27567" w:rsidRDefault="00470256">
      <w:pPr>
        <w:pStyle w:val="a5"/>
        <w:widowControl/>
        <w:spacing w:beforeAutospacing="0" w:after="192" w:afterAutospacing="0" w:line="20" w:lineRule="atLeast"/>
        <w:jc w:val="both"/>
        <w:rPr>
          <w:rFonts w:ascii="Segoe UI" w:eastAsia="Segoe UI" w:hAnsi="Segoe UI" w:cs="Segoe UI"/>
          <w:color w:val="1E2F3D"/>
          <w:sz w:val="28"/>
          <w:szCs w:val="28"/>
        </w:rPr>
      </w:pPr>
      <w:r>
        <w:rPr>
          <w:rFonts w:ascii="Segoe UI" w:eastAsia="Segoe UI" w:hAnsi="Segoe UI" w:cs="Segoe UI"/>
          <w:color w:val="1E2F3D"/>
          <w:sz w:val="28"/>
          <w:szCs w:val="28"/>
        </w:rPr>
        <w:t>本项目按照既定计划，成功完成了从数据清洗到产品输出（评分卡）的全流程开发。主要成果包括：</w:t>
      </w:r>
    </w:p>
    <w:p w14:paraId="1FEC426C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lastRenderedPageBreak/>
        <w:t>数据处理与基础统计模块：</w:t>
      </w:r>
    </w:p>
    <w:p w14:paraId="45BCD9A3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成功加载并清洗了</w:t>
      </w:r>
      <w:r>
        <w:rPr>
          <w:sz w:val="28"/>
          <w:szCs w:val="28"/>
        </w:rPr>
        <w:t>10</w:t>
      </w:r>
      <w:r>
        <w:rPr>
          <w:sz w:val="28"/>
          <w:szCs w:val="28"/>
        </w:rPr>
        <w:t>万条专辑数据，完成了数据类型转换。</w:t>
      </w:r>
    </w:p>
    <w:p w14:paraId="78F62917" w14:textId="77777777" w:rsidR="00B27567" w:rsidRDefault="00470256">
      <w:pPr>
        <w:rPr>
          <w:color w:val="1E2F3D"/>
          <w:szCs w:val="18"/>
        </w:rPr>
      </w:pPr>
      <w:r>
        <w:rPr>
          <w:sz w:val="28"/>
          <w:szCs w:val="28"/>
        </w:rPr>
        <w:t>实现了按流派分组聚合，统计出共</w:t>
      </w:r>
      <w:r>
        <w:rPr>
          <w:sz w:val="28"/>
          <w:szCs w:val="28"/>
        </w:rPr>
        <w:t>38</w:t>
      </w:r>
      <w:r>
        <w:rPr>
          <w:sz w:val="28"/>
          <w:szCs w:val="28"/>
        </w:rPr>
        <w:t>种流派，其中</w:t>
      </w:r>
      <w:r>
        <w:rPr>
          <w:sz w:val="28"/>
          <w:szCs w:val="28"/>
        </w:rPr>
        <w:t>Indie</w:t>
      </w:r>
      <w:r>
        <w:rPr>
          <w:sz w:val="28"/>
          <w:szCs w:val="28"/>
        </w:rPr>
        <w:t>（独立音乐）以</w:t>
      </w:r>
      <w:r>
        <w:rPr>
          <w:sz w:val="28"/>
          <w:szCs w:val="28"/>
        </w:rPr>
        <w:t>9.8%</w:t>
      </w:r>
      <w:r>
        <w:rPr>
          <w:sz w:val="28"/>
          <w:szCs w:val="28"/>
        </w:rPr>
        <w:t>的占比位居数量第一，并绘制了</w:t>
      </w:r>
      <w:r>
        <w:rPr>
          <w:sz w:val="28"/>
          <w:szCs w:val="28"/>
        </w:rPr>
        <w:t>Top15</w:t>
      </w:r>
      <w:r>
        <w:rPr>
          <w:sz w:val="28"/>
          <w:szCs w:val="28"/>
        </w:rPr>
        <w:t>横向柱状图。</w:t>
      </w:r>
      <w:r>
        <w:rPr>
          <w:noProof/>
        </w:rPr>
        <w:drawing>
          <wp:inline distT="0" distB="0" distL="114300" distR="114300" wp14:anchorId="74C278B2" wp14:editId="639D3641">
            <wp:extent cx="2876550" cy="3598545"/>
            <wp:effectExtent l="0" t="0" r="3810" b="13335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137438B" wp14:editId="05B813BF">
            <wp:extent cx="3750945" cy="2813050"/>
            <wp:effectExtent l="0" t="0" r="13335" b="635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042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实现了各流派销量汇总，</w:t>
      </w:r>
      <w:r>
        <w:rPr>
          <w:sz w:val="28"/>
          <w:szCs w:val="28"/>
        </w:rPr>
        <w:t>Indie</w:t>
      </w:r>
      <w:r>
        <w:rPr>
          <w:sz w:val="28"/>
          <w:szCs w:val="28"/>
        </w:rPr>
        <w:t>以超过</w:t>
      </w:r>
      <w:r>
        <w:rPr>
          <w:sz w:val="28"/>
          <w:szCs w:val="28"/>
        </w:rPr>
        <w:t>47</w:t>
      </w:r>
      <w:r>
        <w:rPr>
          <w:sz w:val="28"/>
          <w:szCs w:val="28"/>
        </w:rPr>
        <w:t>亿总销量领先</w:t>
      </w:r>
      <w:r>
        <w:rPr>
          <w:rFonts w:hint="eastAsia"/>
          <w:sz w:val="28"/>
          <w:szCs w:val="28"/>
        </w:rPr>
        <w:t>。</w:t>
      </w:r>
    </w:p>
    <w:p w14:paraId="2A14E2D8" w14:textId="77777777" w:rsidR="00B27567" w:rsidRDefault="00470256">
      <w:pPr>
        <w:widowControl/>
        <w:spacing w:after="72" w:line="20" w:lineRule="atLeast"/>
        <w:ind w:left="312"/>
        <w:rPr>
          <w:color w:val="1E2F3D"/>
          <w:sz w:val="18"/>
          <w:szCs w:val="18"/>
        </w:rPr>
      </w:pPr>
      <w:r>
        <w:rPr>
          <w:noProof/>
        </w:rPr>
        <w:drawing>
          <wp:inline distT="0" distB="0" distL="114300" distR="114300" wp14:anchorId="4DE5EC65" wp14:editId="08AACCFD">
            <wp:extent cx="3134995" cy="3791585"/>
            <wp:effectExtent l="0" t="0" r="444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3B27" w14:textId="77777777" w:rsidR="00B27567" w:rsidRDefault="00470256">
      <w:pPr>
        <w:widowControl/>
        <w:spacing w:after="72" w:line="20" w:lineRule="atLeast"/>
        <w:rPr>
          <w:color w:val="1E2F3D"/>
          <w:sz w:val="18"/>
          <w:szCs w:val="18"/>
        </w:rPr>
      </w:pPr>
      <w:r>
        <w:rPr>
          <w:noProof/>
        </w:rPr>
        <w:lastRenderedPageBreak/>
        <w:drawing>
          <wp:inline distT="0" distB="0" distL="114300" distR="114300" wp14:anchorId="1B86C7C6" wp14:editId="1CAAC3CF">
            <wp:extent cx="4572000" cy="3429000"/>
            <wp:effectExtent l="0" t="0" r="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3A55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生成了展示近</w:t>
      </w:r>
      <w:r>
        <w:rPr>
          <w:sz w:val="28"/>
          <w:szCs w:val="28"/>
        </w:rPr>
        <w:t>20</w:t>
      </w:r>
      <w:r>
        <w:rPr>
          <w:sz w:val="28"/>
          <w:szCs w:val="28"/>
        </w:rPr>
        <w:t>年（</w:t>
      </w:r>
      <w:r>
        <w:rPr>
          <w:sz w:val="28"/>
          <w:szCs w:val="28"/>
        </w:rPr>
        <w:t>2000-2019</w:t>
      </w:r>
      <w:r>
        <w:rPr>
          <w:sz w:val="28"/>
          <w:szCs w:val="28"/>
        </w:rPr>
        <w:t>）专辑与单曲数量趋势的双轴柱状图，发现市场供给端年均发行量稳定在</w:t>
      </w:r>
      <w:r>
        <w:rPr>
          <w:sz w:val="28"/>
          <w:szCs w:val="28"/>
        </w:rPr>
        <w:t>4,800-5,200</w:t>
      </w:r>
      <w:r>
        <w:rPr>
          <w:sz w:val="28"/>
          <w:szCs w:val="28"/>
        </w:rPr>
        <w:t>张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单曲总数稳定在</w:t>
      </w:r>
      <w:r>
        <w:rPr>
          <w:sz w:val="28"/>
          <w:szCs w:val="28"/>
        </w:rPr>
        <w:t>42,000</w:t>
      </w:r>
      <w:r>
        <w:rPr>
          <w:sz w:val="28"/>
          <w:szCs w:val="28"/>
        </w:rPr>
        <w:t>至</w:t>
      </w:r>
      <w:r>
        <w:rPr>
          <w:sz w:val="28"/>
          <w:szCs w:val="28"/>
        </w:rPr>
        <w:t>45,000</w:t>
      </w:r>
      <w:r>
        <w:rPr>
          <w:sz w:val="28"/>
          <w:szCs w:val="28"/>
        </w:rPr>
        <w:t>首。</w:t>
      </w:r>
    </w:p>
    <w:p w14:paraId="6AD3AFC2" w14:textId="77777777" w:rsidR="00B27567" w:rsidRDefault="00470256">
      <w:pPr>
        <w:widowControl/>
        <w:spacing w:after="72" w:line="20" w:lineRule="atLeast"/>
        <w:ind w:left="312"/>
      </w:pPr>
      <w:r>
        <w:rPr>
          <w:noProof/>
        </w:rPr>
        <w:drawing>
          <wp:inline distT="0" distB="0" distL="114300" distR="114300" wp14:anchorId="5E269D9C" wp14:editId="7E9DC5BE">
            <wp:extent cx="5312410" cy="2656205"/>
            <wp:effectExtent l="0" t="0" r="6350" b="10795"/>
            <wp:docPr id="7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A05C" w14:textId="77777777" w:rsidR="00B27567" w:rsidRDefault="004702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完成</w:t>
      </w:r>
      <w:r>
        <w:rPr>
          <w:rFonts w:hint="eastAsia"/>
          <w:sz w:val="28"/>
          <w:szCs w:val="28"/>
        </w:rPr>
        <w:t>TOP5</w:t>
      </w:r>
      <w:r>
        <w:rPr>
          <w:rFonts w:hint="eastAsia"/>
          <w:sz w:val="28"/>
          <w:szCs w:val="28"/>
        </w:rPr>
        <w:t>流派各年份销量</w:t>
      </w:r>
      <w:r>
        <w:rPr>
          <w:rFonts w:hint="eastAsia"/>
          <w:sz w:val="28"/>
          <w:szCs w:val="28"/>
        </w:rPr>
        <w:t>统计。先取总销量最高的五个流派（</w:t>
      </w:r>
      <w:r>
        <w:rPr>
          <w:rFonts w:hint="eastAsia"/>
          <w:sz w:val="28"/>
          <w:szCs w:val="28"/>
        </w:rPr>
        <w:t xml:space="preserve">Indie / Pop </w:t>
      </w:r>
      <w:r>
        <w:rPr>
          <w:rFonts w:hint="eastAsia"/>
          <w:sz w:val="28"/>
          <w:szCs w:val="28"/>
        </w:rPr>
        <w:lastRenderedPageBreak/>
        <w:t>/ Rap / Latino / Pop-Rock</w:t>
      </w:r>
      <w:r>
        <w:rPr>
          <w:rFonts w:hint="eastAsia"/>
          <w:sz w:val="28"/>
          <w:szCs w:val="28"/>
        </w:rPr>
        <w:t>），筛选原始数据后按流派与年份双重分组汇总，生成透视表（行为年份、列为流派），再对每个流派单独绘制折线，五色叠加于同一坐标系中。</w:t>
      </w:r>
      <w:r>
        <w:rPr>
          <w:rFonts w:hint="eastAsia"/>
          <w:sz w:val="28"/>
          <w:szCs w:val="28"/>
        </w:rPr>
        <w:t>Indie</w:t>
      </w:r>
      <w:r>
        <w:rPr>
          <w:rFonts w:hint="eastAsia"/>
          <w:sz w:val="28"/>
          <w:szCs w:val="28"/>
        </w:rPr>
        <w:t>（独立音乐）在所有</w:t>
      </w:r>
      <w:r>
        <w:rPr>
          <w:rFonts w:hint="eastAsia"/>
          <w:sz w:val="28"/>
          <w:szCs w:val="28"/>
        </w:rPr>
        <w:t xml:space="preserve"> 20 </w:t>
      </w:r>
      <w:r>
        <w:rPr>
          <w:rFonts w:hint="eastAsia"/>
          <w:sz w:val="28"/>
          <w:szCs w:val="28"/>
        </w:rPr>
        <w:t>个年份中均保持销量领先——这不是某一年的偶然爆发，而是横跨两个十年的结构性优势。</w:t>
      </w:r>
      <w:r>
        <w:rPr>
          <w:rFonts w:hint="eastAsia"/>
          <w:sz w:val="28"/>
          <w:szCs w:val="28"/>
        </w:rPr>
        <w:t>Pop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Rap</w:t>
      </w:r>
      <w:r>
        <w:rPr>
          <w:rFonts w:hint="eastAsia"/>
          <w:sz w:val="28"/>
          <w:szCs w:val="28"/>
        </w:rPr>
        <w:t>交替争夺第二、三位，</w:t>
      </w:r>
      <w:r>
        <w:rPr>
          <w:rFonts w:hint="eastAsia"/>
          <w:sz w:val="28"/>
          <w:szCs w:val="28"/>
        </w:rPr>
        <w:t>Latino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Pop-Rock</w:t>
      </w:r>
      <w:r>
        <w:rPr>
          <w:rFonts w:hint="eastAsia"/>
          <w:sz w:val="28"/>
          <w:szCs w:val="28"/>
        </w:rPr>
        <w:t>稳定在第四、五名。值得关注的是</w:t>
      </w:r>
      <w:r>
        <w:rPr>
          <w:rFonts w:hint="eastAsia"/>
          <w:sz w:val="28"/>
          <w:szCs w:val="28"/>
        </w:rPr>
        <w:t>2015</w:t>
      </w:r>
      <w:r>
        <w:rPr>
          <w:rFonts w:hint="eastAsia"/>
          <w:sz w:val="28"/>
          <w:szCs w:val="28"/>
        </w:rPr>
        <w:t>年之后，五条折线的间距出现小幅收敛趋势，意味着头部流派之间的销量差距在近年有所缩小。</w:t>
      </w:r>
    </w:p>
    <w:p w14:paraId="70B6BF10" w14:textId="77777777" w:rsidR="00B27567" w:rsidRDefault="00B27567">
      <w:pPr>
        <w:rPr>
          <w:sz w:val="28"/>
          <w:szCs w:val="28"/>
        </w:rPr>
      </w:pPr>
    </w:p>
    <w:p w14:paraId="2DCCBA41" w14:textId="77777777" w:rsidR="00B27567" w:rsidRDefault="00470256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6C6A045E" wp14:editId="3A3677B2">
            <wp:extent cx="4528185" cy="2915920"/>
            <wp:effectExtent l="0" t="0" r="13335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463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29C1" w14:textId="77777777" w:rsidR="00B27567" w:rsidRDefault="0047025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69AB0B8" wp14:editId="077A6082">
            <wp:extent cx="5833110" cy="2916555"/>
            <wp:effectExtent l="0" t="0" r="381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683" cy="29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984C" w14:textId="77777777" w:rsidR="00B27567" w:rsidRDefault="004702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TOP5</w:t>
      </w:r>
      <w:r>
        <w:rPr>
          <w:rFonts w:hint="eastAsia"/>
          <w:sz w:val="28"/>
          <w:szCs w:val="28"/>
        </w:rPr>
        <w:t>流派平均评分</w:t>
      </w:r>
      <w:r>
        <w:rPr>
          <w:rFonts w:hint="eastAsia"/>
          <w:sz w:val="28"/>
          <w:szCs w:val="28"/>
        </w:rPr>
        <w:t>，取</w:t>
      </w:r>
      <w:r>
        <w:rPr>
          <w:rFonts w:hint="eastAsia"/>
          <w:sz w:val="28"/>
          <w:szCs w:val="28"/>
        </w:rPr>
        <w:t>Top5</w:t>
      </w:r>
      <w:r>
        <w:rPr>
          <w:rFonts w:hint="eastAsia"/>
          <w:sz w:val="28"/>
          <w:szCs w:val="28"/>
        </w:rPr>
        <w:t>销量流派在三个评分体系（</w:t>
      </w:r>
      <w:r>
        <w:rPr>
          <w:rFonts w:hint="eastAsia"/>
          <w:sz w:val="28"/>
          <w:szCs w:val="28"/>
        </w:rPr>
        <w:t>Rolling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Stone / MTV / Music Maniac</w:t>
      </w:r>
      <w:r>
        <w:rPr>
          <w:rFonts w:hint="eastAsia"/>
          <w:sz w:val="28"/>
          <w:szCs w:val="28"/>
        </w:rPr>
        <w:t>）中的平均分，使用分组柱状图对比。三个体系的评分高度一致，全部落在</w:t>
      </w:r>
      <w:r>
        <w:rPr>
          <w:rFonts w:hint="eastAsia"/>
          <w:sz w:val="28"/>
          <w:szCs w:val="28"/>
        </w:rPr>
        <w:t xml:space="preserve"> 2.68</w:t>
      </w:r>
      <w:r>
        <w:rPr>
          <w:rFonts w:hint="eastAsia"/>
          <w:sz w:val="28"/>
          <w:szCs w:val="28"/>
        </w:rPr>
        <w:t>–</w:t>
      </w:r>
      <w:r>
        <w:rPr>
          <w:rFonts w:hint="eastAsia"/>
          <w:sz w:val="28"/>
          <w:szCs w:val="28"/>
        </w:rPr>
        <w:t xml:space="preserve">2.84 </w:t>
      </w:r>
      <w:r>
        <w:rPr>
          <w:rFonts w:hint="eastAsia"/>
          <w:sz w:val="28"/>
          <w:szCs w:val="28"/>
        </w:rPr>
        <w:t>区间（满分</w:t>
      </w:r>
      <w:r>
        <w:rPr>
          <w:rFonts w:hint="eastAsia"/>
          <w:sz w:val="28"/>
          <w:szCs w:val="28"/>
        </w:rPr>
        <w:t xml:space="preserve"> 5 </w:t>
      </w:r>
      <w:r>
        <w:rPr>
          <w:rFonts w:hint="eastAsia"/>
          <w:sz w:val="28"/>
          <w:szCs w:val="28"/>
        </w:rPr>
        <w:t>分），各流派之间差异不显著。这一反直觉的发现说明：商业上最成功的专辑类型，艺术评分仅处于中游水平——商业成功与艺术评价是两个正交维度，为后续双维度评分卡设计提供了理论依据。</w:t>
      </w:r>
    </w:p>
    <w:p w14:paraId="69576483" w14:textId="77777777" w:rsidR="00B27567" w:rsidRDefault="00470256">
      <w:r>
        <w:rPr>
          <w:noProof/>
        </w:rPr>
        <w:drawing>
          <wp:inline distT="0" distB="0" distL="114300" distR="114300" wp14:anchorId="7CD510A6" wp14:editId="14EC9DB4">
            <wp:extent cx="3779520" cy="2359025"/>
            <wp:effectExtent l="0" t="0" r="0" b="317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60" cy="235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EBAD" w14:textId="77777777" w:rsidR="00B27567" w:rsidRDefault="00470256">
      <w:r>
        <w:rPr>
          <w:noProof/>
        </w:rPr>
        <w:lastRenderedPageBreak/>
        <w:drawing>
          <wp:inline distT="0" distB="0" distL="114300" distR="114300" wp14:anchorId="546ABD5C" wp14:editId="5EEB2957">
            <wp:extent cx="5847715" cy="3411220"/>
            <wp:effectExtent l="0" t="0" r="444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35" cy="34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2FE1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进阶分析模块：</w:t>
      </w:r>
    </w:p>
    <w:p w14:paraId="010E9106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相关性分析：通过</w:t>
      </w:r>
      <w:r>
        <w:rPr>
          <w:sz w:val="28"/>
          <w:szCs w:val="28"/>
        </w:rPr>
        <w:t xml:space="preserve"> Pearson</w:t>
      </w:r>
      <w:r>
        <w:rPr>
          <w:sz w:val="28"/>
          <w:szCs w:val="28"/>
        </w:rPr>
        <w:t>（</w:t>
      </w:r>
      <w:r>
        <w:rPr>
          <w:sz w:val="28"/>
          <w:szCs w:val="28"/>
        </w:rPr>
        <w:t>≈ −0.007</w:t>
      </w:r>
      <w:r>
        <w:rPr>
          <w:sz w:val="28"/>
          <w:szCs w:val="28"/>
        </w:rPr>
        <w:t>）和</w:t>
      </w:r>
      <w:r>
        <w:rPr>
          <w:sz w:val="28"/>
          <w:szCs w:val="28"/>
        </w:rPr>
        <w:t xml:space="preserve"> Spearman </w:t>
      </w:r>
      <w:r>
        <w:rPr>
          <w:sz w:val="28"/>
          <w:szCs w:val="28"/>
        </w:rPr>
        <w:t>双系数检验，证伪了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单曲越多越好卖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的行业直觉。</w:t>
      </w:r>
    </w:p>
    <w:p w14:paraId="26DE5532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争议度分析：计算了三评分体系的标准差，通过箱线图与四象限图发现，高争议组的销量两极分化显著更严重。</w:t>
      </w:r>
    </w:p>
    <w:p w14:paraId="3A77139E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线性回归建模：使用平均评分、争议度、曲目数、发行年份预测销量（</w:t>
      </w:r>
      <w:r>
        <w:rPr>
          <w:sz w:val="28"/>
          <w:szCs w:val="28"/>
        </w:rPr>
        <w:t xml:space="preserve">log1p </w:t>
      </w:r>
      <w:r>
        <w:rPr>
          <w:sz w:val="28"/>
          <w:szCs w:val="28"/>
        </w:rPr>
        <w:t>变换后），模型</w:t>
      </w:r>
      <w:r>
        <w:rPr>
          <w:sz w:val="28"/>
          <w:szCs w:val="28"/>
        </w:rPr>
        <w:t xml:space="preserve"> R² ≈ 0.000</w:t>
      </w:r>
      <w:r>
        <w:rPr>
          <w:sz w:val="28"/>
          <w:szCs w:val="28"/>
        </w:rPr>
        <w:t>，表明账面指标对商业成功几乎没有解释力。</w:t>
      </w:r>
    </w:p>
    <w:p w14:paraId="05385913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产品输出（评分卡）：</w:t>
      </w:r>
    </w:p>
    <w:p w14:paraId="5DBDE067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成功构建了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专辑投资价值评分卡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。评分卡并非预测模型，而是评级</w:t>
      </w:r>
      <w:r>
        <w:rPr>
          <w:sz w:val="28"/>
          <w:szCs w:val="28"/>
        </w:rPr>
        <w:lastRenderedPageBreak/>
        <w:t>工具。</w:t>
      </w:r>
    </w:p>
    <w:p w14:paraId="5856B997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公式：综合投资分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销量潜力分</w:t>
      </w:r>
      <w:r>
        <w:rPr>
          <w:sz w:val="28"/>
          <w:szCs w:val="28"/>
        </w:rPr>
        <w:t xml:space="preserve"> × 55% + </w:t>
      </w:r>
      <w:r>
        <w:rPr>
          <w:sz w:val="28"/>
          <w:szCs w:val="28"/>
        </w:rPr>
        <w:t>艺术价值分</w:t>
      </w:r>
      <w:r>
        <w:rPr>
          <w:sz w:val="28"/>
          <w:szCs w:val="28"/>
        </w:rPr>
        <w:t xml:space="preserve"> × 45%</w:t>
      </w:r>
      <w:r>
        <w:rPr>
          <w:sz w:val="28"/>
          <w:szCs w:val="28"/>
        </w:rPr>
        <w:t>。</w:t>
      </w:r>
    </w:p>
    <w:p w14:paraId="121ABE75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其中，销量潜力分基于回归预测销量的百分位排名；艺术价值分由评分均值、一致性和最高分加权得出。</w:t>
      </w:r>
    </w:p>
    <w:p w14:paraId="270957DC" w14:textId="77777777" w:rsidR="00B27567" w:rsidRDefault="0047025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按分数将</w:t>
      </w:r>
      <w:r>
        <w:rPr>
          <w:sz w:val="28"/>
          <w:szCs w:val="28"/>
        </w:rPr>
        <w:t xml:space="preserve"> 10 </w:t>
      </w:r>
      <w:r>
        <w:rPr>
          <w:sz w:val="28"/>
          <w:szCs w:val="28"/>
        </w:rPr>
        <w:t>万张专辑划分为</w:t>
      </w:r>
      <w:r>
        <w:rPr>
          <w:sz w:val="28"/>
          <w:szCs w:val="28"/>
        </w:rPr>
        <w:t xml:space="preserve"> S/A/B/C/D </w:t>
      </w:r>
      <w:r>
        <w:rPr>
          <w:sz w:val="28"/>
          <w:szCs w:val="28"/>
        </w:rPr>
        <w:t>五个等级，并导出</w:t>
      </w:r>
      <w:r>
        <w:rPr>
          <w:sz w:val="28"/>
          <w:szCs w:val="28"/>
        </w:rPr>
        <w:t xml:space="preserve"> Top 500 </w:t>
      </w:r>
      <w:r>
        <w:rPr>
          <w:sz w:val="28"/>
          <w:szCs w:val="28"/>
        </w:rPr>
        <w:t>专辑</w:t>
      </w:r>
      <w:r>
        <w:rPr>
          <w:sz w:val="28"/>
          <w:szCs w:val="28"/>
        </w:rPr>
        <w:t xml:space="preserve"> CSV </w:t>
      </w:r>
      <w:r>
        <w:rPr>
          <w:sz w:val="28"/>
          <w:szCs w:val="28"/>
        </w:rPr>
        <w:t>报告。</w:t>
      </w:r>
    </w:p>
    <w:p w14:paraId="2C7C6618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sz w:val="32"/>
          <w:szCs w:val="32"/>
        </w:rPr>
        <w:t>开发工作评价</w:t>
      </w:r>
    </w:p>
    <w:p w14:paraId="3B657206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>3.1</w:t>
      </w:r>
      <w:r>
        <w:rPr>
          <w:sz w:val="32"/>
          <w:szCs w:val="32"/>
        </w:rPr>
        <w:t>对项目开发过程的评价</w:t>
      </w:r>
    </w:p>
    <w:p w14:paraId="3DD418B6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整个开发过程遵循了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基础探索</w:t>
      </w: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>进阶验证</w:t>
      </w:r>
      <w:r>
        <w:rPr>
          <w:sz w:val="28"/>
          <w:szCs w:val="28"/>
        </w:rPr>
        <w:t>→</w:t>
      </w:r>
      <w:r>
        <w:rPr>
          <w:sz w:val="28"/>
          <w:szCs w:val="28"/>
        </w:rPr>
        <w:t>产品转化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的阶梯式路径，节奏合理。前期的基础统计工作扎实，为后续发现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商业与艺术正交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等反直觉现象提供了坚实的数据基础。中期我们及时调整了方向，当发现回归模型预测效果极差（</w:t>
      </w:r>
      <w:r>
        <w:rPr>
          <w:sz w:val="28"/>
          <w:szCs w:val="28"/>
        </w:rPr>
        <w:t>R²≈0</w:t>
      </w:r>
      <w:r>
        <w:rPr>
          <w:sz w:val="28"/>
          <w:szCs w:val="28"/>
        </w:rPr>
        <w:t>）时，没有盲目进行特征工程，而是果断转变思路，将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预测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目标改为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评估与排序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，这一决策直接催生了评分卡产品的诞生，体现了项目组的敏捷性和判断力。</w:t>
      </w:r>
    </w:p>
    <w:p w14:paraId="0CC4D15E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3.2 </w:t>
      </w:r>
      <w:r>
        <w:rPr>
          <w:sz w:val="32"/>
          <w:szCs w:val="32"/>
        </w:rPr>
        <w:t>对技术方法的评价</w:t>
      </w:r>
    </w:p>
    <w:p w14:paraId="75A0AF0E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本项目中采用的技术方法是恰当且高效的：</w:t>
      </w:r>
    </w:p>
    <w:p w14:paraId="306896DC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Python </w:t>
      </w:r>
      <w:r>
        <w:rPr>
          <w:sz w:val="28"/>
          <w:szCs w:val="28"/>
        </w:rPr>
        <w:t>数据分析栈：</w:t>
      </w:r>
      <w:r>
        <w:rPr>
          <w:sz w:val="28"/>
          <w:szCs w:val="28"/>
        </w:rPr>
        <w:t xml:space="preserve">Pandas </w:t>
      </w:r>
      <w:r>
        <w:rPr>
          <w:sz w:val="28"/>
          <w:szCs w:val="28"/>
        </w:rPr>
        <w:t>的矢量化运算极大提升了数据处理效率；</w:t>
      </w:r>
      <w:r>
        <w:rPr>
          <w:sz w:val="28"/>
          <w:szCs w:val="28"/>
        </w:rPr>
        <w:t xml:space="preserve">Matplotlib </w:t>
      </w:r>
      <w:r>
        <w:rPr>
          <w:sz w:val="28"/>
          <w:szCs w:val="28"/>
        </w:rPr>
        <w:t>的</w:t>
      </w:r>
      <w:r>
        <w:rPr>
          <w:sz w:val="28"/>
          <w:szCs w:val="28"/>
        </w:rPr>
        <w:t> twinx()</w:t>
      </w:r>
      <w:r>
        <w:rPr>
          <w:sz w:val="28"/>
          <w:szCs w:val="28"/>
        </w:rPr>
        <w:t>、分组柱状图等功能完美满足了多维度对比</w:t>
      </w:r>
      <w:r>
        <w:rPr>
          <w:sz w:val="28"/>
          <w:szCs w:val="28"/>
        </w:rPr>
        <w:lastRenderedPageBreak/>
        <w:t>的可视化需求。</w:t>
      </w:r>
    </w:p>
    <w:p w14:paraId="3770499E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双相关系数检验：同时使用</w:t>
      </w:r>
      <w:r>
        <w:rPr>
          <w:sz w:val="28"/>
          <w:szCs w:val="28"/>
        </w:rPr>
        <w:t xml:space="preserve"> Pearson </w:t>
      </w:r>
      <w:r>
        <w:rPr>
          <w:sz w:val="28"/>
          <w:szCs w:val="28"/>
        </w:rPr>
        <w:t>和</w:t>
      </w:r>
      <w:r>
        <w:rPr>
          <w:sz w:val="28"/>
          <w:szCs w:val="28"/>
        </w:rPr>
        <w:t xml:space="preserve"> Spearman </w:t>
      </w:r>
      <w:r>
        <w:rPr>
          <w:sz w:val="28"/>
          <w:szCs w:val="28"/>
        </w:rPr>
        <w:t>系数，不仅检验了线性关系，还检验了单调趋势，使结论（曲目数与销量无关）更加稳健可靠。</w:t>
      </w:r>
    </w:p>
    <w:p w14:paraId="69C5081D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log1p </w:t>
      </w:r>
      <w:r>
        <w:rPr>
          <w:sz w:val="28"/>
          <w:szCs w:val="28"/>
        </w:rPr>
        <w:t>变换：针对销量数据严重右偏的特性，采用</w:t>
      </w:r>
      <w:r>
        <w:rPr>
          <w:sz w:val="28"/>
          <w:szCs w:val="28"/>
        </w:rPr>
        <w:t xml:space="preserve"> log1p </w:t>
      </w:r>
      <w:r>
        <w:rPr>
          <w:sz w:val="28"/>
          <w:szCs w:val="28"/>
        </w:rPr>
        <w:t>变换后再进行回归，是处理金融、商业数据的标准做法，显著提升了模型训练的合理性。</w:t>
      </w:r>
    </w:p>
    <w:p w14:paraId="46D538F2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评分卡设计：将商业与艺术解耦，采用加权打分制，承认了销量不可完全预测的现实，增强了工具在真实业务场景中的实用价值。</w:t>
      </w:r>
    </w:p>
    <w:p w14:paraId="7CF671C7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3.3 </w:t>
      </w:r>
      <w:r>
        <w:rPr>
          <w:sz w:val="32"/>
          <w:szCs w:val="32"/>
        </w:rPr>
        <w:t>对产品质量的评价</w:t>
      </w:r>
    </w:p>
    <w:p w14:paraId="1577E5A4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本项目交付的产品质量较高，达到了预定目标：</w:t>
      </w:r>
    </w:p>
    <w:p w14:paraId="33B19248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代码质量：核心功能被拆分为独立的函数（如销量潜力分、艺术价值分等），耦合度低，便于单独验证和后期调参。</w:t>
      </w:r>
    </w:p>
    <w:p w14:paraId="3E45957F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可视化质量：图表类型选择得当，重点突出。特别是对散点图进行了抽样</w:t>
      </w:r>
      <w:r>
        <w:rPr>
          <w:sz w:val="28"/>
          <w:szCs w:val="28"/>
        </w:rPr>
        <w:t>+</w:t>
      </w:r>
      <w:r>
        <w:rPr>
          <w:sz w:val="28"/>
          <w:szCs w:val="28"/>
        </w:rPr>
        <w:t>分箱均值折线处理，避免了</w:t>
      </w:r>
      <w:r>
        <w:rPr>
          <w:sz w:val="28"/>
          <w:szCs w:val="28"/>
        </w:rPr>
        <w:t xml:space="preserve"> 10 </w:t>
      </w:r>
      <w:r>
        <w:rPr>
          <w:sz w:val="28"/>
          <w:szCs w:val="28"/>
        </w:rPr>
        <w:t>万点绘制造成的视觉拥堵，清晰展示了数据趋势。</w:t>
      </w:r>
    </w:p>
    <w:p w14:paraId="0E84EB9A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分析结论价值：项目不仅产出了图表，更产出了具有业务指导意义的结论（如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歌多不好卖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、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争议是把双刃剑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），并最终沉淀为可直</w:t>
      </w:r>
      <w:r>
        <w:rPr>
          <w:sz w:val="28"/>
          <w:szCs w:val="28"/>
        </w:rPr>
        <w:lastRenderedPageBreak/>
        <w:t>接交付给</w:t>
      </w:r>
      <w:r>
        <w:rPr>
          <w:sz w:val="28"/>
          <w:szCs w:val="28"/>
        </w:rPr>
        <w:t xml:space="preserve"> A&amp;R </w:t>
      </w:r>
      <w:r>
        <w:rPr>
          <w:sz w:val="28"/>
          <w:szCs w:val="28"/>
        </w:rPr>
        <w:t>部门的</w:t>
      </w:r>
      <w:r>
        <w:rPr>
          <w:sz w:val="28"/>
          <w:szCs w:val="28"/>
        </w:rPr>
        <w:t xml:space="preserve"> Top 500 </w:t>
      </w:r>
      <w:r>
        <w:rPr>
          <w:sz w:val="28"/>
          <w:szCs w:val="28"/>
        </w:rPr>
        <w:t>专辑清单，具有实际应用价值。</w:t>
      </w:r>
    </w:p>
    <w:p w14:paraId="1C4F2AD8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>
        <w:rPr>
          <w:sz w:val="32"/>
          <w:szCs w:val="32"/>
        </w:rPr>
        <w:t>技术积累总结</w:t>
      </w:r>
    </w:p>
    <w:p w14:paraId="242B6747" w14:textId="77777777" w:rsidR="00B27567" w:rsidRDefault="00470256">
      <w:pPr>
        <w:rPr>
          <w:sz w:val="28"/>
          <w:szCs w:val="28"/>
        </w:rPr>
      </w:pPr>
      <w:r>
        <w:rPr>
          <w:sz w:val="28"/>
          <w:szCs w:val="28"/>
        </w:rPr>
        <w:t>通过本次项目开发，我们积累了以下宝贵的分析范式与技术经验：</w:t>
      </w:r>
    </w:p>
    <w:p w14:paraId="3025DB39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商业分析中的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证伪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思维：数据分析不应仅追求建立预测模型，证实或证伪一个业务直觉同样极具价值。本项目严谨地证明了多项指标与销量无关，这本身就是重要的分析结论。</w:t>
      </w:r>
    </w:p>
    <w:p w14:paraId="3757D7AC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数据变换的必要性：面对长尾分布的商业指标（如销量、收入），不能直接套用线性模型，</w:t>
      </w:r>
      <w:r>
        <w:rPr>
          <w:sz w:val="28"/>
          <w:szCs w:val="28"/>
        </w:rPr>
        <w:t>log1p </w:t>
      </w:r>
      <w:r>
        <w:rPr>
          <w:sz w:val="28"/>
          <w:szCs w:val="28"/>
        </w:rPr>
        <w:t>等正态化变换是标准且关键的预处理步骤。</w:t>
      </w:r>
    </w:p>
    <w:p w14:paraId="3FF9C3A4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可视化呈现技巧：当数据量极大（</w:t>
      </w:r>
      <w:r>
        <w:rPr>
          <w:sz w:val="28"/>
          <w:szCs w:val="28"/>
        </w:rPr>
        <w:t>&gt;5</w:t>
      </w:r>
      <w:r>
        <w:rPr>
          <w:sz w:val="28"/>
          <w:szCs w:val="28"/>
        </w:rPr>
        <w:t>万点）时，散点图需配合采样和趋势线（如分箱均值）使用，否则难以传达有效信息；双轴图是展示不同量纲指标（如数量与总数）在同时间轴变化的利器。</w:t>
      </w:r>
    </w:p>
    <w:p w14:paraId="6BD34277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从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预测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排序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的思路转换：当回归模型因</w:t>
      </w:r>
      <w:r>
        <w:rPr>
          <w:sz w:val="28"/>
          <w:szCs w:val="28"/>
        </w:rPr>
        <w:t xml:space="preserve"> R² </w:t>
      </w:r>
      <w:r>
        <w:rPr>
          <w:sz w:val="28"/>
          <w:szCs w:val="28"/>
        </w:rPr>
        <w:t>极低而失效时，转而构建排序或评级系统（如评分卡）是一种极具工程智慧的降维策略，能有效应对高噪声的商业数据。</w:t>
      </w:r>
    </w:p>
    <w:p w14:paraId="22A9D1E8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>
        <w:rPr>
          <w:sz w:val="32"/>
          <w:szCs w:val="32"/>
        </w:rPr>
        <w:t>经验与教训</w:t>
      </w:r>
    </w:p>
    <w:p w14:paraId="67E682BA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5.1 </w:t>
      </w:r>
      <w:r>
        <w:rPr>
          <w:sz w:val="32"/>
          <w:szCs w:val="32"/>
        </w:rPr>
        <w:t>实践经验</w:t>
      </w:r>
    </w:p>
    <w:p w14:paraId="1132046C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夯实数据处理基础：数据清洗、类型转换、分组聚合是分析的根基。</w:t>
      </w:r>
      <w:r>
        <w:rPr>
          <w:sz w:val="28"/>
          <w:szCs w:val="28"/>
        </w:rPr>
        <w:lastRenderedPageBreak/>
        <w:t>本次项目前期花了足够时间确保数据质量，避免了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垃圾进，垃圾出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的问题，为后续分析铺平了道路。</w:t>
      </w:r>
    </w:p>
    <w:p w14:paraId="46E05776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复杂任务拆解：评分卡从构想到落地，我们将其拆解为销量潜力分、艺术价值分、综合分、等级划分四个独立函数。这使得每步逻辑可单独验证，后期调整权重时也只需修改一处参数，大大降低了实现难度。</w:t>
      </w:r>
    </w:p>
    <w:p w14:paraId="2788147F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分析结论要适配数据特性：我们观察到销量分布严重右偏，因此果断采用</w:t>
      </w:r>
      <w:r>
        <w:rPr>
          <w:sz w:val="28"/>
          <w:szCs w:val="28"/>
        </w:rPr>
        <w:t xml:space="preserve"> log1p </w:t>
      </w:r>
      <w:r>
        <w:rPr>
          <w:sz w:val="28"/>
          <w:szCs w:val="28"/>
        </w:rPr>
        <w:t>变换后再进行回归，这显著提升了模型的可解释性。如果不做处理直接拟合，结果将毫无意义。</w:t>
      </w:r>
    </w:p>
    <w:p w14:paraId="2A8722AE" w14:textId="77777777" w:rsidR="00B27567" w:rsidRDefault="00470256">
      <w:pPr>
        <w:rPr>
          <w:sz w:val="32"/>
          <w:szCs w:val="32"/>
        </w:rPr>
      </w:pPr>
      <w:r>
        <w:rPr>
          <w:sz w:val="32"/>
          <w:szCs w:val="32"/>
        </w:rPr>
        <w:t xml:space="preserve">5.2 </w:t>
      </w:r>
      <w:r>
        <w:rPr>
          <w:sz w:val="32"/>
          <w:szCs w:val="32"/>
        </w:rPr>
        <w:t>实践教训</w:t>
      </w:r>
    </w:p>
    <w:p w14:paraId="1D4A3F2F" w14:textId="77777777" w:rsidR="00B27567" w:rsidRDefault="00B27567">
      <w:pPr>
        <w:widowControl/>
        <w:spacing w:after="0" w:line="288" w:lineRule="atLeast"/>
        <w:ind w:left="-360"/>
        <w:rPr>
          <w:color w:val="000000"/>
          <w:sz w:val="19"/>
          <w:szCs w:val="19"/>
        </w:rPr>
      </w:pPr>
    </w:p>
    <w:p w14:paraId="4466BCF9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绘图环境缺少中文适配配置</w:t>
      </w:r>
      <w:r>
        <w:rPr>
          <w:rFonts w:hint="eastAsia"/>
          <w:sz w:val="28"/>
          <w:szCs w:val="28"/>
        </w:rPr>
        <w:t>了，</w:t>
      </w:r>
      <w:r>
        <w:rPr>
          <w:sz w:val="28"/>
          <w:szCs w:val="28"/>
        </w:rPr>
        <w:t>项目绘图阶段，系统默认字体无法识别中文，图表内标题、坐标轴文字全部显示乱码方框，同时持续弹出字体缺失警告，后期需要逐段代码补充字体设置进行修复。后续开展可视化项目时，应当在程序最开头统一配置中文字体参数，提前规避文字显示异常问题，减少返工工作量。</w:t>
      </w:r>
    </w:p>
    <w:p w14:paraId="346C8090" w14:textId="77777777" w:rsidR="00B27567" w:rsidRDefault="0047025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海量数据直接绘图存在展示缺陷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最初直接调用散点图绘制全部十万条专辑数据，大量数据点重叠堆积，整张图表变成黑色色块，完全无法分辨变量之间的分布趋势，不具备分析参考价值。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后续处理万级以上大规模数据集可视化时，不能直接渲染全部原始数据，需</w:t>
      </w:r>
      <w:r>
        <w:rPr>
          <w:sz w:val="28"/>
          <w:szCs w:val="28"/>
        </w:rPr>
        <w:lastRenderedPageBreak/>
        <w:t>要提前做随机抽样筛选部分样本，或是采用分箱统计、六边形热力图等方式简化画面，搭配分段均值辅助线凸显数据变化规律，保证图表清晰可读。</w:t>
      </w:r>
    </w:p>
    <w:p w14:paraId="418CE190" w14:textId="77777777" w:rsidR="00B27567" w:rsidRDefault="00B27567">
      <w:pPr>
        <w:pStyle w:val="a5"/>
        <w:widowControl/>
        <w:spacing w:beforeAutospacing="0" w:afterAutospacing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</w:p>
    <w:p w14:paraId="54B63591" w14:textId="77777777" w:rsidR="00B27567" w:rsidRDefault="00B27567">
      <w:pPr>
        <w:pStyle w:val="a5"/>
        <w:widowControl/>
        <w:spacing w:beforeAutospacing="0" w:afterAutospacing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</w:p>
    <w:p w14:paraId="6D31D6DC" w14:textId="77777777" w:rsidR="00B27567" w:rsidRDefault="00B27567">
      <w:pPr>
        <w:snapToGrid w:val="0"/>
        <w:spacing w:after="0" w:line="240" w:lineRule="atLeast"/>
        <w:jc w:val="left"/>
        <w:rPr>
          <w:rFonts w:ascii="仿宋" w:eastAsia="仿宋" w:hAnsi="仿宋" w:cs="仿宋" w:hint="eastAsia"/>
          <w:b/>
          <w:kern w:val="0"/>
          <w:sz w:val="32"/>
          <w:szCs w:val="32"/>
          <w:lang w:bidi="ar"/>
        </w:rPr>
      </w:pPr>
    </w:p>
    <w:p w14:paraId="2C0CB84C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Cs/>
          <w:sz w:val="24"/>
          <w:szCs w:val="20"/>
        </w:rPr>
      </w:pPr>
    </w:p>
    <w:p w14:paraId="7F07178B" w14:textId="77777777" w:rsidR="00B27567" w:rsidRDefault="00B27567">
      <w:pPr>
        <w:snapToGrid w:val="0"/>
        <w:spacing w:after="0" w:line="240" w:lineRule="atLeast"/>
        <w:jc w:val="left"/>
        <w:rPr>
          <w:rFonts w:hAnsi="宋体" w:hint="eastAsia"/>
          <w:b/>
          <w:sz w:val="24"/>
          <w:szCs w:val="20"/>
        </w:rPr>
      </w:pPr>
    </w:p>
    <w:p w14:paraId="4E1F2AD4" w14:textId="77777777" w:rsidR="00B27567" w:rsidRDefault="00B27567"/>
    <w:sectPr w:rsidR="00B27567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E5AE67"/>
    <w:multiLevelType w:val="singleLevel"/>
    <w:tmpl w:val="BAE5AE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Cs w:val="16"/>
      </w:rPr>
    </w:lvl>
  </w:abstractNum>
  <w:abstractNum w:abstractNumId="1" w15:restartNumberingAfterBreak="0">
    <w:nsid w:val="14220077"/>
    <w:multiLevelType w:val="singleLevel"/>
    <w:tmpl w:val="1422007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6D21A83"/>
    <w:multiLevelType w:val="multilevel"/>
    <w:tmpl w:val="56D21A83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7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 w16cid:durableId="1016692018">
    <w:abstractNumId w:val="2"/>
  </w:num>
  <w:num w:numId="2" w16cid:durableId="1924490136">
    <w:abstractNumId w:val="0"/>
  </w:num>
  <w:num w:numId="3" w16cid:durableId="122062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67"/>
    <w:rsid w:val="00470256"/>
    <w:rsid w:val="00B27567"/>
    <w:rsid w:val="00B367AF"/>
    <w:rsid w:val="00C254F6"/>
    <w:rsid w:val="00D9307B"/>
    <w:rsid w:val="01B34A96"/>
    <w:rsid w:val="075A03AD"/>
    <w:rsid w:val="0B1E3F87"/>
    <w:rsid w:val="168075CB"/>
    <w:rsid w:val="18AF6BC4"/>
    <w:rsid w:val="1CFA29DD"/>
    <w:rsid w:val="1EB3046E"/>
    <w:rsid w:val="1EDD0AF9"/>
    <w:rsid w:val="1FC50118"/>
    <w:rsid w:val="26062C18"/>
    <w:rsid w:val="29D00D5B"/>
    <w:rsid w:val="31F750D5"/>
    <w:rsid w:val="3B827D20"/>
    <w:rsid w:val="45836FFB"/>
    <w:rsid w:val="4B003202"/>
    <w:rsid w:val="4E627E10"/>
    <w:rsid w:val="590F6F74"/>
    <w:rsid w:val="5C2E1EB2"/>
    <w:rsid w:val="61AD2CA3"/>
    <w:rsid w:val="680D1393"/>
    <w:rsid w:val="69672581"/>
    <w:rsid w:val="69BE7CAB"/>
    <w:rsid w:val="70917458"/>
    <w:rsid w:val="74FE4B5E"/>
    <w:rsid w:val="76290DBE"/>
    <w:rsid w:val="7B272B62"/>
    <w:rsid w:val="7C623CA3"/>
    <w:rsid w:val="7EA3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48B8C09"/>
  <w15:docId w15:val="{635EF7C5-44F0-4C0F-BBF0-B5BB3089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pPr>
      <w:keepNext/>
      <w:numPr>
        <w:numId w:val="1"/>
      </w:numPr>
      <w:snapToGrid w:val="0"/>
      <w:spacing w:before="120" w:after="60" w:line="240" w:lineRule="atLeast"/>
      <w:jc w:val="left"/>
      <w:outlineLvl w:val="0"/>
    </w:pPr>
    <w:rPr>
      <w:rFonts w:ascii="Arial" w:eastAsia="宋体" w:hAnsi="Arial" w:cs="Times New Roman"/>
      <w:b/>
      <w:kern w:val="0"/>
      <w:sz w:val="32"/>
      <w:szCs w:val="32"/>
    </w:rPr>
  </w:style>
  <w:style w:type="paragraph" w:styleId="2">
    <w:name w:val="heading 2"/>
    <w:basedOn w:val="1"/>
    <w:next w:val="a0"/>
    <w:link w:val="20"/>
    <w:semiHidden/>
    <w:unhideWhenUsed/>
    <w:qFormat/>
    <w:pPr>
      <w:numPr>
        <w:ilvl w:val="1"/>
      </w:numPr>
      <w:outlineLvl w:val="1"/>
    </w:pPr>
    <w:rPr>
      <w:sz w:val="24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keepLines/>
      <w:snapToGrid w:val="0"/>
      <w:spacing w:before="40" w:after="40" w:line="240" w:lineRule="atLeast"/>
      <w:ind w:left="720"/>
      <w:jc w:val="left"/>
    </w:pPr>
    <w:rPr>
      <w:rFonts w:ascii="Arial" w:eastAsia="宋体" w:hAnsi="Arial" w:cs="Times New Roman"/>
      <w:kern w:val="0"/>
      <w:sz w:val="20"/>
      <w:szCs w:val="20"/>
    </w:rPr>
  </w:style>
  <w:style w:type="paragraph" w:styleId="a5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qFormat/>
    <w:pPr>
      <w:snapToGrid w:val="0"/>
      <w:spacing w:after="0" w:line="240" w:lineRule="atLeast"/>
      <w:jc w:val="center"/>
    </w:pPr>
    <w:rPr>
      <w:rFonts w:ascii="Arial" w:eastAsia="宋体" w:hAnsi="Arial" w:cs="Times New Roman"/>
      <w:b/>
      <w:kern w:val="0"/>
      <w:sz w:val="36"/>
      <w:szCs w:val="36"/>
    </w:rPr>
  </w:style>
  <w:style w:type="character" w:styleId="a8">
    <w:name w:val="Strong"/>
    <w:basedOn w:val="a1"/>
    <w:qFormat/>
    <w:rPr>
      <w:b/>
    </w:rPr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character" w:customStyle="1" w:styleId="a4">
    <w:name w:val="正文文本 字符"/>
    <w:basedOn w:val="a1"/>
    <w:link w:val="a0"/>
    <w:qFormat/>
    <w:rPr>
      <w:rFonts w:ascii="Arial" w:hAnsi="Arial" w:cs="Arial" w:hint="default"/>
      <w:snapToGrid/>
    </w:rPr>
  </w:style>
  <w:style w:type="character" w:customStyle="1" w:styleId="20">
    <w:name w:val="标题 2 字符"/>
    <w:basedOn w:val="a1"/>
    <w:link w:val="2"/>
    <w:qFormat/>
    <w:rPr>
      <w:rFonts w:ascii="Arial" w:hAnsi="Arial" w:cs="Arial" w:hint="default"/>
      <w:b/>
      <w:snapToGrid/>
      <w:sz w:val="24"/>
      <w:szCs w:val="24"/>
    </w:rPr>
  </w:style>
  <w:style w:type="character" w:customStyle="1" w:styleId="10">
    <w:name w:val="标题 1 字符"/>
    <w:basedOn w:val="a1"/>
    <w:link w:val="1"/>
    <w:qFormat/>
    <w:rPr>
      <w:rFonts w:ascii="Arial" w:hAnsi="Arial" w:cs="Arial" w:hint="default"/>
      <w:b/>
      <w:snapToGrid/>
      <w:sz w:val="32"/>
      <w:szCs w:val="32"/>
    </w:rPr>
  </w:style>
  <w:style w:type="character" w:customStyle="1" w:styleId="a7">
    <w:name w:val="标题 字符"/>
    <w:basedOn w:val="a1"/>
    <w:link w:val="a6"/>
    <w:rPr>
      <w:rFonts w:ascii="Arial" w:hAnsi="Arial" w:cs="Arial" w:hint="default"/>
      <w:b/>
      <w:snapToGrid/>
      <w:sz w:val="36"/>
      <w:szCs w:val="36"/>
    </w:rPr>
  </w:style>
  <w:style w:type="paragraph" w:customStyle="1" w:styleId="InfoBlue">
    <w:name w:val="InfoBlue"/>
    <w:basedOn w:val="a"/>
    <w:next w:val="a0"/>
    <w:qFormat/>
    <w:pPr>
      <w:tabs>
        <w:tab w:val="left" w:pos="540"/>
        <w:tab w:val="left" w:pos="1260"/>
      </w:tabs>
      <w:snapToGrid w:val="0"/>
      <w:spacing w:after="120" w:line="360" w:lineRule="auto"/>
      <w:ind w:firstLineChars="200" w:firstLine="400"/>
      <w:jc w:val="left"/>
    </w:pPr>
    <w:rPr>
      <w:rFonts w:ascii="Arial" w:eastAsia="宋体" w:hAnsi="Arial" w:cs="Times New Roman"/>
      <w:iCs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670</Words>
  <Characters>3825</Characters>
  <Application>Microsoft Office Word</Application>
  <DocSecurity>4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21488</dc:creator>
  <cp:lastModifiedBy>liu Louis</cp:lastModifiedBy>
  <cp:revision>2</cp:revision>
  <dcterms:created xsi:type="dcterms:W3CDTF">2026-07-16T01:58:00Z</dcterms:created>
  <dcterms:modified xsi:type="dcterms:W3CDTF">2026-07-16T01:58:00Z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