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00" w:before="100" w:line="276" w:lineRule="auto"/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00" w:before="100" w:line="276" w:lineRule="auto"/>
        <w:jc w:val="center"/>
        <w:rPr>
          <w:rFonts w:ascii="Lora" w:cs="Lora" w:eastAsia="Lora" w:hAnsi="Lora"/>
          <w:b w:val="1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22"/>
          <w:szCs w:val="2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4550" y="3103725"/>
                          <a:ext cx="7762875" cy="1352550"/>
                          <a:chOff x="1464550" y="3103725"/>
                          <a:chExt cx="7762900" cy="1352550"/>
                        </a:xfrm>
                      </wpg:grpSpPr>
                      <wpg:grpSp>
                        <wpg:cNvGrpSpPr/>
                        <wpg:grpSpPr>
                          <a:xfrm>
                            <a:off x="1464563" y="3103725"/>
                            <a:ext cx="7762875" cy="1352550"/>
                            <a:chOff x="0" y="-1"/>
                            <a:chExt cx="7315200" cy="121615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6">
                                <a:alphaModFix/>
                              </a:blip>
                              <a:stretch>
                                <a:fillRect b="0" l="0" r="-7573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2875" cy="1352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ndika" w:cs="Andika" w:eastAsia="Andika" w:hAnsi="Andika"/>
          <w:b w:val="1"/>
          <w:sz w:val="30"/>
          <w:szCs w:val="30"/>
          <w:rtl w:val="0"/>
        </w:rPr>
        <w:t xml:space="preserve">QUẢN LÝ DỰ ÁN PHẦN MỀM</w:t>
      </w:r>
    </w:p>
    <w:p w:rsidR="00000000" w:rsidDel="00000000" w:rsidP="00000000" w:rsidRDefault="00000000" w:rsidRPr="00000000" w14:paraId="00000003">
      <w:pPr>
        <w:spacing w:after="100" w:before="100" w:line="276" w:lineRule="auto"/>
        <w:jc w:val="center"/>
        <w:rPr>
          <w:rFonts w:ascii="Lora" w:cs="Lora" w:eastAsia="Lora" w:hAnsi="Lora"/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2603190</wp:posOffset>
            </wp:positionH>
            <wp:positionV relativeFrom="paragraph">
              <wp:posOffset>219075</wp:posOffset>
            </wp:positionV>
            <wp:extent cx="1417320" cy="750898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4291</wp:posOffset>
                </wp:positionH>
                <wp:positionV relativeFrom="paragraph">
                  <wp:posOffset>133350</wp:posOffset>
                </wp:positionV>
                <wp:extent cx="6817995" cy="218708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1941775" y="2980850"/>
                          <a:ext cx="6808500" cy="2174100"/>
                        </a:xfrm>
                        <a:prstGeom prst="rect">
                          <a:avLst/>
                        </a:prstGeom>
                        <a:solidFill>
                          <a:srgbClr val="C9DAF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00" w:before="40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ra" w:cs="Lora" w:eastAsia="Lora" w:hAnsi="Lor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18"/>
                                <w:vertAlign w:val="baseline"/>
                              </w:rPr>
                              <w:t xml:space="preserve">ARCHITECTURE</w:t>
                            </w:r>
                          </w:p>
                        </w:txbxContent>
                      </wps:txbx>
                      <wps:bodyPr anchorCtr="0" anchor="ctr" bIns="34300" lIns="68600" spcFirstLastPara="1" rIns="68600" wrap="square" tIns="343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4291</wp:posOffset>
                </wp:positionH>
                <wp:positionV relativeFrom="paragraph">
                  <wp:posOffset>133350</wp:posOffset>
                </wp:positionV>
                <wp:extent cx="6817995" cy="2187083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7995" cy="21870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sz w:val="22"/>
          <w:szCs w:val="22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5153025</wp:posOffset>
                </wp:positionH>
                <wp:positionV relativeFrom="page">
                  <wp:posOffset>7389494</wp:posOffset>
                </wp:positionV>
                <wp:extent cx="2616200" cy="2712424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37900" y="2423775"/>
                          <a:ext cx="2616200" cy="2712424"/>
                          <a:chOff x="4037900" y="2423775"/>
                          <a:chExt cx="2616200" cy="2712450"/>
                        </a:xfrm>
                      </wpg:grpSpPr>
                      <wpg:grpSp>
                        <wpg:cNvGrpSpPr/>
                        <wpg:grpSpPr>
                          <a:xfrm>
                            <a:off x="4037900" y="2423788"/>
                            <a:ext cx="2616200" cy="2712424"/>
                            <a:chOff x="0" y="0"/>
                            <a:chExt cx="4329113" cy="449103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329100" cy="449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501775" y="0"/>
                              <a:ext cx="2827338" cy="2835275"/>
                            </a:xfrm>
                            <a:custGeom>
                              <a:rect b="b" l="l" r="r" t="t"/>
                              <a:pathLst>
                                <a:path extrusionOk="0" h="1786" w="1781">
                                  <a:moveTo>
                                    <a:pt x="4" y="1786"/>
                                  </a:moveTo>
                                  <a:lnTo>
                                    <a:pt x="0" y="1782"/>
                                  </a:lnTo>
                                  <a:lnTo>
                                    <a:pt x="1776" y="0"/>
                                  </a:lnTo>
                                  <a:lnTo>
                                    <a:pt x="1781" y="5"/>
                                  </a:lnTo>
                                  <a:lnTo>
                                    <a:pt x="4" y="1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8C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782637" y="227013"/>
                              <a:ext cx="3546475" cy="3546475"/>
                            </a:xfrm>
                            <a:custGeom>
                              <a:rect b="b" l="l" r="r" t="t"/>
                              <a:pathLst>
                                <a:path extrusionOk="0" h="2234" w="2234">
                                  <a:moveTo>
                                    <a:pt x="5" y="2234"/>
                                  </a:moveTo>
                                  <a:lnTo>
                                    <a:pt x="0" y="2229"/>
                                  </a:lnTo>
                                  <a:lnTo>
                                    <a:pt x="2229" y="0"/>
                                  </a:lnTo>
                                  <a:lnTo>
                                    <a:pt x="2234" y="5"/>
                                  </a:lnTo>
                                  <a:lnTo>
                                    <a:pt x="5" y="2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8C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841375" y="109538"/>
                              <a:ext cx="3487738" cy="3487738"/>
                            </a:xfrm>
                            <a:custGeom>
                              <a:rect b="b" l="l" r="r" t="t"/>
                              <a:pathLst>
                                <a:path extrusionOk="0" h="2197" w="2197">
                                  <a:moveTo>
                                    <a:pt x="9" y="2197"/>
                                  </a:moveTo>
                                  <a:lnTo>
                                    <a:pt x="0" y="2193"/>
                                  </a:lnTo>
                                  <a:lnTo>
                                    <a:pt x="2188" y="0"/>
                                  </a:lnTo>
                                  <a:lnTo>
                                    <a:pt x="2197" y="10"/>
                                  </a:lnTo>
                                  <a:lnTo>
                                    <a:pt x="9" y="21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8C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1216025" y="498475"/>
                              <a:ext cx="3113088" cy="3121025"/>
                            </a:xfrm>
                            <a:custGeom>
                              <a:rect b="b" l="l" r="r" t="t"/>
                              <a:pathLst>
                                <a:path extrusionOk="0" h="1966" w="1961">
                                  <a:moveTo>
                                    <a:pt x="9" y="1966"/>
                                  </a:moveTo>
                                  <a:lnTo>
                                    <a:pt x="0" y="1957"/>
                                  </a:lnTo>
                                  <a:lnTo>
                                    <a:pt x="1952" y="0"/>
                                  </a:lnTo>
                                  <a:lnTo>
                                    <a:pt x="1961" y="9"/>
                                  </a:lnTo>
                                  <a:lnTo>
                                    <a:pt x="9" y="19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8C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153988"/>
                              <a:ext cx="4329113" cy="4337050"/>
                            </a:xfrm>
                            <a:custGeom>
                              <a:rect b="b" l="l" r="r" t="t"/>
                              <a:pathLst>
                                <a:path extrusionOk="0" h="2732" w="2727">
                                  <a:moveTo>
                                    <a:pt x="0" y="2732"/>
                                  </a:moveTo>
                                  <a:lnTo>
                                    <a:pt x="0" y="2728"/>
                                  </a:lnTo>
                                  <a:lnTo>
                                    <a:pt x="2722" y="0"/>
                                  </a:lnTo>
                                  <a:lnTo>
                                    <a:pt x="2727" y="5"/>
                                  </a:lnTo>
                                  <a:lnTo>
                                    <a:pt x="0" y="2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8C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5153025</wp:posOffset>
                </wp:positionH>
                <wp:positionV relativeFrom="page">
                  <wp:posOffset>7389494</wp:posOffset>
                </wp:positionV>
                <wp:extent cx="2616200" cy="2712424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6200" cy="27124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1"/>
        <w:tblW w:w="75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4515"/>
        <w:tblGridChange w:id="0">
          <w:tblGrid>
            <w:gridCol w:w="3060"/>
            <w:gridCol w:w="4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Lora" w:cs="Lora" w:eastAsia="Lora" w:hAnsi="Lor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2"/>
                <w:szCs w:val="22"/>
                <w:rtl w:val="0"/>
              </w:rPr>
              <w:t xml:space="preserve">Project name: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2">
            <w:pPr>
              <w:widowControl w:val="0"/>
              <w:jc w:val="both"/>
              <w:rPr>
                <w:rFonts w:ascii="Lora" w:cs="Lora" w:eastAsia="Lora" w:hAnsi="Lor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2"/>
                <w:szCs w:val="22"/>
                <w:rtl w:val="0"/>
              </w:rPr>
              <w:t xml:space="preserve">The Tool For Content Management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3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21127065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4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Andika" w:cs="Andika" w:eastAsia="Andika" w:hAnsi="Andika"/>
                <w:sz w:val="22"/>
                <w:szCs w:val="22"/>
                <w:rtl w:val="0"/>
              </w:rPr>
              <w:t xml:space="preserve">Trần Bình Kha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5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21127333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6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Andika" w:cs="Andika" w:eastAsia="Andika" w:hAnsi="Andika"/>
                <w:sz w:val="22"/>
                <w:szCs w:val="22"/>
                <w:rtl w:val="0"/>
              </w:rPr>
              <w:t xml:space="preserve">Nguyễn Việt Kim</w:t>
            </w:r>
          </w:p>
        </w:tc>
      </w:tr>
      <w:tr>
        <w:trPr>
          <w:cantSplit w:val="0"/>
          <w:trHeight w:val="463.8400000000000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7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21127334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8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Lê Vũ Ngân Lam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9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21127337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A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Andika" w:cs="Andika" w:eastAsia="Andika" w:hAnsi="Andika"/>
                <w:sz w:val="22"/>
                <w:szCs w:val="22"/>
                <w:rtl w:val="0"/>
              </w:rPr>
              <w:t xml:space="preserve">Trần Tùng Lâm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B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21127466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C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Hoàng Anh Tú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D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21127505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E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Andika" w:cs="Andika" w:eastAsia="Andika" w:hAnsi="Andika"/>
                <w:sz w:val="22"/>
                <w:szCs w:val="22"/>
                <w:rtl w:val="0"/>
              </w:rPr>
              <w:t xml:space="preserve">Ngô Xuân Hiếu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F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21127545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0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Đặng Quốc Thái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1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21127597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2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Đỗ Dự Đức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3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Lora" w:cs="Lora" w:eastAsia="Lora" w:hAnsi="Lora"/>
                <w:sz w:val="22"/>
                <w:szCs w:val="22"/>
                <w:rtl w:val="0"/>
              </w:rPr>
              <w:t xml:space="preserve">21127150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4">
            <w:pPr>
              <w:widowControl w:val="0"/>
              <w:jc w:val="both"/>
              <w:rPr>
                <w:rFonts w:ascii="Lora" w:cs="Lora" w:eastAsia="Lora" w:hAnsi="Lora"/>
                <w:sz w:val="22"/>
                <w:szCs w:val="22"/>
              </w:rPr>
            </w:pPr>
            <w:r w:rsidDel="00000000" w:rsidR="00000000" w:rsidRPr="00000000">
              <w:rPr>
                <w:rFonts w:ascii="Andika" w:cs="Andika" w:eastAsia="Andika" w:hAnsi="Andika"/>
                <w:sz w:val="22"/>
                <w:szCs w:val="22"/>
                <w:rtl w:val="0"/>
              </w:rPr>
              <w:t xml:space="preserve">Nguyễn Hoàng Nhật Quang</w:t>
            </w:r>
          </w:p>
        </w:tc>
      </w:tr>
    </w:tbl>
    <w:p w:rsidR="00000000" w:rsidDel="00000000" w:rsidP="00000000" w:rsidRDefault="00000000" w:rsidRPr="00000000" w14:paraId="00000025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Fonts w:ascii="Lora" w:cs="Lora" w:eastAsia="Lora" w:hAnsi="Lora"/>
          <w:sz w:val="22"/>
          <w:szCs w:val="22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29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00" w:before="100" w:line="276" w:lineRule="auto"/>
        <w:rPr>
          <w:rFonts w:ascii="Lora" w:cs="Lora" w:eastAsia="Lora" w:hAnsi="Lor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200" w:lineRule="auto"/>
        <w:ind w:left="-90" w:right="540" w:firstLine="0"/>
        <w:rPr>
          <w:rFonts w:ascii="Lora" w:cs="Lora" w:eastAsia="Lora" w:hAnsi="Lora"/>
          <w:b w:val="1"/>
          <w:sz w:val="40"/>
          <w:szCs w:val="40"/>
        </w:rPr>
      </w:pPr>
      <w:bookmarkStart w:colFirst="0" w:colLast="0" w:name="_30j0zll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23813</wp:posOffset>
            </wp:positionV>
            <wp:extent cx="889000" cy="700405"/>
            <wp:effectExtent b="0" l="0" r="0" t="0"/>
            <wp:wrapNone/>
            <wp:docPr descr="C:\Users\tdqua_000\Dropbox\SS-Slides\DeCuong-CDIO\Template CDIO v4.2\Templates\Hinh anh\LogoTruong.png" id="6" name="image3.png"/>
            <a:graphic>
              <a:graphicData uri="http://schemas.openxmlformats.org/drawingml/2006/picture">
                <pic:pic>
                  <pic:nvPicPr>
                    <pic:cNvPr descr="C:\Users\tdqua_000\Dropbox\SS-Slides\DeCuong-CDIO\Template CDIO v4.2\Templates\Hinh anh\LogoTruong.png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700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1047750</wp:posOffset>
                </wp:positionH>
                <wp:positionV relativeFrom="paragraph">
                  <wp:posOffset>80963</wp:posOffset>
                </wp:positionV>
                <wp:extent cx="2338388" cy="598014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268625" y="3078000"/>
                          <a:ext cx="2523900" cy="61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00" w:before="10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ra" w:cs="Lora" w:eastAsia="Lora" w:hAnsi="Lor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Khoa Công nghệ thông 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10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ra" w:cs="Lora" w:eastAsia="Lora" w:hAnsi="Lor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ora" w:cs="Lora" w:eastAsia="Lora" w:hAnsi="Lor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Đại học Khoa học tự nhiên TP HCM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1047750</wp:posOffset>
                </wp:positionH>
                <wp:positionV relativeFrom="paragraph">
                  <wp:posOffset>80963</wp:posOffset>
                </wp:positionV>
                <wp:extent cx="2338388" cy="598014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8388" cy="5980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0" w:firstLine="0"/>
        <w:rPr>
          <w:rFonts w:ascii="Lora" w:cs="Lora" w:eastAsia="Lora" w:hAnsi="Lor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Lora" w:cs="Lora" w:eastAsia="Lora" w:hAnsi="Lora"/>
          <w:b w:val="1"/>
          <w:sz w:val="32"/>
          <w:szCs w:val="32"/>
        </w:rPr>
      </w:pPr>
      <w:r w:rsidDel="00000000" w:rsidR="00000000" w:rsidRPr="00000000">
        <w:rPr>
          <w:rFonts w:ascii="Lora" w:cs="Lora" w:eastAsia="Lora" w:hAnsi="Lora"/>
          <w:b w:val="1"/>
          <w:sz w:val="32"/>
          <w:szCs w:val="32"/>
          <w:rtl w:val="0"/>
        </w:rPr>
        <w:t xml:space="preserve">TABLE OF CONTENTS</w:t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Lora" w:cs="Lora" w:eastAsia="Lora" w:hAnsi="Lor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ax6hyu6nanj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 Architecture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g2xlj3uy7i5x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II. Detailed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phduyinr3ka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Front-End: Next.js Application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ncsy3yj0t9ha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Web Browser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txaxtfuk6qbk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Next.js App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7nwwahxfkap3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1.3. Clerk Auth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bgz5df7azjf1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API Gateway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xogsr3kzkg2t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Back-End Services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5g6qqtm2sf1m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Content Writer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vd5yxrrr4exy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Images and Videos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mi9f4dmjxal5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 Social Networks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i0gkb5peqeqf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External Integrations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58stwgrmxbv5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 OpenAI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iia8f6r6xg96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 NeonDB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1ybdoqimfyvp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4.3. DrizzleORM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3tg9q84l4o8k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4.4. Uploadthing Cloud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lx07dz9sv3lu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4.5. Clerk Authentication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60ptnxqrns9e"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Workflow Summary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2kpctqik8mw7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III. Deployment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wdck1ys3x4e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Front-end deployment with Vercel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jyx9hm6ejw7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Database deployment with NeonDB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g8s47dy6y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Media storage deployment with Uploadthing cloud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qgbnb9fhhs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Environment with external API services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ind w:left="0" w:firstLine="0"/>
        <w:rPr>
          <w:rFonts w:ascii="Lora" w:cs="Lora" w:eastAsia="Lora" w:hAnsi="Lora"/>
          <w:b w:val="1"/>
          <w:sz w:val="44"/>
          <w:szCs w:val="44"/>
        </w:rPr>
      </w:pPr>
      <w:r w:rsidDel="00000000" w:rsidR="00000000" w:rsidRPr="00000000">
        <w:rPr>
          <w:rFonts w:ascii="Lora" w:cs="Lora" w:eastAsia="Lora" w:hAnsi="Lora"/>
          <w:b w:val="1"/>
          <w:sz w:val="44"/>
          <w:szCs w:val="4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4"/>
        </w:numPr>
        <w:ind w:left="720" w:hanging="360"/>
        <w:rPr>
          <w:color w:val="000000"/>
        </w:rPr>
      </w:pPr>
      <w:bookmarkStart w:colFirst="0" w:colLast="0" w:name="_dax6hyu6nanj" w:id="1"/>
      <w:bookmarkEnd w:id="1"/>
      <w:r w:rsidDel="00000000" w:rsidR="00000000" w:rsidRPr="00000000">
        <w:rPr>
          <w:color w:val="000000"/>
          <w:u w:val="none"/>
          <w:rtl w:val="0"/>
        </w:rPr>
        <w:t xml:space="preserve">Architecture</w:t>
      </w:r>
    </w:p>
    <w:p w:rsidR="00000000" w:rsidDel="00000000" w:rsidP="00000000" w:rsidRDefault="00000000" w:rsidRPr="00000000" w14:paraId="00000048">
      <w:pPr>
        <w:spacing w:after="200" w:before="200" w:lineRule="auto"/>
        <w:rPr>
          <w:rFonts w:ascii="Lora" w:cs="Lora" w:eastAsia="Lora" w:hAnsi="Lora"/>
          <w:b w:val="1"/>
          <w:sz w:val="32"/>
          <w:szCs w:val="32"/>
        </w:rPr>
      </w:pPr>
      <w:r w:rsidDel="00000000" w:rsidR="00000000" w:rsidRPr="00000000">
        <w:rPr>
          <w:rFonts w:ascii="Lora" w:cs="Lora" w:eastAsia="Lora" w:hAnsi="Lora"/>
          <w:b w:val="1"/>
          <w:sz w:val="32"/>
          <w:szCs w:val="32"/>
        </w:rPr>
        <w:drawing>
          <wp:inline distB="114300" distT="114300" distL="114300" distR="114300">
            <wp:extent cx="6828480" cy="2692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848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before="200" w:lineRule="auto"/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Figure 1: TFCM Architecture diagram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4"/>
        </w:numPr>
        <w:spacing w:after="200" w:before="200" w:lineRule="auto"/>
        <w:ind w:left="720" w:hanging="360"/>
        <w:rPr>
          <w:color w:val="000000"/>
        </w:rPr>
      </w:pPr>
      <w:bookmarkStart w:colFirst="0" w:colLast="0" w:name="_g2xlj3uy7i5x" w:id="2"/>
      <w:bookmarkEnd w:id="2"/>
      <w:r w:rsidDel="00000000" w:rsidR="00000000" w:rsidRPr="00000000">
        <w:rPr>
          <w:color w:val="000000"/>
          <w:u w:val="none"/>
          <w:rtl w:val="0"/>
        </w:rPr>
        <w:t xml:space="preserve">Detailed</w:t>
      </w:r>
    </w:p>
    <w:p w:rsidR="00000000" w:rsidDel="00000000" w:rsidP="00000000" w:rsidRDefault="00000000" w:rsidRPr="00000000" w14:paraId="0000004B">
      <w:pPr>
        <w:pStyle w:val="Heading3"/>
        <w:spacing w:after="80" w:before="280" w:lineRule="auto"/>
        <w:ind w:left="0" w:firstLine="0"/>
        <w:jc w:val="left"/>
        <w:rPr>
          <w:rFonts w:ascii="Lora" w:cs="Lora" w:eastAsia="Lora" w:hAnsi="Lora"/>
          <w:smallCaps w:val="0"/>
          <w:sz w:val="26"/>
          <w:szCs w:val="26"/>
        </w:rPr>
      </w:pPr>
      <w:bookmarkStart w:colFirst="0" w:colLast="0" w:name="_phduyinr3ka" w:id="3"/>
      <w:bookmarkEnd w:id="3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Front-End: Next.js Application</w:t>
      </w:r>
    </w:p>
    <w:p w:rsidR="00000000" w:rsidDel="00000000" w:rsidP="00000000" w:rsidRDefault="00000000" w:rsidRPr="00000000" w14:paraId="0000004C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ncsy3yj0t9ha" w:id="4"/>
      <w:bookmarkEnd w:id="4"/>
      <w:r w:rsidDel="00000000" w:rsidR="00000000" w:rsidRPr="00000000">
        <w:rPr>
          <w:rFonts w:ascii="Lora" w:cs="Lora" w:eastAsia="Lora" w:hAnsi="Lora"/>
          <w:rtl w:val="0"/>
        </w:rPr>
        <w:t xml:space="preserve">1.1. Web Browser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24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Users interact with the application through a web browser. They can sign up, sign in, and make authenticated requests to the Next.js app.</w:t>
      </w:r>
    </w:p>
    <w:p w:rsidR="00000000" w:rsidDel="00000000" w:rsidP="00000000" w:rsidRDefault="00000000" w:rsidRPr="00000000" w14:paraId="0000004E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txaxtfuk6qbk" w:id="5"/>
      <w:bookmarkEnd w:id="5"/>
      <w:r w:rsidDel="00000000" w:rsidR="00000000" w:rsidRPr="00000000">
        <w:rPr>
          <w:rFonts w:ascii="Lora" w:cs="Lora" w:eastAsia="Lora" w:hAnsi="Lora"/>
          <w:rtl w:val="0"/>
        </w:rPr>
        <w:t xml:space="preserve">1.2. Next.js App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front-end application is built with Next.js, a React framework, and is deployed using Vercel.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app handles user authentication via Clerk Auth.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It processes sign-up and sign-in requests and, once authenticated, redirects the user to the appropriate pages within the application.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Authenticated requests from the web browser are sent to the Next.js app, which then communicates with the API gateway for further processing.</w:t>
      </w:r>
    </w:p>
    <w:p w:rsidR="00000000" w:rsidDel="00000000" w:rsidP="00000000" w:rsidRDefault="00000000" w:rsidRPr="00000000" w14:paraId="00000053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7nwwahxfkap3" w:id="6"/>
      <w:bookmarkEnd w:id="6"/>
      <w:r w:rsidDel="00000000" w:rsidR="00000000" w:rsidRPr="00000000">
        <w:rPr>
          <w:rFonts w:ascii="Lora" w:cs="Lora" w:eastAsia="Lora" w:hAnsi="Lora"/>
          <w:rtl w:val="0"/>
        </w:rPr>
        <w:t xml:space="preserve">1.3. Clerk Auth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24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Clerk Auth is used for handling authentication. It manages the sign-up and sign-in process, and redirects authenticated users back to the Next.js application.</w:t>
      </w:r>
    </w:p>
    <w:p w:rsidR="00000000" w:rsidDel="00000000" w:rsidP="00000000" w:rsidRDefault="00000000" w:rsidRPr="00000000" w14:paraId="00000055">
      <w:pPr>
        <w:pStyle w:val="Heading3"/>
        <w:spacing w:after="80" w:before="280" w:lineRule="auto"/>
        <w:jc w:val="left"/>
        <w:rPr>
          <w:rFonts w:ascii="Lora" w:cs="Lora" w:eastAsia="Lora" w:hAnsi="Lora"/>
          <w:smallCaps w:val="0"/>
          <w:sz w:val="26"/>
          <w:szCs w:val="26"/>
        </w:rPr>
      </w:pPr>
      <w:bookmarkStart w:colFirst="0" w:colLast="0" w:name="_bgz5df7azjf1" w:id="7"/>
      <w:bookmarkEnd w:id="7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2. API Gateway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24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API gateway acts as an intermediary that processes requests from the Next.js app and routes them to the appropriate back-end services. It also handles the responses from these services and sends them back to the Next.js app.</w:t>
      </w:r>
    </w:p>
    <w:p w:rsidR="00000000" w:rsidDel="00000000" w:rsidP="00000000" w:rsidRDefault="00000000" w:rsidRPr="00000000" w14:paraId="00000057">
      <w:pPr>
        <w:pStyle w:val="Heading3"/>
        <w:spacing w:after="80" w:before="280" w:lineRule="auto"/>
        <w:jc w:val="left"/>
        <w:rPr>
          <w:rFonts w:ascii="Lora" w:cs="Lora" w:eastAsia="Lora" w:hAnsi="Lora"/>
          <w:smallCaps w:val="0"/>
          <w:sz w:val="26"/>
          <w:szCs w:val="26"/>
        </w:rPr>
      </w:pPr>
      <w:bookmarkStart w:colFirst="0" w:colLast="0" w:name="_xogsr3kzkg2t" w:id="8"/>
      <w:bookmarkEnd w:id="8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3. Back-End Services</w:t>
      </w:r>
    </w:p>
    <w:p w:rsidR="00000000" w:rsidDel="00000000" w:rsidP="00000000" w:rsidRDefault="00000000" w:rsidRPr="00000000" w14:paraId="00000058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5g6qqtm2sf1m" w:id="9"/>
      <w:bookmarkEnd w:id="9"/>
      <w:r w:rsidDel="00000000" w:rsidR="00000000" w:rsidRPr="00000000">
        <w:rPr>
          <w:rFonts w:ascii="Lora" w:cs="Lora" w:eastAsia="Lora" w:hAnsi="Lora"/>
          <w:rtl w:val="0"/>
        </w:rPr>
        <w:t xml:space="preserve">3.1. Content Writer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24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This service likely generates or manages content for the application. It may interact with external APIs, such as OpenAI, to create or manipulate content.</w:t>
      </w:r>
    </w:p>
    <w:p w:rsidR="00000000" w:rsidDel="00000000" w:rsidP="00000000" w:rsidRDefault="00000000" w:rsidRPr="00000000" w14:paraId="0000005A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vd5yxrrr4exy" w:id="10"/>
      <w:bookmarkEnd w:id="10"/>
      <w:r w:rsidDel="00000000" w:rsidR="00000000" w:rsidRPr="00000000">
        <w:rPr>
          <w:rFonts w:ascii="Lora" w:cs="Lora" w:eastAsia="Lora" w:hAnsi="Lora"/>
          <w:rtl w:val="0"/>
        </w:rPr>
        <w:t xml:space="preserve">3.2. Images and Videos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24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These services handle image and video processing, respectively. They store processed media in the "uploadthing cloud".</w:t>
      </w:r>
    </w:p>
    <w:p w:rsidR="00000000" w:rsidDel="00000000" w:rsidP="00000000" w:rsidRDefault="00000000" w:rsidRPr="00000000" w14:paraId="0000005C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mi9f4dmjxal5" w:id="11"/>
      <w:bookmarkEnd w:id="11"/>
      <w:r w:rsidDel="00000000" w:rsidR="00000000" w:rsidRPr="00000000">
        <w:rPr>
          <w:rFonts w:ascii="Lora" w:cs="Lora" w:eastAsia="Lora" w:hAnsi="Lora"/>
          <w:rtl w:val="0"/>
        </w:rPr>
        <w:t xml:space="preserve">3.3. Social Networks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24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This component integrates with social media platforms like TikTok, YouTube, and Facebook. It uses APIs to interact with these platforms, possibly for sharing content or retrieving social media data.</w:t>
      </w:r>
    </w:p>
    <w:p w:rsidR="00000000" w:rsidDel="00000000" w:rsidP="00000000" w:rsidRDefault="00000000" w:rsidRPr="00000000" w14:paraId="0000005E">
      <w:pPr>
        <w:pStyle w:val="Heading3"/>
        <w:spacing w:after="80" w:before="280" w:lineRule="auto"/>
        <w:jc w:val="left"/>
        <w:rPr>
          <w:rFonts w:ascii="Lora" w:cs="Lora" w:eastAsia="Lora" w:hAnsi="Lora"/>
          <w:smallCaps w:val="0"/>
          <w:sz w:val="26"/>
          <w:szCs w:val="26"/>
        </w:rPr>
      </w:pPr>
      <w:bookmarkStart w:colFirst="0" w:colLast="0" w:name="_i0gkb5peqeqf" w:id="12"/>
      <w:bookmarkEnd w:id="12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4. External Integrations</w:t>
      </w:r>
    </w:p>
    <w:p w:rsidR="00000000" w:rsidDel="00000000" w:rsidP="00000000" w:rsidRDefault="00000000" w:rsidRPr="00000000" w14:paraId="0000005F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58stwgrmxbv5" w:id="13"/>
      <w:bookmarkEnd w:id="13"/>
      <w:r w:rsidDel="00000000" w:rsidR="00000000" w:rsidRPr="00000000">
        <w:rPr>
          <w:rFonts w:ascii="Lora" w:cs="Lora" w:eastAsia="Lora" w:hAnsi="Lora"/>
          <w:rtl w:val="0"/>
        </w:rPr>
        <w:t xml:space="preserve">4.1. OpenAI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application integrates with OpenAI to process input and generate outputs, possibly for content creation or other AI-driven features.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OpenAI: </w:t>
      </w:r>
      <w:hyperlink r:id="rId14">
        <w:r w:rsidDel="00000000" w:rsidR="00000000" w:rsidRPr="00000000">
          <w:rPr>
            <w:rFonts w:ascii="Lora" w:cs="Lora" w:eastAsia="Lora" w:hAnsi="Lora"/>
            <w:u w:val="single"/>
            <w:rtl w:val="0"/>
          </w:rPr>
          <w:t xml:space="preserve">https://openai.com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62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iia8f6r6xg96" w:id="14"/>
      <w:bookmarkEnd w:id="14"/>
      <w:r w:rsidDel="00000000" w:rsidR="00000000" w:rsidRPr="00000000">
        <w:rPr>
          <w:rFonts w:ascii="Lora" w:cs="Lora" w:eastAsia="Lora" w:hAnsi="Lora"/>
          <w:rtl w:val="0"/>
        </w:rPr>
        <w:t xml:space="preserve">4.2. NeonDB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NeonDB is the database used to store application data. It communicates with the back-end services through DrizzleORM, a type of Object-Relational Mapping (ORM) framework.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NeonDB: </w:t>
      </w:r>
      <w:hyperlink r:id="rId15">
        <w:r w:rsidDel="00000000" w:rsidR="00000000" w:rsidRPr="00000000">
          <w:rPr>
            <w:rFonts w:ascii="Lora" w:cs="Lora" w:eastAsia="Lora" w:hAnsi="Lora"/>
            <w:u w:val="single"/>
            <w:rtl w:val="0"/>
          </w:rPr>
          <w:t xml:space="preserve">https://neon.tech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65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1ybdoqimfyvp" w:id="15"/>
      <w:bookmarkEnd w:id="15"/>
      <w:r w:rsidDel="00000000" w:rsidR="00000000" w:rsidRPr="00000000">
        <w:rPr>
          <w:rFonts w:ascii="Lora" w:cs="Lora" w:eastAsia="Lora" w:hAnsi="Lora"/>
          <w:rtl w:val="0"/>
        </w:rPr>
        <w:t xml:space="preserve">4.3. DrizzleORM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DrizzleORM facilitates the interaction between the back-end services and NeonDB, managing database queries and responses.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DrizzleORM: </w:t>
      </w:r>
      <w:hyperlink r:id="rId16">
        <w:r w:rsidDel="00000000" w:rsidR="00000000" w:rsidRPr="00000000">
          <w:rPr>
            <w:rFonts w:ascii="Lora" w:cs="Lora" w:eastAsia="Lora" w:hAnsi="Lora"/>
            <w:u w:val="single"/>
            <w:rtl w:val="0"/>
          </w:rPr>
          <w:t xml:space="preserve">https://orm.drizzle.team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3tg9q84l4o8k" w:id="16"/>
      <w:bookmarkEnd w:id="16"/>
      <w:r w:rsidDel="00000000" w:rsidR="00000000" w:rsidRPr="00000000">
        <w:rPr>
          <w:rFonts w:ascii="Lora" w:cs="Lora" w:eastAsia="Lora" w:hAnsi="Lora"/>
          <w:rtl w:val="0"/>
        </w:rPr>
        <w:t xml:space="preserve">4.4. Uploadthing Cloud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This service is used to store media files like images and videos processed by the back-end services.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Uploadthing: </w:t>
      </w:r>
      <w:hyperlink r:id="rId17">
        <w:r w:rsidDel="00000000" w:rsidR="00000000" w:rsidRPr="00000000">
          <w:rPr>
            <w:rFonts w:ascii="Lora" w:cs="Lora" w:eastAsia="Lora" w:hAnsi="Lora"/>
            <w:u w:val="single"/>
            <w:rtl w:val="0"/>
          </w:rPr>
          <w:t xml:space="preserve">https://uploadthing.com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6B">
      <w:pPr>
        <w:pStyle w:val="Heading4"/>
        <w:spacing w:after="240" w:before="240" w:lineRule="auto"/>
        <w:rPr>
          <w:rFonts w:ascii="Lora" w:cs="Lora" w:eastAsia="Lora" w:hAnsi="Lora"/>
        </w:rPr>
      </w:pPr>
      <w:bookmarkStart w:colFirst="0" w:colLast="0" w:name="_lx07dz9sv3lu" w:id="17"/>
      <w:bookmarkEnd w:id="17"/>
      <w:r w:rsidDel="00000000" w:rsidR="00000000" w:rsidRPr="00000000">
        <w:rPr>
          <w:rFonts w:ascii="Lora" w:cs="Lora" w:eastAsia="Lora" w:hAnsi="Lora"/>
          <w:rtl w:val="0"/>
        </w:rPr>
        <w:t xml:space="preserve">4.5. Clerk Authentication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Clerk is a complete suite of embeddable UIs, flexible APIs, and admin dashboards to authenticate and manage your users.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Clerk: </w:t>
      </w:r>
      <w:hyperlink r:id="rId18">
        <w:r w:rsidDel="00000000" w:rsidR="00000000" w:rsidRPr="00000000">
          <w:rPr>
            <w:rFonts w:ascii="Lora" w:cs="Lora" w:eastAsia="Lora" w:hAnsi="Lora"/>
            <w:u w:val="single"/>
            <w:rtl w:val="0"/>
          </w:rPr>
          <w:t xml:space="preserve">https://clerk.com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6E">
      <w:pPr>
        <w:pStyle w:val="Heading3"/>
        <w:spacing w:after="80" w:before="280" w:lineRule="auto"/>
        <w:jc w:val="left"/>
        <w:rPr>
          <w:rFonts w:ascii="Lora" w:cs="Lora" w:eastAsia="Lora" w:hAnsi="Lora"/>
          <w:smallCaps w:val="0"/>
          <w:sz w:val="26"/>
          <w:szCs w:val="26"/>
        </w:rPr>
      </w:pPr>
      <w:bookmarkStart w:colFirst="0" w:colLast="0" w:name="_60ptnxqrns9e" w:id="18"/>
      <w:bookmarkEnd w:id="18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5. Workflow Summary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user accesses the application via a web browser.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They sign up or sign in through the Next.js app, which uses Clerk Auth for authentication.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Upon successful authentication, the user is redirected to the application’s authenticated section.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Next.js app sends requests to the API gateway, which routes them to the appropriate back-end services.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back-end services perform necessary operations, which may include interacting with OpenAI, processing media files, or communicating with social networks.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Data is stored in NeonDB, managed by DrizzleORM.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Processed media is stored in the Uploadthing cloud.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responses are sent back through the API gateway to the Next.js app, which then updates the web browser for the user.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This architecture efficiently separates the front-end from the back-end services, uses modern frameworks and tools for scalability, and integrates robust external services for enhanced functionality.</w:t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4"/>
        </w:numPr>
        <w:spacing w:after="240" w:before="240" w:lineRule="auto"/>
        <w:ind w:left="720" w:hanging="360"/>
        <w:rPr/>
      </w:pPr>
      <w:bookmarkStart w:colFirst="0" w:colLast="0" w:name="_2kpctqik8mw7" w:id="19"/>
      <w:bookmarkEnd w:id="19"/>
      <w:r w:rsidDel="00000000" w:rsidR="00000000" w:rsidRPr="00000000">
        <w:rPr>
          <w:u w:val="none"/>
          <w:rtl w:val="0"/>
        </w:rPr>
        <w:t xml:space="preserve">Deployment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deployment aspect of this architecture involves the use of several platforms and services to ensure the application is efficiently deployed, managed, and scalable. Here’s a detailed look at the deployment setup:</w:t>
      </w:r>
    </w:p>
    <w:p w:rsidR="00000000" w:rsidDel="00000000" w:rsidP="00000000" w:rsidRDefault="00000000" w:rsidRPr="00000000" w14:paraId="0000007A">
      <w:pPr>
        <w:pStyle w:val="Heading3"/>
        <w:spacing w:after="80" w:before="280" w:lineRule="auto"/>
        <w:jc w:val="left"/>
        <w:rPr>
          <w:rFonts w:ascii="Lora" w:cs="Lora" w:eastAsia="Lora" w:hAnsi="Lora"/>
          <w:smallCaps w:val="0"/>
          <w:sz w:val="26"/>
          <w:szCs w:val="26"/>
        </w:rPr>
      </w:pPr>
      <w:bookmarkStart w:colFirst="0" w:colLast="0" w:name="_wdck1ys3x4ec" w:id="20"/>
      <w:bookmarkEnd w:id="20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1. Front-end deployment with Vercel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Next.js application, which forms the front-end of this architecture, is deployed on Vercel.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Vercel provides a seamless integration with Next.js, allowing for automatic deployments from repositories like GitHub, GitLab, or Bitbucket.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Each time code is pushed to the repository, Vercel automatically builds and deploys the latest version of the application.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Vercel handles tasks such as server-side rendering (SSR), static site generation (SSG), and serverless functions, providing a scalable and performant environment for the Next.js app.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deployment process includes setting environment variables, building the application, and ensuring zero-downtime deployments by leveraging Vercel's infrastructure.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spacing w:after="80" w:before="280" w:lineRule="auto"/>
        <w:jc w:val="left"/>
        <w:rPr>
          <w:rFonts w:ascii="Lora" w:cs="Lora" w:eastAsia="Lora" w:hAnsi="Lora"/>
        </w:rPr>
      </w:pPr>
      <w:bookmarkStart w:colFirst="0" w:colLast="0" w:name="_jyx9hm6ejw7u" w:id="21"/>
      <w:bookmarkEnd w:id="21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2. Database deployment with NeonDB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NeonDB, the database service, is deployed in a cloud environment optimized for high performance and availability.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database deployment includes setting up automated backups, scaling configurations, and security measures such as encryption and access controls.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DrizzleORM facilitates database interactions, ensuring that the back-end services can efficiently perform CRUD operations.</w:t>
      </w:r>
    </w:p>
    <w:p w:rsidR="00000000" w:rsidDel="00000000" w:rsidP="00000000" w:rsidRDefault="00000000" w:rsidRPr="00000000" w14:paraId="00000084">
      <w:pPr>
        <w:pStyle w:val="Heading3"/>
        <w:spacing w:after="80" w:before="280" w:lineRule="auto"/>
        <w:jc w:val="left"/>
        <w:rPr>
          <w:rFonts w:ascii="Lora" w:cs="Lora" w:eastAsia="Lora" w:hAnsi="Lora"/>
        </w:rPr>
      </w:pPr>
      <w:bookmarkStart w:colFirst="0" w:colLast="0" w:name="_heg8s47dy6yu" w:id="22"/>
      <w:bookmarkEnd w:id="22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3. Media storage deployment with Uploadthing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Uploadthing cloud service is used to store images and videos processed by the back-end services.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This service can be deployed on object storage solutions like Amazon S3, Google Cloud Storage, or Azure Blob Storage.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Deployment involves configuring the storage buckets, setting up access policies, and integrating with the back-end services for seamless media uploads and retrievals.</w:t>
      </w:r>
    </w:p>
    <w:p w:rsidR="00000000" w:rsidDel="00000000" w:rsidP="00000000" w:rsidRDefault="00000000" w:rsidRPr="00000000" w14:paraId="00000088">
      <w:pPr>
        <w:pStyle w:val="Heading3"/>
        <w:spacing w:after="80" w:before="280" w:lineRule="auto"/>
        <w:jc w:val="left"/>
        <w:rPr>
          <w:rFonts w:ascii="Lora" w:cs="Lora" w:eastAsia="Lora" w:hAnsi="Lora"/>
        </w:rPr>
      </w:pPr>
      <w:bookmarkStart w:colFirst="0" w:colLast="0" w:name="_hqgbnb9fhhsx" w:id="23"/>
      <w:bookmarkEnd w:id="23"/>
      <w:r w:rsidDel="00000000" w:rsidR="00000000" w:rsidRPr="00000000">
        <w:rPr>
          <w:rFonts w:ascii="Lora" w:cs="Lora" w:eastAsia="Lora" w:hAnsi="Lora"/>
          <w:smallCaps w:val="0"/>
          <w:sz w:val="26"/>
          <w:szCs w:val="26"/>
          <w:rtl w:val="0"/>
        </w:rPr>
        <w:t xml:space="preserve">4. Environment with external API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integration with external services like OpenAI and social media platforms (TikTok, YouTube, Facebook) involves deploying API clients and handling authentication.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These integrations are configured during the deployment process to ensure secure and efficient communication with the external services.</w:t>
      </w:r>
    </w:p>
    <w:sectPr>
      <w:footerReference r:id="rId19" w:type="default"/>
      <w:footerReference r:id="rId20" w:type="first"/>
      <w:footerReference r:id="rId21" w:type="even"/>
      <w:pgSz w:h="16838" w:w="11906" w:orient="portrait"/>
      <w:pgMar w:bottom="576" w:top="576" w:left="576" w:right="576" w:header="720" w:footer="51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00" w:before="200" w:lineRule="auto"/>
      <w:ind w:left="720" w:hanging="360"/>
    </w:pPr>
    <w:rPr>
      <w:rFonts w:ascii="Lora" w:cs="Lora" w:eastAsia="Lora" w:hAnsi="Lora"/>
      <w:b w:val="1"/>
      <w:smallCaps w:val="1"/>
      <w:color w:val="434343"/>
      <w:sz w:val="32"/>
      <w:szCs w:val="32"/>
      <w:u w:val="single"/>
    </w:rPr>
  </w:style>
  <w:style w:type="paragraph" w:styleId="Heading2">
    <w:name w:val="heading 2"/>
    <w:basedOn w:val="Normal"/>
    <w:next w:val="Normal"/>
    <w:pPr>
      <w:jc w:val="right"/>
    </w:pPr>
    <w:rPr/>
  </w:style>
  <w:style w:type="paragraph" w:styleId="Heading3">
    <w:name w:val="heading 3"/>
    <w:basedOn w:val="Normal"/>
    <w:next w:val="Normal"/>
    <w:pPr>
      <w:jc w:val="center"/>
    </w:pPr>
    <w:rPr>
      <w:rFonts w:ascii="Arial" w:cs="Arial" w:eastAsia="Arial" w:hAnsi="Arial"/>
      <w:b w:val="1"/>
      <w:smallCaps w:val="1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jc w:val="center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neon.tech" TargetMode="External"/><Relationship Id="rId14" Type="http://schemas.openxmlformats.org/officeDocument/2006/relationships/hyperlink" Target="https://openai.com" TargetMode="External"/><Relationship Id="rId17" Type="http://schemas.openxmlformats.org/officeDocument/2006/relationships/hyperlink" Target="https://uploadthing.com" TargetMode="External"/><Relationship Id="rId16" Type="http://schemas.openxmlformats.org/officeDocument/2006/relationships/hyperlink" Target="https://orm.drizzle.team" TargetMode="Externa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image" Target="media/image8.png"/><Relationship Id="rId18" Type="http://schemas.openxmlformats.org/officeDocument/2006/relationships/hyperlink" Target="https://clerk.com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