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F11825" w14:textId="2018D982" w:rsidR="00E8750B" w:rsidRPr="00F414EA" w:rsidRDefault="00E8750B" w:rsidP="003D43C6">
      <w:pPr>
        <w:spacing w:line="360" w:lineRule="auto"/>
        <w:jc w:val="center"/>
        <w:rPr>
          <w:rFonts w:ascii="Century" w:hAnsi="Century" w:cs="Big Caslon Medium"/>
          <w:sz w:val="21"/>
          <w:szCs w:val="21"/>
          <w:lang w:val="en-US"/>
        </w:rPr>
      </w:pPr>
      <w:r w:rsidRPr="00F414EA">
        <w:rPr>
          <w:rFonts w:ascii="Century" w:hAnsi="Century" w:cs="Big Caslon Medium"/>
          <w:sz w:val="21"/>
          <w:szCs w:val="21"/>
          <w:lang w:val="en-US"/>
        </w:rPr>
        <w:t>GENERATIVE AI AND FIRM VALUES – A TESTED SUMMARY</w:t>
      </w:r>
    </w:p>
    <w:p w14:paraId="317D69E1" w14:textId="204A3128" w:rsidR="00E8750B" w:rsidRPr="00F414EA" w:rsidRDefault="00267342" w:rsidP="00930F01">
      <w:pPr>
        <w:spacing w:before="240" w:after="240" w:line="360" w:lineRule="auto"/>
        <w:jc w:val="center"/>
        <w:rPr>
          <w:rFonts w:ascii="Century" w:hAnsi="Century" w:cs="Big Caslon Medium"/>
          <w:sz w:val="21"/>
          <w:szCs w:val="21"/>
          <w:lang w:val="en-US"/>
        </w:rPr>
      </w:pPr>
      <w:r>
        <w:rPr>
          <w:rFonts w:ascii="Century" w:hAnsi="Century" w:cs="Big Caslon Medium"/>
          <w:sz w:val="21"/>
          <w:szCs w:val="21"/>
          <w:lang w:val="en-US"/>
        </w:rPr>
        <w:t>Group 10</w:t>
      </w:r>
    </w:p>
    <w:p w14:paraId="72C6BDCC" w14:textId="0BA9BE2A" w:rsidR="005E74AC" w:rsidRPr="00F414EA" w:rsidRDefault="005E74AC" w:rsidP="003D43C6">
      <w:pPr>
        <w:spacing w:line="360" w:lineRule="auto"/>
        <w:jc w:val="center"/>
        <w:rPr>
          <w:rFonts w:ascii="Century" w:hAnsi="Century" w:cs="Big Caslon Medium"/>
          <w:sz w:val="21"/>
          <w:szCs w:val="21"/>
          <w:lang w:val="en-US"/>
        </w:rPr>
      </w:pPr>
      <w:r w:rsidRPr="00F414EA">
        <w:rPr>
          <w:rFonts w:ascii="Century" w:hAnsi="Century" w:cs="Big Caslon Medium"/>
          <w:sz w:val="21"/>
          <w:szCs w:val="21"/>
          <w:lang w:val="en-US"/>
        </w:rPr>
        <w:t xml:space="preserve">Clément Legrand, Cloé Dellac, Louis Blondeau, Marguerite Aymon, Tiago </w:t>
      </w:r>
      <w:r w:rsidR="00F57A0A" w:rsidRPr="00F414EA">
        <w:rPr>
          <w:rFonts w:ascii="Century" w:hAnsi="Century" w:cs="Big Caslon Medium"/>
          <w:sz w:val="21"/>
          <w:szCs w:val="21"/>
          <w:lang w:val="en-US"/>
        </w:rPr>
        <w:t xml:space="preserve">Baptista </w:t>
      </w:r>
      <w:r w:rsidRPr="00F414EA">
        <w:rPr>
          <w:rFonts w:ascii="Century" w:hAnsi="Century" w:cs="Big Caslon Medium"/>
          <w:sz w:val="21"/>
          <w:szCs w:val="21"/>
          <w:lang w:val="en-US"/>
        </w:rPr>
        <w:t>Lopes</w:t>
      </w:r>
    </w:p>
    <w:p w14:paraId="5A959DF3" w14:textId="254B745B" w:rsidR="00492ED3" w:rsidRPr="00F414EA" w:rsidRDefault="006A728C" w:rsidP="00264E62">
      <w:pPr>
        <w:spacing w:before="240" w:line="264" w:lineRule="auto"/>
        <w:ind w:firstLine="708"/>
        <w:rPr>
          <w:rFonts w:ascii="Century" w:hAnsi="Century" w:cs="Big Caslon Medium"/>
          <w:sz w:val="20"/>
          <w:szCs w:val="20"/>
          <w:lang w:val="en-US"/>
        </w:rPr>
      </w:pPr>
      <w:r w:rsidRPr="00F414EA">
        <w:rPr>
          <w:rFonts w:ascii="Century" w:hAnsi="Century" w:cs="Big Caslon Medium"/>
          <w:sz w:val="20"/>
          <w:szCs w:val="20"/>
          <w:lang w:val="en-US"/>
        </w:rPr>
        <w:t xml:space="preserve">   </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83909</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 xml:space="preserve"> </w:t>
      </w:r>
      <w:r w:rsidRPr="00F414EA">
        <w:rPr>
          <w:rFonts w:ascii="Century" w:hAnsi="Century" w:cs="Big Caslon Medium"/>
          <w:sz w:val="20"/>
          <w:szCs w:val="20"/>
          <w:lang w:val="en-US"/>
        </w:rPr>
        <w:tab/>
        <w:t xml:space="preserve">  </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79655</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 xml:space="preserve">               </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83928</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 xml:space="preserve">                  </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83927</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 xml:space="preserve">                   </w:t>
      </w:r>
      <w:r w:rsidR="00E33DF3" w:rsidRPr="00F414EA">
        <w:rPr>
          <w:rFonts w:ascii="Century" w:hAnsi="Century" w:cs="Big Caslon Medium"/>
          <w:sz w:val="20"/>
          <w:szCs w:val="20"/>
          <w:lang w:val="en-US"/>
        </w:rPr>
        <w:t xml:space="preserve"> </w:t>
      </w:r>
      <w:r w:rsidRPr="00F414EA">
        <w:rPr>
          <w:rFonts w:ascii="Century" w:hAnsi="Century" w:cs="Big Caslon Medium"/>
          <w:sz w:val="20"/>
          <w:szCs w:val="20"/>
          <w:lang w:val="en-US"/>
        </w:rPr>
        <w:t xml:space="preserve">    </w:t>
      </w:r>
      <w:r w:rsidR="00EF5094" w:rsidRPr="00F414EA">
        <w:rPr>
          <w:rFonts w:ascii="Century" w:hAnsi="Century" w:cs="Big Caslon Medium"/>
          <w:sz w:val="20"/>
          <w:szCs w:val="20"/>
          <w:lang w:val="en-US"/>
        </w:rPr>
        <w:t xml:space="preserve"> </w:t>
      </w:r>
      <w:r w:rsidR="00E33DF3" w:rsidRPr="00F414EA">
        <w:rPr>
          <w:rFonts w:ascii="Century" w:hAnsi="Century" w:cs="Big Caslon Medium"/>
          <w:sz w:val="20"/>
          <w:szCs w:val="20"/>
          <w:lang w:val="en-US"/>
        </w:rPr>
        <w:t>(</w:t>
      </w:r>
      <w:r w:rsidRPr="00F414EA">
        <w:rPr>
          <w:rFonts w:ascii="Century" w:hAnsi="Century" w:cs="Big Caslon Medium"/>
          <w:sz w:val="20"/>
          <w:szCs w:val="20"/>
          <w:lang w:val="en-US"/>
        </w:rPr>
        <w:t>62466</w:t>
      </w:r>
      <w:r w:rsidR="00E33DF3" w:rsidRPr="00F414EA">
        <w:rPr>
          <w:rFonts w:ascii="Century" w:hAnsi="Century" w:cs="Big Caslon Medium"/>
          <w:sz w:val="20"/>
          <w:szCs w:val="20"/>
          <w:lang w:val="en-US"/>
        </w:rPr>
        <w:t>)</w:t>
      </w:r>
    </w:p>
    <w:p w14:paraId="7C949F0A" w14:textId="77777777" w:rsidR="00224801" w:rsidRPr="00F414EA" w:rsidRDefault="00224801" w:rsidP="00763710">
      <w:pPr>
        <w:spacing w:line="264" w:lineRule="auto"/>
        <w:rPr>
          <w:rFonts w:ascii="Century" w:hAnsi="Century" w:cs="Big Caslon Medium"/>
          <w:lang w:val="en-US"/>
        </w:rPr>
      </w:pPr>
    </w:p>
    <w:p w14:paraId="0FB05C40" w14:textId="692B571E" w:rsidR="00F63896" w:rsidRPr="00F414EA" w:rsidRDefault="005E74AC" w:rsidP="00264E62">
      <w:pPr>
        <w:spacing w:line="264" w:lineRule="auto"/>
        <w:jc w:val="center"/>
        <w:rPr>
          <w:rFonts w:ascii="Century" w:hAnsi="Century" w:cs="Big Caslon Medium"/>
          <w:sz w:val="13"/>
          <w:szCs w:val="13"/>
          <w:lang w:val="en-US"/>
        </w:rPr>
      </w:pPr>
      <w:r w:rsidRPr="00F414EA">
        <w:rPr>
          <w:rFonts w:ascii="Century" w:hAnsi="Century" w:cs="Big Caslon Medium"/>
          <w:sz w:val="16"/>
          <w:szCs w:val="16"/>
          <w:lang w:val="en-US"/>
        </w:rPr>
        <w:t xml:space="preserve">Research Methods for Finance, </w:t>
      </w:r>
      <w:r w:rsidRPr="00F414EA">
        <w:rPr>
          <w:rFonts w:ascii="Century" w:hAnsi="Century" w:cs="Big Caslon Medium"/>
          <w:sz w:val="13"/>
          <w:szCs w:val="13"/>
          <w:lang w:val="en-US"/>
        </w:rPr>
        <w:t>NOVA SBE</w:t>
      </w:r>
    </w:p>
    <w:p w14:paraId="1CA678F8" w14:textId="77777777" w:rsidR="00377ED0" w:rsidRPr="00F414EA" w:rsidRDefault="00377ED0" w:rsidP="00377ED0">
      <w:pPr>
        <w:spacing w:line="264" w:lineRule="auto"/>
        <w:jc w:val="center"/>
        <w:rPr>
          <w:rFonts w:ascii="Century" w:hAnsi="Century" w:cs="Big Caslon Medium"/>
          <w:sz w:val="13"/>
          <w:szCs w:val="13"/>
          <w:lang w:val="en-US"/>
        </w:rPr>
      </w:pPr>
    </w:p>
    <w:p w14:paraId="48386B55" w14:textId="77777777" w:rsidR="005E74AC" w:rsidRPr="00F414EA" w:rsidRDefault="005E74AC" w:rsidP="005E74AC">
      <w:pPr>
        <w:spacing w:line="264" w:lineRule="auto"/>
        <w:rPr>
          <w:rFonts w:ascii="Century" w:hAnsi="Century" w:cs="Big Caslon Medium"/>
          <w:sz w:val="16"/>
          <w:szCs w:val="16"/>
          <w:lang w:val="en-US"/>
        </w:rPr>
      </w:pPr>
    </w:p>
    <w:p w14:paraId="377A750B" w14:textId="72E74DF0" w:rsidR="005E74AC" w:rsidRPr="00F414EA" w:rsidRDefault="005E74AC" w:rsidP="008E074F">
      <w:pPr>
        <w:spacing w:line="360" w:lineRule="auto"/>
        <w:jc w:val="both"/>
        <w:rPr>
          <w:rFonts w:ascii="Century" w:hAnsi="Century" w:cs="Big Caslon Medium"/>
          <w:sz w:val="22"/>
          <w:szCs w:val="22"/>
          <w:lang w:val="en-US"/>
        </w:rPr>
      </w:pPr>
      <w:r w:rsidRPr="00F414EA">
        <w:rPr>
          <w:rFonts w:ascii="Century" w:hAnsi="Century" w:cs="Big Caslon Medium"/>
          <w:sz w:val="16"/>
          <w:szCs w:val="16"/>
          <w:lang w:val="en-US"/>
        </w:rPr>
        <w:t xml:space="preserve">ABSTRACT. </w:t>
      </w:r>
      <w:r w:rsidRPr="00F414EA">
        <w:rPr>
          <w:rFonts w:ascii="Century" w:hAnsi="Century" w:cs="Big Caslon Medium"/>
          <w:sz w:val="22"/>
          <w:szCs w:val="22"/>
          <w:lang w:val="en-US"/>
        </w:rPr>
        <w:t xml:space="preserve">We follow the </w:t>
      </w:r>
      <w:r w:rsidR="00A1112B" w:rsidRPr="00F414EA">
        <w:rPr>
          <w:rFonts w:ascii="Century" w:hAnsi="Century" w:cs="Big Caslon Medium"/>
          <w:sz w:val="22"/>
          <w:szCs w:val="22"/>
          <w:lang w:val="en-US"/>
        </w:rPr>
        <w:t>Eisfeldt et al</w:t>
      </w:r>
      <w:r w:rsidR="00261B78" w:rsidRPr="00F414EA">
        <w:rPr>
          <w:rFonts w:ascii="Century" w:hAnsi="Century" w:cs="Big Caslon Medium"/>
          <w:sz w:val="22"/>
          <w:szCs w:val="22"/>
          <w:lang w:val="en-US"/>
        </w:rPr>
        <w:t>.</w:t>
      </w:r>
      <w:r w:rsidRPr="00F414EA">
        <w:rPr>
          <w:rFonts w:ascii="Century" w:hAnsi="Century" w:cs="Big Caslon Medium"/>
          <w:sz w:val="22"/>
          <w:szCs w:val="22"/>
          <w:lang w:val="en-US"/>
        </w:rPr>
        <w:t xml:space="preserve"> (</w:t>
      </w:r>
      <w:r w:rsidR="00A1112B" w:rsidRPr="00F414EA">
        <w:rPr>
          <w:rFonts w:ascii="Century" w:hAnsi="Century" w:cs="Big Caslon Medium"/>
          <w:sz w:val="22"/>
          <w:szCs w:val="22"/>
          <w:lang w:val="en-US"/>
        </w:rPr>
        <w:t>2026</w:t>
      </w:r>
      <w:r w:rsidRPr="00F414EA">
        <w:rPr>
          <w:rFonts w:ascii="Century" w:hAnsi="Century" w:cs="Big Caslon Medium"/>
          <w:sz w:val="22"/>
          <w:szCs w:val="22"/>
          <w:lang w:val="en-US"/>
        </w:rPr>
        <w:t xml:space="preserve">) </w:t>
      </w:r>
      <w:r w:rsidR="00B7621B" w:rsidRPr="00F414EA">
        <w:rPr>
          <w:rFonts w:ascii="Century" w:hAnsi="Century" w:cs="Big Caslon Medium"/>
          <w:sz w:val="22"/>
          <w:szCs w:val="22"/>
          <w:lang w:val="en-US"/>
        </w:rPr>
        <w:t>working paper on the effect of Generative AI on firm valuation</w:t>
      </w:r>
      <w:r w:rsidRPr="00F414EA">
        <w:rPr>
          <w:rFonts w:ascii="Century" w:hAnsi="Century" w:cs="Big Caslon Medium"/>
          <w:sz w:val="22"/>
          <w:szCs w:val="22"/>
          <w:lang w:val="en-US"/>
        </w:rPr>
        <w:t>.</w:t>
      </w:r>
      <w:r w:rsidR="00B7621B" w:rsidRPr="00F414EA">
        <w:rPr>
          <w:rFonts w:ascii="Century" w:hAnsi="Century" w:cs="Big Caslon Medium"/>
          <w:sz w:val="22"/>
          <w:szCs w:val="22"/>
          <w:lang w:val="en-US"/>
        </w:rPr>
        <w:t xml:space="preserve"> We reproduce the paper’s main estimates including a market and Fama-French five factor robustness checks.</w:t>
      </w:r>
    </w:p>
    <w:p w14:paraId="6FE906AD" w14:textId="58488CA5" w:rsidR="005E74AC" w:rsidRPr="00F414EA" w:rsidRDefault="005E74AC" w:rsidP="008E074F">
      <w:pPr>
        <w:spacing w:line="360" w:lineRule="auto"/>
        <w:jc w:val="both"/>
        <w:rPr>
          <w:rFonts w:ascii="Century" w:hAnsi="Century" w:cs="Big Caslon Medium"/>
          <w:sz w:val="18"/>
          <w:szCs w:val="18"/>
          <w:lang w:val="en-US"/>
        </w:rPr>
      </w:pPr>
      <w:r w:rsidRPr="00F414EA">
        <w:rPr>
          <w:rFonts w:ascii="Century" w:hAnsi="Century" w:cs="Big Caslon Medium"/>
          <w:sz w:val="22"/>
          <w:szCs w:val="22"/>
          <w:lang w:val="en-US"/>
        </w:rPr>
        <w:t>Keywords</w:t>
      </w:r>
      <w:r w:rsidRPr="00F414EA">
        <w:rPr>
          <w:rFonts w:ascii="Century" w:hAnsi="Century" w:cs="Big Caslon Medium"/>
          <w:sz w:val="16"/>
          <w:szCs w:val="16"/>
          <w:lang w:val="en-US"/>
        </w:rPr>
        <w:t xml:space="preserve">. </w:t>
      </w:r>
      <w:r w:rsidR="00B7621B" w:rsidRPr="00F414EA">
        <w:rPr>
          <w:rFonts w:ascii="Century" w:hAnsi="Century" w:cs="Big Caslon Medium"/>
          <w:sz w:val="22"/>
          <w:szCs w:val="22"/>
          <w:lang w:val="en-US"/>
        </w:rPr>
        <w:t>generative artificial intelligence, labor exposure, abnormal return</w:t>
      </w:r>
      <w:r w:rsidR="009D493F" w:rsidRPr="00F414EA">
        <w:rPr>
          <w:rFonts w:ascii="Century" w:hAnsi="Century" w:cs="Big Caslon Medium"/>
          <w:sz w:val="22"/>
          <w:szCs w:val="22"/>
          <w:lang w:val="en-US"/>
        </w:rPr>
        <w:t>s</w:t>
      </w:r>
    </w:p>
    <w:p w14:paraId="59B21953" w14:textId="3700BC28" w:rsidR="005E74AC" w:rsidRPr="00F414EA" w:rsidRDefault="00261B78" w:rsidP="008E074F">
      <w:pPr>
        <w:spacing w:line="360" w:lineRule="auto"/>
        <w:ind w:firstLine="708"/>
        <w:jc w:val="both"/>
        <w:rPr>
          <w:rFonts w:ascii="Century" w:hAnsi="Century" w:cs="Big Caslon Medium"/>
          <w:sz w:val="22"/>
          <w:szCs w:val="22"/>
          <w:lang w:val="en-US"/>
        </w:rPr>
      </w:pPr>
      <w:r w:rsidRPr="00F414EA">
        <w:rPr>
          <w:rFonts w:ascii="Century" w:hAnsi="Century" w:cs="Big Caslon Medium"/>
          <w:sz w:val="22"/>
          <w:szCs w:val="22"/>
          <w:lang w:val="en-US"/>
        </w:rPr>
        <w:t>Eisfeldt et al. find significant</w:t>
      </w:r>
      <w:r w:rsidR="00834EA4" w:rsidRPr="00F414EA">
        <w:rPr>
          <w:rFonts w:ascii="Century" w:hAnsi="Century" w:cs="Big Caslon Medium"/>
          <w:sz w:val="22"/>
          <w:szCs w:val="22"/>
          <w:lang w:val="en-US"/>
        </w:rPr>
        <w:t xml:space="preserve"> 5%</w:t>
      </w:r>
      <w:r w:rsidRPr="00F414EA">
        <w:rPr>
          <w:rFonts w:ascii="Century" w:hAnsi="Century" w:cs="Big Caslon Medium"/>
          <w:sz w:val="22"/>
          <w:szCs w:val="22"/>
          <w:lang w:val="en-US"/>
        </w:rPr>
        <w:t xml:space="preserve"> </w:t>
      </w:r>
      <w:r w:rsidR="00532C05" w:rsidRPr="00F414EA">
        <w:rPr>
          <w:rFonts w:ascii="Century" w:hAnsi="Century" w:cs="Big Caslon Medium"/>
          <w:sz w:val="22"/>
          <w:szCs w:val="22"/>
          <w:lang w:val="en-US"/>
        </w:rPr>
        <w:t xml:space="preserve">cumulative </w:t>
      </w:r>
      <w:r w:rsidRPr="00F414EA">
        <w:rPr>
          <w:rFonts w:ascii="Century" w:hAnsi="Century" w:cs="Big Caslon Medium"/>
          <w:sz w:val="22"/>
          <w:szCs w:val="22"/>
          <w:lang w:val="en-US"/>
        </w:rPr>
        <w:t>abnormal return</w:t>
      </w:r>
      <w:r w:rsidR="007F73D4" w:rsidRPr="00F414EA">
        <w:rPr>
          <w:rFonts w:ascii="Century" w:hAnsi="Century" w:cs="Big Caslon Medium"/>
          <w:sz w:val="22"/>
          <w:szCs w:val="22"/>
          <w:lang w:val="en-US"/>
        </w:rPr>
        <w:t xml:space="preserve">s </w:t>
      </w:r>
      <w:r w:rsidR="005B3AAA" w:rsidRPr="00F414EA">
        <w:rPr>
          <w:rFonts w:ascii="Century" w:hAnsi="Century" w:cs="Big Caslon Medium"/>
          <w:sz w:val="18"/>
          <w:szCs w:val="18"/>
          <w:lang w:val="en-US"/>
        </w:rPr>
        <w:t xml:space="preserve">(CAR) </w:t>
      </w:r>
      <w:r w:rsidRPr="00F414EA">
        <w:rPr>
          <w:rFonts w:ascii="Century" w:hAnsi="Century" w:cs="Big Caslon Medium"/>
          <w:sz w:val="22"/>
          <w:szCs w:val="22"/>
          <w:lang w:val="en-US"/>
        </w:rPr>
        <w:t>on</w:t>
      </w:r>
      <w:r w:rsidR="007F73D4" w:rsidRPr="00F414EA">
        <w:rPr>
          <w:rFonts w:ascii="Century" w:hAnsi="Century" w:cs="Big Caslon Medium"/>
          <w:sz w:val="22"/>
          <w:szCs w:val="22"/>
          <w:lang w:val="en-US"/>
        </w:rPr>
        <w:t xml:space="preserve"> a zero</w:t>
      </w:r>
      <w:r w:rsidR="00711062" w:rsidRPr="00F414EA">
        <w:rPr>
          <w:rFonts w:ascii="Century" w:hAnsi="Century" w:cs="Big Caslon Medium"/>
          <w:sz w:val="22"/>
          <w:szCs w:val="22"/>
          <w:lang w:val="en-US"/>
        </w:rPr>
        <w:t xml:space="preserve"> </w:t>
      </w:r>
      <w:r w:rsidR="007F73D4" w:rsidRPr="00F414EA">
        <w:rPr>
          <w:rFonts w:ascii="Century" w:hAnsi="Century" w:cs="Big Caslon Medium"/>
          <w:sz w:val="22"/>
          <w:szCs w:val="22"/>
          <w:lang w:val="en-US"/>
        </w:rPr>
        <w:t>investment portfolio that longs</w:t>
      </w:r>
      <w:r w:rsidRPr="00F414EA">
        <w:rPr>
          <w:rFonts w:ascii="Century" w:hAnsi="Century" w:cs="Big Caslon Medium"/>
          <w:sz w:val="22"/>
          <w:szCs w:val="22"/>
          <w:lang w:val="en-US"/>
        </w:rPr>
        <w:t xml:space="preserve"> firms heavily exposed to generative artificial intelligence </w:t>
      </w:r>
      <w:r w:rsidRPr="00F414EA">
        <w:rPr>
          <w:rFonts w:ascii="Century" w:hAnsi="Century" w:cs="Big Caslon Medium"/>
          <w:sz w:val="18"/>
          <w:szCs w:val="18"/>
          <w:lang w:val="en-US"/>
        </w:rPr>
        <w:t>(Gen. AI)</w:t>
      </w:r>
      <w:r w:rsidRPr="00F414EA">
        <w:rPr>
          <w:rFonts w:ascii="Century" w:hAnsi="Century" w:cs="Big Caslon Medium"/>
          <w:sz w:val="22"/>
          <w:szCs w:val="22"/>
          <w:lang w:val="en-US"/>
        </w:rPr>
        <w:t xml:space="preserve"> </w:t>
      </w:r>
      <w:r w:rsidR="007F73D4" w:rsidRPr="00F414EA">
        <w:rPr>
          <w:rFonts w:ascii="Century" w:hAnsi="Century" w:cs="Big Caslon Medium"/>
          <w:sz w:val="22"/>
          <w:szCs w:val="22"/>
          <w:lang w:val="en-US"/>
        </w:rPr>
        <w:t>and shorts</w:t>
      </w:r>
      <w:r w:rsidRPr="00F414EA">
        <w:rPr>
          <w:rFonts w:ascii="Century" w:hAnsi="Century" w:cs="Big Caslon Medium"/>
          <w:sz w:val="22"/>
          <w:szCs w:val="22"/>
          <w:lang w:val="en-US"/>
        </w:rPr>
        <w:t xml:space="preserve"> the least exposed quintile of firms in </w:t>
      </w:r>
      <w:r w:rsidR="007F73D4" w:rsidRPr="00F414EA">
        <w:rPr>
          <w:rFonts w:ascii="Century" w:hAnsi="Century" w:cs="Big Caslon Medium"/>
          <w:sz w:val="22"/>
          <w:szCs w:val="22"/>
          <w:lang w:val="en-US"/>
        </w:rPr>
        <w:t>the</w:t>
      </w:r>
      <w:r w:rsidRPr="00F414EA">
        <w:rPr>
          <w:rFonts w:ascii="Century" w:hAnsi="Century" w:cs="Big Caslon Medium"/>
          <w:sz w:val="22"/>
          <w:szCs w:val="22"/>
          <w:lang w:val="en-US"/>
        </w:rPr>
        <w:t xml:space="preserve"> two-week </w:t>
      </w:r>
      <w:r w:rsidR="007F73D4" w:rsidRPr="00F414EA">
        <w:rPr>
          <w:rFonts w:ascii="Century" w:hAnsi="Century" w:cs="Big Caslon Medium"/>
          <w:sz w:val="22"/>
          <w:szCs w:val="22"/>
          <w:lang w:val="en-US"/>
        </w:rPr>
        <w:t>period</w:t>
      </w:r>
      <w:r w:rsidRPr="00F414EA">
        <w:rPr>
          <w:rFonts w:ascii="Century" w:hAnsi="Century" w:cs="Big Caslon Medium"/>
          <w:sz w:val="22"/>
          <w:szCs w:val="22"/>
          <w:lang w:val="en-US"/>
        </w:rPr>
        <w:t xml:space="preserve"> following the release of ChatGPT</w:t>
      </w:r>
      <w:r w:rsidR="00711062" w:rsidRPr="00F414EA">
        <w:rPr>
          <w:rFonts w:ascii="Century" w:hAnsi="Century" w:cs="Big Caslon Medium"/>
          <w:sz w:val="22"/>
          <w:szCs w:val="22"/>
          <w:lang w:val="en-US"/>
        </w:rPr>
        <w:t>. This</w:t>
      </w:r>
      <w:r w:rsidRPr="00F414EA">
        <w:rPr>
          <w:rFonts w:ascii="Century" w:hAnsi="Century" w:cs="Big Caslon Medium"/>
          <w:sz w:val="22"/>
          <w:szCs w:val="22"/>
          <w:lang w:val="en-US"/>
        </w:rPr>
        <w:t xml:space="preserve"> </w:t>
      </w:r>
      <w:r w:rsidR="00711062" w:rsidRPr="00F414EA">
        <w:rPr>
          <w:rFonts w:ascii="Century" w:hAnsi="Century" w:cs="Big Caslon Medium"/>
          <w:sz w:val="22"/>
          <w:szCs w:val="22"/>
          <w:lang w:val="en-US"/>
        </w:rPr>
        <w:t>suggests</w:t>
      </w:r>
      <w:r w:rsidRPr="00F414EA">
        <w:rPr>
          <w:rFonts w:ascii="Century" w:hAnsi="Century" w:cs="Big Caslon Medium"/>
          <w:sz w:val="22"/>
          <w:szCs w:val="22"/>
          <w:lang w:val="en-US"/>
        </w:rPr>
        <w:t xml:space="preserve"> that expectations of the impact of Gen. AI on firms’ future cash flows are incorporated into prices, </w:t>
      </w:r>
      <w:r w:rsidR="00711062" w:rsidRPr="00F414EA">
        <w:rPr>
          <w:rFonts w:ascii="Century" w:hAnsi="Century" w:cs="Big Caslon Medium"/>
          <w:sz w:val="22"/>
          <w:szCs w:val="22"/>
          <w:lang w:val="en-US"/>
        </w:rPr>
        <w:t>and are</w:t>
      </w:r>
      <w:r w:rsidR="00C57F90" w:rsidRPr="00F414EA">
        <w:rPr>
          <w:rFonts w:ascii="Century" w:hAnsi="Century" w:cs="Big Caslon Medium"/>
          <w:sz w:val="22"/>
          <w:szCs w:val="22"/>
          <w:lang w:val="en-US"/>
        </w:rPr>
        <w:t xml:space="preserve"> </w:t>
      </w:r>
      <w:r w:rsidRPr="00F414EA">
        <w:rPr>
          <w:rFonts w:ascii="Century" w:hAnsi="Century" w:cs="Big Caslon Medium"/>
          <w:sz w:val="22"/>
          <w:szCs w:val="22"/>
          <w:lang w:val="en-US"/>
        </w:rPr>
        <w:t xml:space="preserve">not reversed afterwards. </w:t>
      </w:r>
      <w:r w:rsidR="0003421E">
        <w:rPr>
          <w:rFonts w:ascii="Century" w:hAnsi="Century" w:cs="Big Caslon Medium"/>
          <w:sz w:val="22"/>
          <w:szCs w:val="22"/>
          <w:lang w:val="en-US"/>
        </w:rPr>
        <w:t>The authors</w:t>
      </w:r>
      <w:r w:rsidRPr="00F414EA">
        <w:rPr>
          <w:rFonts w:ascii="Century" w:hAnsi="Century" w:cs="Big Caslon Medium"/>
          <w:sz w:val="22"/>
          <w:szCs w:val="22"/>
          <w:lang w:val="en-US"/>
        </w:rPr>
        <w:t xml:space="preserve"> identify two distinct channels that explain the cumulative abnormal return difference – the effect on labor, both substitution and complementarity, motivating </w:t>
      </w:r>
      <w:r w:rsidR="005008A5" w:rsidRPr="00F414EA">
        <w:rPr>
          <w:rFonts w:ascii="Century" w:hAnsi="Century" w:cs="Big Caslon Medium"/>
          <w:sz w:val="22"/>
          <w:szCs w:val="22"/>
          <w:lang w:val="en-US"/>
        </w:rPr>
        <w:t>a look into</w:t>
      </w:r>
      <w:r w:rsidRPr="00F414EA">
        <w:rPr>
          <w:rFonts w:ascii="Century" w:hAnsi="Century" w:cs="Big Caslon Medium"/>
          <w:sz w:val="22"/>
          <w:szCs w:val="22"/>
          <w:lang w:val="en-US"/>
        </w:rPr>
        <w:t xml:space="preserve"> the task composition of different types of </w:t>
      </w:r>
      <w:r w:rsidR="00502E9F"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and </w:t>
      </w:r>
      <w:r w:rsidR="00330F3E" w:rsidRPr="00F414EA">
        <w:rPr>
          <w:rFonts w:ascii="Century" w:hAnsi="Century" w:cs="Big Caslon Medium"/>
          <w:sz w:val="22"/>
          <w:szCs w:val="22"/>
          <w:lang w:val="en-US"/>
        </w:rPr>
        <w:t>each task’s</w:t>
      </w:r>
      <w:r w:rsidR="00E67A1D" w:rsidRPr="00F414EA">
        <w:rPr>
          <w:rFonts w:ascii="Century" w:hAnsi="Century" w:cs="Big Caslon Medium"/>
          <w:sz w:val="22"/>
          <w:szCs w:val="22"/>
          <w:lang w:val="en-US"/>
        </w:rPr>
        <w:t xml:space="preserve"> </w:t>
      </w:r>
      <w:r w:rsidRPr="00F414EA">
        <w:rPr>
          <w:rFonts w:ascii="Century" w:hAnsi="Century" w:cs="Big Caslon Medium"/>
          <w:sz w:val="22"/>
          <w:szCs w:val="22"/>
          <w:lang w:val="en-US"/>
        </w:rPr>
        <w:t>exposure to AI; the effect on products, namely the displacement of value from the introduction of Gen. AI.</w:t>
      </w:r>
    </w:p>
    <w:p w14:paraId="0873B7CF" w14:textId="77777777" w:rsidR="00F63896" w:rsidRPr="00F414EA" w:rsidRDefault="00F63896" w:rsidP="008E074F">
      <w:pPr>
        <w:spacing w:line="360" w:lineRule="auto"/>
        <w:ind w:firstLine="708"/>
        <w:jc w:val="both"/>
        <w:rPr>
          <w:rFonts w:ascii="Century" w:hAnsi="Century" w:cs="Big Caslon Medium"/>
          <w:sz w:val="22"/>
          <w:szCs w:val="22"/>
          <w:lang w:val="en-US"/>
        </w:rPr>
      </w:pPr>
    </w:p>
    <w:p w14:paraId="0E914354" w14:textId="6740C226" w:rsidR="00933EC9" w:rsidRPr="00F414EA" w:rsidRDefault="005E74AC" w:rsidP="008E074F">
      <w:pPr>
        <w:spacing w:line="360" w:lineRule="auto"/>
        <w:ind w:firstLine="708"/>
        <w:jc w:val="both"/>
        <w:rPr>
          <w:rFonts w:ascii="Century" w:hAnsi="Century" w:cs="Big Caslon Medium"/>
          <w:sz w:val="22"/>
          <w:szCs w:val="22"/>
          <w:lang w:val="en-US"/>
        </w:rPr>
      </w:pPr>
      <w:r w:rsidRPr="00F414EA">
        <w:rPr>
          <w:rFonts w:ascii="Century" w:hAnsi="Century" w:cs="Big Caslon Medium"/>
          <w:sz w:val="22"/>
          <w:szCs w:val="22"/>
          <w:lang w:val="en-US"/>
        </w:rPr>
        <w:t>The paper has three sections</w:t>
      </w:r>
      <w:r w:rsidRPr="00F414EA">
        <w:rPr>
          <w:rFonts w:cs="Big Caslon Medium"/>
          <w:sz w:val="22"/>
          <w:szCs w:val="22"/>
          <w:lang w:val="en-US"/>
        </w:rPr>
        <w:t xml:space="preserve">: </w:t>
      </w:r>
      <w:r w:rsidRPr="00F414EA">
        <w:rPr>
          <w:rFonts w:ascii="Century" w:hAnsi="Century" w:cs="Big Caslon Medium"/>
          <w:sz w:val="22"/>
          <w:szCs w:val="22"/>
          <w:lang w:val="en-US"/>
        </w:rPr>
        <w:t xml:space="preserve">I – </w:t>
      </w:r>
      <w:r w:rsidR="00261B78" w:rsidRPr="00F414EA">
        <w:rPr>
          <w:rFonts w:ascii="Century" w:hAnsi="Century" w:cs="Big Caslon Medium"/>
          <w:sz w:val="22"/>
          <w:szCs w:val="22"/>
          <w:lang w:val="en-US"/>
        </w:rPr>
        <w:t xml:space="preserve">A summary of Eisfeldt et al., including a reconstruction of the paper’s hypotheses from the premises and assumptions made, an insight into the construction of the firm exposure measure, a presentation of the paper’s main results; </w:t>
      </w:r>
      <w:r w:rsidRPr="00F414EA">
        <w:rPr>
          <w:rFonts w:ascii="Century" w:hAnsi="Century" w:cs="Big Caslon Medium"/>
          <w:sz w:val="21"/>
          <w:szCs w:val="21"/>
          <w:lang w:val="en-US"/>
        </w:rPr>
        <w:t xml:space="preserve">II </w:t>
      </w:r>
      <w:r w:rsidRPr="00F414EA">
        <w:rPr>
          <w:rFonts w:ascii="Century" w:hAnsi="Century" w:cs="Big Caslon Medium"/>
          <w:sz w:val="22"/>
          <w:szCs w:val="22"/>
          <w:lang w:val="en-US"/>
        </w:rPr>
        <w:t>–</w:t>
      </w:r>
      <w:r w:rsidRPr="00F414EA">
        <w:rPr>
          <w:rFonts w:ascii="Century" w:hAnsi="Century" w:cs="Big Caslon Medium"/>
          <w:sz w:val="21"/>
          <w:szCs w:val="21"/>
          <w:lang w:val="en-US"/>
        </w:rPr>
        <w:t xml:space="preserve"> </w:t>
      </w:r>
      <w:r w:rsidR="00D72915" w:rsidRPr="00F414EA">
        <w:rPr>
          <w:rFonts w:ascii="Century" w:hAnsi="Century" w:cs="Big Caslon Medium"/>
          <w:sz w:val="22"/>
          <w:szCs w:val="22"/>
          <w:lang w:val="en-US"/>
        </w:rPr>
        <w:t>What the paper does not answer</w:t>
      </w:r>
      <w:r w:rsidR="0064570C" w:rsidRPr="00F414EA">
        <w:rPr>
          <w:rFonts w:ascii="Century" w:hAnsi="Century" w:cs="Big Caslon Medium"/>
          <w:sz w:val="22"/>
          <w:szCs w:val="22"/>
          <w:lang w:val="en-US"/>
        </w:rPr>
        <w:t>, i.e.</w:t>
      </w:r>
      <w:r w:rsidR="00D72915" w:rsidRPr="00F414EA">
        <w:rPr>
          <w:rFonts w:ascii="Century" w:hAnsi="Century" w:cs="Big Caslon Medium"/>
          <w:sz w:val="22"/>
          <w:szCs w:val="22"/>
          <w:lang w:val="en-US"/>
        </w:rPr>
        <w:t xml:space="preserve"> </w:t>
      </w:r>
      <w:r w:rsidR="0064570C" w:rsidRPr="00F414EA">
        <w:rPr>
          <w:rFonts w:ascii="Century" w:hAnsi="Century" w:cs="Big Caslon Medium"/>
          <w:sz w:val="22"/>
          <w:szCs w:val="22"/>
          <w:lang w:val="en-US"/>
        </w:rPr>
        <w:t>t</w:t>
      </w:r>
      <w:r w:rsidR="00261B78" w:rsidRPr="00F414EA">
        <w:rPr>
          <w:rFonts w:ascii="Century" w:hAnsi="Century" w:cs="Big Caslon Medium"/>
          <w:sz w:val="22"/>
          <w:szCs w:val="22"/>
          <w:lang w:val="en-US"/>
        </w:rPr>
        <w:t>he risk factor question, which the paper raises but cannot reach, and a reason why the reported estimate might mislead</w:t>
      </w:r>
      <w:r w:rsidR="00905B57" w:rsidRPr="00F414EA">
        <w:rPr>
          <w:rFonts w:ascii="Century" w:hAnsi="Century" w:cs="Big Caslon Medium"/>
          <w:sz w:val="22"/>
          <w:szCs w:val="22"/>
          <w:lang w:val="en-US"/>
        </w:rPr>
        <w:t>, motivating</w:t>
      </w:r>
      <w:r w:rsidR="00261B78" w:rsidRPr="00F414EA">
        <w:rPr>
          <w:rFonts w:ascii="Century" w:hAnsi="Century" w:cs="Big Caslon Medium"/>
          <w:sz w:val="22"/>
          <w:szCs w:val="22"/>
          <w:lang w:val="en-US"/>
        </w:rPr>
        <w:t xml:space="preserve"> the regression tests we later conduct</w:t>
      </w:r>
      <w:r w:rsidRPr="00F414EA">
        <w:rPr>
          <w:rFonts w:cs="Big Caslon Medium"/>
          <w:sz w:val="22"/>
          <w:szCs w:val="22"/>
          <w:lang w:val="en-US"/>
        </w:rPr>
        <w:t xml:space="preserve">; </w:t>
      </w:r>
      <w:r w:rsidRPr="00F414EA">
        <w:rPr>
          <w:rFonts w:ascii="Century" w:hAnsi="Century" w:cs="Big Caslon Medium"/>
          <w:sz w:val="21"/>
          <w:szCs w:val="21"/>
          <w:lang w:val="en-US"/>
        </w:rPr>
        <w:t xml:space="preserve">III </w:t>
      </w:r>
      <w:r w:rsidRPr="00F414EA">
        <w:rPr>
          <w:rFonts w:ascii="Century" w:hAnsi="Century" w:cs="Big Caslon Medium"/>
          <w:sz w:val="22"/>
          <w:szCs w:val="22"/>
          <w:lang w:val="en-US"/>
        </w:rPr>
        <w:t xml:space="preserve">– </w:t>
      </w:r>
      <w:r w:rsidR="00261B78" w:rsidRPr="00F414EA">
        <w:rPr>
          <w:rFonts w:ascii="Century" w:hAnsi="Century" w:cs="Big Caslon Medium"/>
          <w:sz w:val="22"/>
          <w:szCs w:val="22"/>
          <w:lang w:val="en-US"/>
        </w:rPr>
        <w:t xml:space="preserve">Our empirical design and a description of the sample construction process; </w:t>
      </w:r>
      <w:r w:rsidR="00261B78" w:rsidRPr="00F414EA">
        <w:rPr>
          <w:rFonts w:ascii="Century" w:hAnsi="Century" w:cs="Big Caslon Medium"/>
          <w:sz w:val="21"/>
          <w:szCs w:val="21"/>
          <w:lang w:val="en-US"/>
        </w:rPr>
        <w:t>IV</w:t>
      </w:r>
      <w:r w:rsidR="00261B78" w:rsidRPr="00F414EA">
        <w:rPr>
          <w:rFonts w:ascii="Century" w:hAnsi="Century" w:cs="Big Caslon Medium"/>
          <w:sz w:val="22"/>
          <w:szCs w:val="22"/>
          <w:lang w:val="en-US"/>
        </w:rPr>
        <w:t xml:space="preserve"> – A reproduction of the paper’s main</w:t>
      </w:r>
      <w:r w:rsidR="005B3AAA" w:rsidRPr="00F414EA">
        <w:rPr>
          <w:rFonts w:ascii="Century" w:hAnsi="Century" w:cs="Big Caslon Medium"/>
          <w:sz w:val="22"/>
          <w:szCs w:val="22"/>
          <w:lang w:val="en-US"/>
        </w:rPr>
        <w:t xml:space="preserve"> </w:t>
      </w:r>
      <w:r w:rsidR="005B3AAA" w:rsidRPr="00F414EA">
        <w:rPr>
          <w:rFonts w:ascii="Century" w:hAnsi="Century" w:cs="Big Caslon Medium"/>
          <w:sz w:val="18"/>
          <w:szCs w:val="18"/>
          <w:lang w:val="en-US"/>
        </w:rPr>
        <w:t>CAR</w:t>
      </w:r>
      <w:r w:rsidR="00261B78" w:rsidRPr="00F414EA">
        <w:rPr>
          <w:rFonts w:ascii="Century" w:hAnsi="Century" w:cs="Big Caslon Medium"/>
          <w:sz w:val="22"/>
          <w:szCs w:val="22"/>
          <w:lang w:val="en-US"/>
        </w:rPr>
        <w:t xml:space="preserve"> estimate</w:t>
      </w:r>
      <w:r w:rsidR="0016039C" w:rsidRPr="00F414EA">
        <w:rPr>
          <w:rFonts w:ascii="Century" w:hAnsi="Century" w:cs="Big Caslon Medium"/>
          <w:sz w:val="22"/>
          <w:szCs w:val="22"/>
          <w:lang w:val="en-US"/>
        </w:rPr>
        <w:t>, and the results of the empirical test motivated and described in earlier sections.</w:t>
      </w:r>
    </w:p>
    <w:p w14:paraId="59F4DABB" w14:textId="77777777" w:rsidR="00933EC9" w:rsidRDefault="00933EC9" w:rsidP="005E4DDB">
      <w:pPr>
        <w:spacing w:line="264" w:lineRule="auto"/>
        <w:jc w:val="both"/>
        <w:rPr>
          <w:rFonts w:ascii="Century" w:hAnsi="Century" w:cs="Big Caslon Medium"/>
          <w:sz w:val="22"/>
          <w:szCs w:val="22"/>
          <w:lang w:val="en-US"/>
        </w:rPr>
      </w:pPr>
    </w:p>
    <w:p w14:paraId="77E2E761" w14:textId="77777777" w:rsidR="00965A84" w:rsidRDefault="00965A84" w:rsidP="005E4DDB">
      <w:pPr>
        <w:spacing w:line="264" w:lineRule="auto"/>
        <w:jc w:val="both"/>
        <w:rPr>
          <w:rFonts w:ascii="Century" w:hAnsi="Century" w:cs="Big Caslon Medium"/>
          <w:sz w:val="22"/>
          <w:szCs w:val="22"/>
          <w:lang w:val="en-US"/>
        </w:rPr>
      </w:pPr>
    </w:p>
    <w:p w14:paraId="0566CFFF" w14:textId="77777777" w:rsidR="00965A84" w:rsidRDefault="00965A84" w:rsidP="005E4DDB">
      <w:pPr>
        <w:spacing w:line="264" w:lineRule="auto"/>
        <w:jc w:val="both"/>
        <w:rPr>
          <w:rFonts w:ascii="Century" w:hAnsi="Century" w:cs="Big Caslon Medium"/>
          <w:sz w:val="22"/>
          <w:szCs w:val="22"/>
          <w:lang w:val="en-US"/>
        </w:rPr>
      </w:pPr>
    </w:p>
    <w:p w14:paraId="211F8FFA" w14:textId="77777777" w:rsidR="00965A84" w:rsidRDefault="00965A84" w:rsidP="005E4DDB">
      <w:pPr>
        <w:spacing w:line="264" w:lineRule="auto"/>
        <w:jc w:val="both"/>
        <w:rPr>
          <w:rFonts w:ascii="Century" w:hAnsi="Century" w:cs="Big Caslon Medium"/>
          <w:sz w:val="22"/>
          <w:szCs w:val="22"/>
          <w:lang w:val="en-US"/>
        </w:rPr>
      </w:pPr>
    </w:p>
    <w:p w14:paraId="6FA54A3C" w14:textId="77777777" w:rsidR="00965A84" w:rsidRDefault="00965A84" w:rsidP="005E4DDB">
      <w:pPr>
        <w:spacing w:line="264" w:lineRule="auto"/>
        <w:jc w:val="both"/>
        <w:rPr>
          <w:rFonts w:ascii="Century" w:hAnsi="Century" w:cs="Big Caslon Medium"/>
          <w:sz w:val="22"/>
          <w:szCs w:val="22"/>
          <w:lang w:val="en-US"/>
        </w:rPr>
      </w:pPr>
    </w:p>
    <w:p w14:paraId="1858BD84" w14:textId="77777777" w:rsidR="00965A84" w:rsidRPr="00F414EA" w:rsidRDefault="00965A84" w:rsidP="005E4DDB">
      <w:pPr>
        <w:spacing w:line="264" w:lineRule="auto"/>
        <w:jc w:val="both"/>
        <w:rPr>
          <w:rFonts w:ascii="Century" w:hAnsi="Century" w:cs="Big Caslon Medium"/>
          <w:sz w:val="22"/>
          <w:szCs w:val="22"/>
          <w:lang w:val="en-US"/>
        </w:rPr>
      </w:pPr>
    </w:p>
    <w:p w14:paraId="56B28894" w14:textId="0A28725C" w:rsidR="00791736" w:rsidRPr="00F414EA" w:rsidRDefault="00791736" w:rsidP="00791736">
      <w:pPr>
        <w:pStyle w:val="PargrafodaLista"/>
        <w:numPr>
          <w:ilvl w:val="0"/>
          <w:numId w:val="2"/>
        </w:numPr>
        <w:spacing w:line="264" w:lineRule="auto"/>
        <w:jc w:val="center"/>
        <w:rPr>
          <w:rFonts w:ascii="Century" w:hAnsi="Century" w:cs="Big Caslon Medium"/>
          <w:sz w:val="18"/>
          <w:szCs w:val="18"/>
          <w:lang w:val="en-US"/>
        </w:rPr>
      </w:pPr>
      <w:r w:rsidRPr="00F414EA">
        <w:rPr>
          <w:rFonts w:ascii="Century" w:hAnsi="Century" w:cs="Big Caslon Medium"/>
          <w:sz w:val="18"/>
          <w:szCs w:val="18"/>
          <w:lang w:val="en-US"/>
        </w:rPr>
        <w:lastRenderedPageBreak/>
        <w:t>THE PAPER</w:t>
      </w:r>
    </w:p>
    <w:p w14:paraId="0C9ABCB0" w14:textId="77777777" w:rsidR="00791736" w:rsidRPr="00F414EA" w:rsidRDefault="00791736" w:rsidP="00791736">
      <w:pPr>
        <w:pStyle w:val="PargrafodaLista"/>
        <w:spacing w:line="264" w:lineRule="auto"/>
        <w:rPr>
          <w:rFonts w:ascii="Century" w:hAnsi="Century" w:cs="Big Caslon Medium"/>
          <w:sz w:val="22"/>
          <w:szCs w:val="22"/>
          <w:lang w:val="en-US"/>
        </w:rPr>
      </w:pPr>
    </w:p>
    <w:p w14:paraId="6FA0E9BE" w14:textId="67D1DBC0" w:rsidR="008E074F" w:rsidRPr="00F414EA" w:rsidRDefault="008E074F" w:rsidP="008E074F">
      <w:pPr>
        <w:spacing w:line="264" w:lineRule="auto"/>
        <w:jc w:val="both"/>
        <w:rPr>
          <w:rFonts w:ascii="Century" w:hAnsi="Century" w:cs="Big Caslon Medium"/>
          <w:sz w:val="22"/>
          <w:szCs w:val="22"/>
          <w:lang w:val="en-US"/>
        </w:rPr>
      </w:pPr>
      <w:r w:rsidRPr="00F414EA">
        <w:rPr>
          <w:rFonts w:ascii="Century" w:hAnsi="Century" w:cs="Big Caslon Medium"/>
          <w:sz w:val="22"/>
          <w:szCs w:val="22"/>
          <w:lang w:val="en-US"/>
        </w:rPr>
        <w:t xml:space="preserve">1.1 </w:t>
      </w:r>
      <w:r w:rsidR="00791736" w:rsidRPr="00F414EA">
        <w:rPr>
          <w:rFonts w:ascii="Century" w:hAnsi="Century" w:cs="Big Caslon Medium"/>
          <w:sz w:val="22"/>
          <w:szCs w:val="22"/>
          <w:lang w:val="en-US"/>
        </w:rPr>
        <w:t>Paper Hypothesis</w:t>
      </w:r>
    </w:p>
    <w:p w14:paraId="19E75472" w14:textId="77777777" w:rsidR="002C3D78" w:rsidRPr="00F414EA" w:rsidRDefault="002C3D78" w:rsidP="008E074F">
      <w:pPr>
        <w:spacing w:line="264" w:lineRule="auto"/>
        <w:jc w:val="both"/>
        <w:rPr>
          <w:rFonts w:ascii="Century" w:hAnsi="Century" w:cs="Big Caslon Medium"/>
          <w:sz w:val="22"/>
          <w:szCs w:val="22"/>
          <w:lang w:val="en-US"/>
        </w:rPr>
      </w:pPr>
    </w:p>
    <w:p w14:paraId="12BFE5A9" w14:textId="3337E194" w:rsidR="008E074F" w:rsidRPr="00F414EA" w:rsidRDefault="008E074F" w:rsidP="00860E3F">
      <w:pPr>
        <w:spacing w:after="160" w:line="360" w:lineRule="auto"/>
        <w:ind w:firstLine="708"/>
        <w:jc w:val="both"/>
        <w:rPr>
          <w:rFonts w:ascii="Century" w:hAnsi="Century" w:cs="Big Caslon Medium"/>
          <w:sz w:val="22"/>
          <w:szCs w:val="22"/>
          <w:lang w:val="en-US"/>
        </w:rPr>
      </w:pPr>
      <w:r w:rsidRPr="00F414EA">
        <w:rPr>
          <w:rFonts w:ascii="Century" w:hAnsi="Century" w:cs="Big Caslon Medium"/>
          <w:sz w:val="22"/>
          <w:szCs w:val="22"/>
          <w:lang w:val="en-US"/>
        </w:rPr>
        <w:t>The release of ChatGPT on November 30</w:t>
      </w:r>
      <w:r w:rsidRPr="00F414EA">
        <w:rPr>
          <w:rFonts w:ascii="Century" w:hAnsi="Century" w:cs="Big Caslon Medium"/>
          <w:sz w:val="22"/>
          <w:szCs w:val="22"/>
          <w:vertAlign w:val="superscript"/>
          <w:lang w:val="en-US"/>
        </w:rPr>
        <w:t>th</w:t>
      </w:r>
      <w:r w:rsidR="00910441" w:rsidRPr="00F414EA">
        <w:rPr>
          <w:rFonts w:ascii="Century" w:hAnsi="Century" w:cs="Big Caslon Medium"/>
          <w:sz w:val="22"/>
          <w:szCs w:val="22"/>
          <w:lang w:val="en-US"/>
        </w:rPr>
        <w:t xml:space="preserve">, </w:t>
      </w:r>
      <w:r w:rsidRPr="00F414EA">
        <w:rPr>
          <w:rFonts w:ascii="Century" w:hAnsi="Century" w:cs="Big Caslon Medium"/>
          <w:sz w:val="22"/>
          <w:szCs w:val="22"/>
          <w:lang w:val="en-US"/>
        </w:rPr>
        <w:t xml:space="preserve">2022, is a major technological breakthrough for the </w:t>
      </w:r>
      <w:r w:rsidR="00910441"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market (P1). These generative AI tools, by being publicly accessible, can either complement workers in their tasks or substitute </w:t>
      </w:r>
      <w:r w:rsidR="00910441"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w:t>
      </w:r>
      <w:r w:rsidR="007778B4" w:rsidRPr="00F414EA">
        <w:rPr>
          <w:rFonts w:ascii="Century" w:hAnsi="Century" w:cs="Big Caslon Medium"/>
          <w:sz w:val="22"/>
          <w:szCs w:val="22"/>
          <w:lang w:val="en-US"/>
        </w:rPr>
        <w:t>P</w:t>
      </w:r>
      <w:r w:rsidRPr="00F414EA">
        <w:rPr>
          <w:rFonts w:ascii="Century" w:hAnsi="Century" w:cs="Big Caslon Medium"/>
          <w:sz w:val="22"/>
          <w:szCs w:val="22"/>
          <w:lang w:val="en-US"/>
        </w:rPr>
        <w:t xml:space="preserve">2). By assisting workers in their tasks, generative AI improves productivity, while the technology </w:t>
      </w:r>
      <w:r w:rsidR="00910441"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substitution channel allows firms to save costs (</w:t>
      </w:r>
      <w:r w:rsidR="007778B4" w:rsidRPr="00F414EA">
        <w:rPr>
          <w:rFonts w:ascii="Century" w:hAnsi="Century" w:cs="Big Caslon Medium"/>
          <w:sz w:val="22"/>
          <w:szCs w:val="22"/>
          <w:lang w:val="en-US"/>
        </w:rPr>
        <w:t>A1</w:t>
      </w:r>
      <w:r w:rsidRPr="00F414EA">
        <w:rPr>
          <w:rFonts w:ascii="Century" w:hAnsi="Century" w:cs="Big Caslon Medium"/>
          <w:sz w:val="22"/>
          <w:szCs w:val="22"/>
          <w:lang w:val="en-US"/>
        </w:rPr>
        <w:t>). These benefits remain even after including the cost of implementation and externalities (</w:t>
      </w:r>
      <w:r w:rsidR="007778B4" w:rsidRPr="00F414EA">
        <w:rPr>
          <w:rFonts w:ascii="Century" w:hAnsi="Century" w:cs="Big Caslon Medium"/>
          <w:sz w:val="22"/>
          <w:szCs w:val="22"/>
          <w:lang w:val="en-US"/>
        </w:rPr>
        <w:t>A2</w:t>
      </w:r>
      <w:r w:rsidRPr="00F414EA">
        <w:rPr>
          <w:rFonts w:ascii="Century" w:hAnsi="Century" w:cs="Big Caslon Medium"/>
          <w:sz w:val="22"/>
          <w:szCs w:val="22"/>
          <w:lang w:val="en-US"/>
        </w:rPr>
        <w:t>). Economic information about potential firm productivity from the common use of Generative AI is incorporated into stock prices (P3). Firms with a greater exposure to Generative AI are expected to benefit from its use, reflected in an increase in their future expected cash flows (P</w:t>
      </w:r>
      <w:r w:rsidR="007778B4" w:rsidRPr="00F414EA">
        <w:rPr>
          <w:rFonts w:ascii="Century" w:hAnsi="Century" w:cs="Big Caslon Medium"/>
          <w:sz w:val="22"/>
          <w:szCs w:val="22"/>
          <w:lang w:val="en-US"/>
        </w:rPr>
        <w:t>4</w:t>
      </w:r>
      <w:r w:rsidRPr="00F414EA">
        <w:rPr>
          <w:rFonts w:ascii="Century" w:hAnsi="Century" w:cs="Big Caslon Medium"/>
          <w:sz w:val="22"/>
          <w:szCs w:val="22"/>
          <w:lang w:val="en-US"/>
        </w:rPr>
        <w:t>). As the discount rate remains unchanged after the release of Generative AI and firms’ valuation relies on the present value of expected future cash flows discounted at this expected rate of return (P</w:t>
      </w:r>
      <w:r w:rsidR="007778B4" w:rsidRPr="00F414EA">
        <w:rPr>
          <w:rFonts w:ascii="Century" w:hAnsi="Century" w:cs="Big Caslon Medium"/>
          <w:sz w:val="22"/>
          <w:szCs w:val="22"/>
          <w:lang w:val="en-US"/>
        </w:rPr>
        <w:t>5, A3</w:t>
      </w:r>
      <w:r w:rsidRPr="00F414EA">
        <w:rPr>
          <w:rFonts w:ascii="Century" w:hAnsi="Century" w:cs="Big Caslon Medium"/>
          <w:sz w:val="22"/>
          <w:szCs w:val="22"/>
          <w:lang w:val="en-US"/>
        </w:rPr>
        <w:t>), we can test the hypothesis that around the release of ChatGPT on November 30</w:t>
      </w:r>
      <w:r w:rsidRPr="00F414EA">
        <w:rPr>
          <w:rFonts w:ascii="Century" w:hAnsi="Century" w:cs="Big Caslon Medium"/>
          <w:sz w:val="22"/>
          <w:szCs w:val="22"/>
          <w:vertAlign w:val="superscript"/>
          <w:lang w:val="en-US"/>
        </w:rPr>
        <w:t>th</w:t>
      </w:r>
      <w:r w:rsidR="00EF5FEA" w:rsidRPr="00F414EA">
        <w:rPr>
          <w:rFonts w:ascii="Century" w:hAnsi="Century" w:cs="Big Caslon Medium"/>
          <w:sz w:val="22"/>
          <w:szCs w:val="22"/>
          <w:lang w:val="en-US"/>
        </w:rPr>
        <w:t xml:space="preserve">, </w:t>
      </w:r>
      <w:r w:rsidRPr="00F414EA">
        <w:rPr>
          <w:rFonts w:ascii="Century" w:hAnsi="Century" w:cs="Big Caslon Medium"/>
          <w:sz w:val="22"/>
          <w:szCs w:val="22"/>
          <w:lang w:val="en-US"/>
        </w:rPr>
        <w:t>2022, firms with greater workforce exposure experience higher abnormal stock returns than those that are less exposed.</w:t>
      </w:r>
    </w:p>
    <w:p w14:paraId="66DA449B" w14:textId="77777777" w:rsidR="008E074F" w:rsidRPr="00F414EA" w:rsidRDefault="008E074F" w:rsidP="008E074F">
      <w:pPr>
        <w:spacing w:after="160" w:line="264" w:lineRule="auto"/>
        <w:jc w:val="both"/>
        <w:rPr>
          <w:rFonts w:ascii="Century" w:hAnsi="Century" w:cs="Big Caslon Medium"/>
          <w:sz w:val="22"/>
          <w:szCs w:val="22"/>
          <w:lang w:val="en-US"/>
        </w:rPr>
      </w:pPr>
      <w:r w:rsidRPr="00F414EA">
        <w:rPr>
          <w:rFonts w:ascii="Century" w:hAnsi="Century" w:cs="Big Caslon Medium"/>
          <w:sz w:val="22"/>
          <w:szCs w:val="22"/>
          <w:lang w:val="en-US"/>
        </w:rPr>
        <w:t>P1: Generative artificial intelligence is a major technological breakthrough publicly accessible, affecting the workforce market.</w:t>
      </w:r>
    </w:p>
    <w:p w14:paraId="5E86E1B2" w14:textId="77777777" w:rsidR="008E074F" w:rsidRPr="00F414EA" w:rsidRDefault="008E074F" w:rsidP="008E074F">
      <w:pPr>
        <w:spacing w:after="160" w:line="264" w:lineRule="auto"/>
        <w:jc w:val="both"/>
        <w:rPr>
          <w:rFonts w:ascii="Century" w:hAnsi="Century" w:cs="Big Caslon Medium"/>
          <w:sz w:val="22"/>
          <w:szCs w:val="22"/>
          <w:lang w:val="en-US"/>
        </w:rPr>
      </w:pPr>
      <w:r w:rsidRPr="00F414EA">
        <w:rPr>
          <w:rFonts w:ascii="Century" w:hAnsi="Century" w:cs="Big Caslon Medium"/>
          <w:sz w:val="22"/>
          <w:szCs w:val="22"/>
          <w:lang w:val="en-US"/>
        </w:rPr>
        <w:t>P2: Generative AI can either complement workers in their tasks or substitute workers.</w:t>
      </w:r>
    </w:p>
    <w:p w14:paraId="0590CD6E" w14:textId="22F75C4D" w:rsidR="008E074F" w:rsidRPr="00F414EA" w:rsidRDefault="008E074F" w:rsidP="008E074F">
      <w:pPr>
        <w:spacing w:after="160" w:line="264" w:lineRule="auto"/>
        <w:jc w:val="both"/>
        <w:rPr>
          <w:rFonts w:ascii="Century" w:hAnsi="Century" w:cs="Big Caslon Medium"/>
          <w:sz w:val="22"/>
          <w:szCs w:val="22"/>
          <w:lang w:val="en-US"/>
        </w:rPr>
      </w:pPr>
      <w:r w:rsidRPr="00F414EA">
        <w:rPr>
          <w:rFonts w:ascii="Century" w:hAnsi="Century" w:cs="Big Caslon Medium"/>
          <w:sz w:val="22"/>
          <w:szCs w:val="22"/>
          <w:lang w:val="en-US"/>
        </w:rPr>
        <w:t>P</w:t>
      </w:r>
      <w:r w:rsidR="007778B4" w:rsidRPr="00F414EA">
        <w:rPr>
          <w:rFonts w:ascii="Century" w:hAnsi="Century" w:cs="Big Caslon Medium"/>
          <w:sz w:val="22"/>
          <w:szCs w:val="22"/>
          <w:lang w:val="en-US"/>
        </w:rPr>
        <w:t>3</w:t>
      </w:r>
      <w:r w:rsidRPr="00F414EA">
        <w:rPr>
          <w:rFonts w:ascii="Century" w:hAnsi="Century" w:cs="Big Caslon Medium"/>
          <w:sz w:val="22"/>
          <w:szCs w:val="22"/>
          <w:lang w:val="en-US"/>
        </w:rPr>
        <w:t>: Firms' valuation depends on the present value of expected cash flows discounted at the expected rate of return. </w:t>
      </w:r>
    </w:p>
    <w:p w14:paraId="1F25A97D" w14:textId="46E906BD" w:rsidR="008E074F" w:rsidRPr="00F414EA" w:rsidRDefault="008E074F" w:rsidP="008E074F">
      <w:pPr>
        <w:spacing w:line="264" w:lineRule="auto"/>
        <w:jc w:val="both"/>
        <w:rPr>
          <w:rFonts w:ascii="Century" w:hAnsi="Century" w:cs="Big Caslon Medium"/>
          <w:sz w:val="22"/>
          <w:szCs w:val="22"/>
          <w:lang w:val="en-US"/>
        </w:rPr>
      </w:pPr>
      <w:r w:rsidRPr="00F414EA">
        <w:rPr>
          <w:rFonts w:ascii="Century" w:hAnsi="Century" w:cs="Big Caslon Medium"/>
          <w:sz w:val="22"/>
          <w:szCs w:val="22"/>
          <w:lang w:val="en-US"/>
        </w:rPr>
        <w:t>P</w:t>
      </w:r>
      <w:r w:rsidR="007778B4" w:rsidRPr="00F414EA">
        <w:rPr>
          <w:rFonts w:ascii="Century" w:hAnsi="Century" w:cs="Big Caslon Medium"/>
          <w:sz w:val="22"/>
          <w:szCs w:val="22"/>
          <w:lang w:val="en-US"/>
        </w:rPr>
        <w:t>4</w:t>
      </w:r>
      <w:r w:rsidRPr="00F414EA">
        <w:rPr>
          <w:rFonts w:ascii="Century" w:hAnsi="Century" w:cs="Big Caslon Medium"/>
          <w:sz w:val="22"/>
          <w:szCs w:val="22"/>
          <w:lang w:val="en-US"/>
        </w:rPr>
        <w:t xml:space="preserve">: By substituting </w:t>
      </w:r>
      <w:r w:rsidR="00EF5FEA"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with Generative AI to save costs or complementing </w:t>
      </w:r>
      <w:r w:rsidR="007778B4" w:rsidRPr="00F414EA">
        <w:rPr>
          <w:rFonts w:ascii="Century" w:hAnsi="Century" w:cs="Big Caslon Medium"/>
          <w:sz w:val="22"/>
          <w:szCs w:val="22"/>
          <w:lang w:val="en-US"/>
        </w:rPr>
        <w:t>labor</w:t>
      </w:r>
      <w:r w:rsidRPr="00F414EA">
        <w:rPr>
          <w:rFonts w:ascii="Century" w:hAnsi="Century" w:cs="Big Caslon Medium"/>
          <w:sz w:val="22"/>
          <w:szCs w:val="22"/>
          <w:lang w:val="en-US"/>
        </w:rPr>
        <w:t>, Generative AI improves productivity.</w:t>
      </w:r>
    </w:p>
    <w:p w14:paraId="55B7068F" w14:textId="69837663" w:rsidR="007778B4" w:rsidRPr="00F414EA" w:rsidRDefault="007778B4" w:rsidP="008E074F">
      <w:pPr>
        <w:spacing w:line="264" w:lineRule="auto"/>
        <w:jc w:val="both"/>
        <w:rPr>
          <w:rFonts w:ascii="Century" w:hAnsi="Century" w:cs="Big Caslon Medium"/>
          <w:sz w:val="22"/>
          <w:szCs w:val="22"/>
          <w:lang w:val="en-US"/>
        </w:rPr>
      </w:pPr>
      <w:r w:rsidRPr="00F414EA">
        <w:rPr>
          <w:rFonts w:ascii="Century" w:hAnsi="Century" w:cs="Big Caslon Medium"/>
          <w:sz w:val="22"/>
          <w:szCs w:val="22"/>
          <w:lang w:val="en-US"/>
        </w:rPr>
        <w:t>P5: Firms with greater workforce exposure have greater opportunities to obtain benefits from the use of Generative AI.</w:t>
      </w:r>
    </w:p>
    <w:p w14:paraId="2CD1EE2A" w14:textId="084EFCC8" w:rsidR="007778B4" w:rsidRPr="00F414EA" w:rsidRDefault="007778B4" w:rsidP="008E074F">
      <w:pPr>
        <w:spacing w:after="160" w:line="264" w:lineRule="auto"/>
        <w:jc w:val="both"/>
        <w:rPr>
          <w:rFonts w:ascii="Century" w:hAnsi="Century" w:cs="Big Caslon Medium"/>
          <w:sz w:val="22"/>
          <w:szCs w:val="22"/>
          <w:lang w:val="en-US"/>
        </w:rPr>
      </w:pPr>
      <w:r w:rsidRPr="00F414EA">
        <w:rPr>
          <w:rFonts w:ascii="Century" w:hAnsi="Century" w:cs="Big Caslon Medium"/>
          <w:sz w:val="22"/>
          <w:szCs w:val="22"/>
          <w:lang w:val="en-US"/>
        </w:rPr>
        <w:t>A1: Investors incorporate new information into stock prices based on their belief in the firm's expected cash flows by seeing the potential of the firm’s productivity. </w:t>
      </w:r>
    </w:p>
    <w:p w14:paraId="02E3E08E" w14:textId="095B06BF" w:rsidR="008E074F" w:rsidRPr="00F414EA" w:rsidRDefault="007778B4" w:rsidP="008E074F">
      <w:pPr>
        <w:spacing w:after="160" w:line="264" w:lineRule="auto"/>
        <w:jc w:val="both"/>
        <w:rPr>
          <w:rFonts w:ascii="Century" w:hAnsi="Century" w:cs="Big Caslon Medium"/>
          <w:sz w:val="22"/>
          <w:szCs w:val="22"/>
          <w:lang w:val="en-US"/>
        </w:rPr>
      </w:pPr>
      <w:r w:rsidRPr="00F414EA">
        <w:rPr>
          <w:rFonts w:ascii="Century" w:hAnsi="Century" w:cs="Big Caslon Medium"/>
          <w:sz w:val="22"/>
          <w:szCs w:val="22"/>
          <w:lang w:val="en-US"/>
        </w:rPr>
        <w:t>A2</w:t>
      </w:r>
      <w:r w:rsidR="008E074F" w:rsidRPr="00F414EA">
        <w:rPr>
          <w:rFonts w:ascii="Century" w:hAnsi="Century" w:cs="Big Caslon Medium"/>
          <w:sz w:val="22"/>
          <w:szCs w:val="22"/>
          <w:lang w:val="en-US"/>
        </w:rPr>
        <w:t>: Generative AI benefits are higher than implementation costs.  </w:t>
      </w:r>
    </w:p>
    <w:p w14:paraId="71458DB0" w14:textId="20BD976A" w:rsidR="00484F90" w:rsidRPr="00F414EA" w:rsidRDefault="007778B4" w:rsidP="006964EF">
      <w:pPr>
        <w:spacing w:after="160" w:line="264" w:lineRule="auto"/>
        <w:jc w:val="both"/>
        <w:rPr>
          <w:rFonts w:ascii="Century" w:hAnsi="Century" w:cs="Big Caslon Medium"/>
          <w:sz w:val="22"/>
          <w:szCs w:val="22"/>
          <w:lang w:val="en-US"/>
        </w:rPr>
      </w:pPr>
      <w:r w:rsidRPr="00F414EA">
        <w:rPr>
          <w:rFonts w:ascii="Century" w:hAnsi="Century" w:cs="Big Caslon Medium"/>
          <w:sz w:val="22"/>
          <w:szCs w:val="22"/>
          <w:lang w:val="en-US"/>
        </w:rPr>
        <w:t>A3</w:t>
      </w:r>
      <w:r w:rsidR="008E074F" w:rsidRPr="00F414EA">
        <w:rPr>
          <w:rFonts w:ascii="Century" w:hAnsi="Century" w:cs="Big Caslon Medium"/>
          <w:sz w:val="22"/>
          <w:szCs w:val="22"/>
          <w:lang w:val="en-US"/>
        </w:rPr>
        <w:t>: After the release of Generative AI, the discount rate remains unchanged, but future cash flows are expected to be higher than before the release.</w:t>
      </w:r>
    </w:p>
    <w:p w14:paraId="773F0D67" w14:textId="490044AF" w:rsidR="000657C9" w:rsidRPr="00F414EA" w:rsidRDefault="008E074F" w:rsidP="00DD10AD">
      <w:pPr>
        <w:keepNext/>
        <w:spacing w:before="320" w:after="160" w:line="360" w:lineRule="auto"/>
        <w:outlineLvl w:val="1"/>
        <w:rPr>
          <w:rFonts w:ascii="Century" w:hAnsi="Century" w:cs="Calibri"/>
          <w:color w:val="000000"/>
          <w:sz w:val="22"/>
          <w:szCs w:val="22"/>
          <w:lang w:val="en-US"/>
        </w:rPr>
      </w:pPr>
      <w:r w:rsidRPr="00F414EA">
        <w:rPr>
          <w:rFonts w:ascii="Century" w:hAnsi="Century" w:cs="Calibri"/>
          <w:color w:val="000000"/>
          <w:sz w:val="22"/>
          <w:szCs w:val="22"/>
          <w:lang w:val="en-US"/>
        </w:rPr>
        <w:t>1.2 The Measure</w:t>
      </w:r>
    </w:p>
    <w:p w14:paraId="02B5150C" w14:textId="77777777" w:rsidR="003C7BB5" w:rsidRPr="00F414EA" w:rsidRDefault="008E074F" w:rsidP="003C7BB5">
      <w:pPr>
        <w:spacing w:after="160" w:line="360" w:lineRule="auto"/>
        <w:ind w:firstLine="708"/>
        <w:jc w:val="both"/>
        <w:rPr>
          <w:rFonts w:ascii="Century" w:hAnsi="Century" w:cs="Big Caslon Medium"/>
          <w:sz w:val="22"/>
          <w:szCs w:val="22"/>
          <w:lang w:val="en-US"/>
        </w:rPr>
      </w:pPr>
      <w:r w:rsidRPr="00F414EA">
        <w:rPr>
          <w:rFonts w:ascii="Century" w:hAnsi="Century" w:cs="Big Caslon Medium"/>
          <w:sz w:val="22"/>
          <w:szCs w:val="22"/>
          <w:lang w:val="en-US"/>
        </w:rPr>
        <w:t xml:space="preserve">To measure the exposure of firms’ workforce to Generative AI, the authors use a bottom-up framework that aggregates data across three levels: tasks, occupations, and firm level.  The process begins with individual work tasks from the O*Net database, which </w:t>
      </w:r>
      <w:r w:rsidRPr="00F414EA">
        <w:rPr>
          <w:rFonts w:ascii="Century" w:hAnsi="Century" w:cs="Big Caslon Medium"/>
          <w:sz w:val="22"/>
          <w:szCs w:val="22"/>
          <w:lang w:val="en-US"/>
        </w:rPr>
        <w:lastRenderedPageBreak/>
        <w:t>describes 19,265 task statements across U.S. occupations. Using OpenAI’s GPT-3.5 Turbo model as a research assistant, the authors evaluate each task against a fixed rubric of Large Language Model (LLM) capabilities. A task receives a score of 1.0 (direct exposure) if ChatGPT alone is able to cut the completion time by at least half while task quality remains equivalent. It receives a score of 0.5 (indirect exposure) if ChatGPT alone is not enough, but with additional software built on top of LLMs it can achieve that time saving and equivalent quality. In all other cases, it receives a score of 0 (no exposure). This step rests on four assumptions.</w:t>
      </w:r>
    </w:p>
    <w:p w14:paraId="767DCA09" w14:textId="1086DC49" w:rsidR="003B234B" w:rsidRDefault="008E074F" w:rsidP="00D11C44">
      <w:pPr>
        <w:spacing w:after="160" w:line="360" w:lineRule="auto"/>
        <w:ind w:firstLine="708"/>
        <w:jc w:val="both"/>
        <w:rPr>
          <w:rFonts w:ascii="Century" w:hAnsi="Century" w:cs="Big Caslon Medium"/>
          <w:sz w:val="22"/>
          <w:szCs w:val="22"/>
          <w:lang w:val="en-US"/>
        </w:rPr>
      </w:pPr>
      <w:r w:rsidRPr="00F414EA">
        <w:rPr>
          <w:rFonts w:ascii="Century" w:hAnsi="Century" w:cs="Big Caslon Medium"/>
          <w:sz w:val="22"/>
          <w:szCs w:val="22"/>
          <w:lang w:val="en-US"/>
        </w:rPr>
        <w:t xml:space="preserve">First, a time reduction of at least 50% with the same quality is a meaningful threshold for exposure. Second, quality is equivalent when an outside reviewer cannot tell whether a human worked alone or with the help of LLMs. Third, GPT-3.5 Turbo is able to reliably assign tasks to a predefined rubric rather than having to predict its own future capabilities. Fourth, the 0.5 weight for indirect exposure fairly reflects the additional development effort and slower adoption involved with additional software usage. Next, the task scores are aggregated into occupations. For each 8-digit O*Net occupation, exposure is computed as the simple average score of all tasks in that occupation. These are then averaged across sub-codes to match 6-digit Standard Occupational Classification (SOC) codes. Here, the authors assume that an occupation can be treated as a portfolio of separable tasks, and that every task contributes equally toward its baseline occupational exposure score. In mechanism tests, they also separate tasks into core (central duties) and supplemental tasks (secondary duties). This split assumes that exposure in core tasks drives substitution, meaning cost savings and possible job displacement, while exposure in supplemental tasks drives complementarity, as it frees time for workers’ main duties. </w:t>
      </w:r>
      <w:r w:rsidR="00F70213" w:rsidRPr="00F414EA">
        <w:rPr>
          <w:rFonts w:ascii="Century" w:hAnsi="Century" w:cs="Big Caslon Medium"/>
          <w:sz w:val="22"/>
          <w:szCs w:val="22"/>
          <w:lang w:val="en-US"/>
        </w:rPr>
        <w:t xml:space="preserve"> </w:t>
      </w:r>
      <w:r w:rsidRPr="00F414EA">
        <w:rPr>
          <w:rFonts w:ascii="Century" w:hAnsi="Century" w:cs="Big Caslon Medium"/>
          <w:sz w:val="22"/>
          <w:szCs w:val="22"/>
          <w:lang w:val="en-US"/>
        </w:rPr>
        <w:t>Finally, the occupation scores are linked to publicly traded firms. Using online resume and profile data from Revelio Labs, the authors calculate what share of each firm’s headcount belongs to each 6-digit SOC occupation. A firm’s overall workforce exposure is calculated as the weighted average of its occupations’ exposure scores, weighted by each occupation’s employment share within the firm. This step involves three assumptions. The first is that the publicly available resume and online profile data accurately represent the real occupational employment mix of public companies. The second is that workers in the same occupation perform the same mix of tasks regardless of the firm they are employed in. The third is that exposure is linear in headcount shares, so that the number of employees in an occupation reflects how important it is to the firm’s operations. </w:t>
      </w:r>
    </w:p>
    <w:p w14:paraId="237E3CC7" w14:textId="77777777" w:rsidR="00632153" w:rsidRPr="00F414EA" w:rsidRDefault="00632153" w:rsidP="00D11C44">
      <w:pPr>
        <w:spacing w:after="160" w:line="360" w:lineRule="auto"/>
        <w:ind w:firstLine="708"/>
        <w:jc w:val="both"/>
        <w:rPr>
          <w:rFonts w:ascii="Century" w:hAnsi="Century" w:cs="Big Caslon Medium"/>
          <w:sz w:val="22"/>
          <w:szCs w:val="22"/>
          <w:lang w:val="en-US"/>
        </w:rPr>
      </w:pPr>
    </w:p>
    <w:p w14:paraId="7ED25364" w14:textId="2AA018E0" w:rsidR="008708D0" w:rsidRPr="00F414EA" w:rsidRDefault="008E074F" w:rsidP="00DD10AD">
      <w:pPr>
        <w:spacing w:before="320" w:after="160" w:line="360" w:lineRule="auto"/>
        <w:outlineLvl w:val="1"/>
        <w:rPr>
          <w:rFonts w:ascii="Century" w:hAnsi="Century" w:cs="Calibri"/>
          <w:color w:val="000000"/>
          <w:sz w:val="22"/>
          <w:szCs w:val="22"/>
          <w:lang w:val="en-US"/>
        </w:rPr>
      </w:pPr>
      <w:r w:rsidRPr="00F414EA">
        <w:rPr>
          <w:rFonts w:ascii="Century" w:hAnsi="Century" w:cs="Calibri"/>
          <w:color w:val="000000"/>
          <w:sz w:val="22"/>
          <w:szCs w:val="22"/>
          <w:lang w:val="en-US"/>
        </w:rPr>
        <w:lastRenderedPageBreak/>
        <w:t>1.3 Results</w:t>
      </w:r>
    </w:p>
    <w:p w14:paraId="34CAFADA" w14:textId="77777777" w:rsidR="00352965" w:rsidRPr="00F414EA" w:rsidRDefault="008E074F" w:rsidP="00352965">
      <w:pPr>
        <w:spacing w:after="160" w:line="360" w:lineRule="auto"/>
        <w:ind w:firstLine="360"/>
        <w:jc w:val="both"/>
        <w:rPr>
          <w:rFonts w:ascii="Century" w:hAnsi="Century" w:cs="Big Caslon Medium"/>
          <w:sz w:val="22"/>
          <w:szCs w:val="22"/>
          <w:lang w:val="en-US"/>
        </w:rPr>
      </w:pPr>
      <w:r w:rsidRPr="00F414EA">
        <w:rPr>
          <w:rFonts w:ascii="Century" w:hAnsi="Century" w:cs="Big Caslon Medium"/>
          <w:sz w:val="22"/>
          <w:szCs w:val="22"/>
          <w:lang w:val="en-US"/>
        </w:rPr>
        <w:t>The main result of the paper is that firms with workforces highly exposed to Generative AI experienced a significant relative increase in market value after ChatGPT was released on November 30, 2022. The authors build an "Artificial-Minus-Human" (AMH) portfolio that goes long on the highest-exposure quintile of firms and short on the lowest-exposure quintile. Over the two-week event window, it earned an abnormal return of about 5%, or 0.45% per day. The results also show that this effect is not just about companies selling AI products or hardware. The AMH return stays large and statistically significant when sorting within specific industries, when excluding the technology sector, and when controlling for several direct measures of product-market AI exposure. Furthermore, the paper demonstrates that the positive firm-value effect is significantly stronger for firms with more proprietary data assets or better data-management capabilities, enabling them to better integrate Generative AI into their operations. </w:t>
      </w:r>
      <w:r w:rsidR="00352965" w:rsidRPr="00F414EA">
        <w:rPr>
          <w:rFonts w:ascii="Century" w:hAnsi="Century" w:cs="Big Caslon Medium"/>
          <w:sz w:val="22"/>
          <w:szCs w:val="22"/>
          <w:lang w:val="en-US"/>
        </w:rPr>
        <w:t xml:space="preserve"> </w:t>
      </w:r>
      <w:r w:rsidRPr="00F414EA">
        <w:rPr>
          <w:rFonts w:ascii="Century" w:hAnsi="Century" w:cs="Big Caslon Medium"/>
          <w:sz w:val="22"/>
          <w:szCs w:val="22"/>
          <w:lang w:val="en-US"/>
        </w:rPr>
        <w:t xml:space="preserve">Beyond documenting the effect on firm value, the authors investigate the reasons why it changed. Specifically, they test whether the revaluation came from expected cash flow growth through </w:t>
      </w:r>
      <w:r w:rsidR="0081548B"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cost savings (substitution), from worker empowerment (complementarity), or from other channels such as revenue growth or changes in the discount rate. </w:t>
      </w:r>
    </w:p>
    <w:p w14:paraId="45416826" w14:textId="24668E82" w:rsidR="00AC4E2B" w:rsidRDefault="008E074F" w:rsidP="00D11C44">
      <w:pPr>
        <w:spacing w:after="160" w:line="360" w:lineRule="auto"/>
        <w:ind w:firstLine="708"/>
        <w:jc w:val="both"/>
        <w:rPr>
          <w:rFonts w:ascii="Century" w:hAnsi="Century" w:cs="Big Caslon Medium"/>
          <w:sz w:val="22"/>
          <w:szCs w:val="22"/>
          <w:lang w:val="en-US"/>
        </w:rPr>
      </w:pPr>
      <w:r w:rsidRPr="00F414EA">
        <w:rPr>
          <w:rFonts w:ascii="Century" w:hAnsi="Century" w:cs="Big Caslon Medium"/>
          <w:sz w:val="22"/>
          <w:szCs w:val="22"/>
          <w:lang w:val="en-US"/>
        </w:rPr>
        <w:t xml:space="preserve">First, after ChatGPT's release, analysts raised their short- and long-term earnings forecasts significantly more for high-exposure firms. A one-standard-deviation increase in exposure meant a 1.8% higher update in EPS forecasts, which is similar in size to the stock return effect. These firms also showed higher realized gross profitability. In contrast, neither forecasted nor realized revenues responded significantly, so the gains seem to come from cost savings rather than a demand boom. Second, firms' hiring </w:t>
      </w:r>
      <w:r w:rsidR="000606A4" w:rsidRPr="00F414EA">
        <w:rPr>
          <w:rFonts w:ascii="Century" w:hAnsi="Century" w:cs="Big Caslon Medium"/>
          <w:sz w:val="22"/>
          <w:szCs w:val="22"/>
          <w:lang w:val="en-US"/>
        </w:rPr>
        <w:t>behavior</w:t>
      </w:r>
      <w:r w:rsidRPr="00F414EA">
        <w:rPr>
          <w:rFonts w:ascii="Century" w:hAnsi="Century" w:cs="Big Caslon Medium"/>
          <w:sz w:val="22"/>
          <w:szCs w:val="22"/>
          <w:lang w:val="en-US"/>
        </w:rPr>
        <w:t xml:space="preserve"> supports this interpretation. Highly exposed firms cut job postings for exposed occupations by about 11% and reduced overall headcount in those roles, while across the broader economy, exposed occupations saw job postings fall by 8% and wages drop relatively. </w:t>
      </w:r>
      <w:r w:rsidR="00352965" w:rsidRPr="00F414EA">
        <w:rPr>
          <w:rFonts w:ascii="Century" w:hAnsi="Century" w:cs="Big Caslon Medium"/>
          <w:sz w:val="22"/>
          <w:szCs w:val="22"/>
          <w:lang w:val="en-US"/>
        </w:rPr>
        <w:t xml:space="preserve"> </w:t>
      </w:r>
      <w:r w:rsidRPr="00F414EA">
        <w:rPr>
          <w:rFonts w:ascii="Century" w:hAnsi="Century" w:cs="Big Caslon Medium"/>
          <w:sz w:val="22"/>
          <w:szCs w:val="22"/>
          <w:lang w:val="en-US"/>
        </w:rPr>
        <w:t xml:space="preserve">Finally, the core versus supplemental split separates substitution from complementarity. Occupations exposed primarily through core tasks, such as proofreaders or web developers, saw sharply lower </w:t>
      </w:r>
      <w:r w:rsidR="00DD23EB" w:rsidRPr="00F414EA">
        <w:rPr>
          <w:rFonts w:ascii="Century" w:hAnsi="Century" w:cs="Big Caslon Medium"/>
          <w:sz w:val="22"/>
          <w:szCs w:val="22"/>
          <w:lang w:val="en-US"/>
        </w:rPr>
        <w:t>labor</w:t>
      </w:r>
      <w:r w:rsidRPr="00F414EA">
        <w:rPr>
          <w:rFonts w:ascii="Century" w:hAnsi="Century" w:cs="Big Caslon Medium"/>
          <w:sz w:val="22"/>
          <w:szCs w:val="22"/>
          <w:lang w:val="en-US"/>
        </w:rPr>
        <w:t xml:space="preserve"> demand and 1.4% lower wages, while those exposed through supplemental tasks, such as architects or financial managers, experienced positive effects. Since the value increase was concentrated in core-task exposure, the authors conclude that labor substitution was the main driver.</w:t>
      </w:r>
    </w:p>
    <w:p w14:paraId="1DDDE235" w14:textId="77777777" w:rsidR="00766435" w:rsidRPr="00F414EA" w:rsidRDefault="00766435" w:rsidP="00D11C44">
      <w:pPr>
        <w:spacing w:after="160" w:line="360" w:lineRule="auto"/>
        <w:ind w:firstLine="708"/>
        <w:jc w:val="both"/>
        <w:rPr>
          <w:rFonts w:ascii="Century" w:hAnsi="Century" w:cs="Big Caslon Medium"/>
          <w:sz w:val="22"/>
          <w:szCs w:val="22"/>
          <w:lang w:val="en-US"/>
        </w:rPr>
      </w:pPr>
    </w:p>
    <w:p w14:paraId="02CB14EE" w14:textId="2A3E4353" w:rsidR="008E074F" w:rsidRPr="00F414EA" w:rsidRDefault="00DE1564" w:rsidP="008E074F">
      <w:pPr>
        <w:pStyle w:val="PargrafodaLista"/>
        <w:numPr>
          <w:ilvl w:val="0"/>
          <w:numId w:val="2"/>
        </w:numPr>
        <w:spacing w:line="264" w:lineRule="auto"/>
        <w:jc w:val="center"/>
        <w:rPr>
          <w:rFonts w:ascii="Century" w:hAnsi="Century" w:cs="Big Caslon Medium"/>
          <w:sz w:val="18"/>
          <w:szCs w:val="18"/>
          <w:lang w:val="en-US"/>
        </w:rPr>
      </w:pPr>
      <w:r w:rsidRPr="00F414EA">
        <w:rPr>
          <w:rFonts w:ascii="Century" w:hAnsi="Century" w:cs="Big Caslon Medium"/>
          <w:sz w:val="18"/>
          <w:szCs w:val="18"/>
          <w:lang w:val="en-US"/>
        </w:rPr>
        <w:lastRenderedPageBreak/>
        <w:t>WHAT THE PAPER DOES NOT ANSWER</w:t>
      </w:r>
    </w:p>
    <w:p w14:paraId="379A37C4" w14:textId="31A62718" w:rsidR="00F405F5" w:rsidRPr="00F414EA" w:rsidRDefault="006964EF" w:rsidP="006964EF">
      <w:pPr>
        <w:spacing w:before="320" w:after="160" w:line="360" w:lineRule="auto"/>
        <w:outlineLvl w:val="1"/>
        <w:rPr>
          <w:rFonts w:ascii="Century" w:hAnsi="Century" w:cs="Calibri"/>
          <w:color w:val="000000"/>
          <w:sz w:val="22"/>
          <w:szCs w:val="22"/>
          <w:lang w:val="en-US"/>
        </w:rPr>
      </w:pPr>
      <w:r w:rsidRPr="00F414EA">
        <w:rPr>
          <w:rFonts w:ascii="Century" w:hAnsi="Century" w:cs="Calibri"/>
          <w:color w:val="000000"/>
          <w:sz w:val="22"/>
          <w:szCs w:val="22"/>
          <w:lang w:val="en-US"/>
        </w:rPr>
        <w:t>2.1 A Question the Paper Cannot Reach</w:t>
      </w:r>
    </w:p>
    <w:p w14:paraId="01C22DEB" w14:textId="77777777" w:rsidR="006964EF" w:rsidRPr="00F414EA" w:rsidRDefault="006964EF" w:rsidP="00860E3F">
      <w:pPr>
        <w:spacing w:after="160" w:line="360" w:lineRule="auto"/>
        <w:ind w:firstLine="708"/>
        <w:jc w:val="both"/>
        <w:rPr>
          <w:rFonts w:ascii="Century" w:hAnsi="Century"/>
          <w:sz w:val="22"/>
          <w:szCs w:val="22"/>
          <w:lang w:val="en-US"/>
        </w:rPr>
      </w:pPr>
      <w:r w:rsidRPr="00F414EA">
        <w:rPr>
          <w:rFonts w:ascii="Century" w:hAnsi="Century" w:cs="Calibri"/>
          <w:color w:val="000000"/>
          <w:sz w:val="22"/>
          <w:szCs w:val="22"/>
          <w:lang w:val="en-US"/>
        </w:rPr>
        <w:t>Eisfeldt et. all report a 5% estimate of the difference in cumulative abnormal returns post-ChatGPT between firms in the highest and the lowest quintiles of employee task exposure to Generative AI. Some of the paper length is owed to the complex construction of core and supplemental task exposure rates. The principal channel is labor exposure: workforce productivity gains under complementarity or cost-saving labor substitution affect the expected free cash in company fundamentals. The secondary channel is product value displacement by AI, or that products become at least in part obsolete with the development of AI, which is later observed to not be statistically significant from within-industry variation. Controls for market co-movements seem robust, with CAPM and Fama-French Five Factors Model returning significant alpha after the event period. In this section, we propose that these controls are correct, the channels well-identified, and that the unreversed valuation difference is correctly attributed to the GenAI technological shock.</w:t>
      </w:r>
    </w:p>
    <w:p w14:paraId="116846BC" w14:textId="77777777" w:rsidR="006964EF" w:rsidRPr="00F414EA" w:rsidRDefault="006964EF" w:rsidP="00860E3F">
      <w:pPr>
        <w:spacing w:after="160" w:line="360" w:lineRule="auto"/>
        <w:ind w:firstLine="708"/>
        <w:jc w:val="both"/>
        <w:rPr>
          <w:rFonts w:ascii="Century" w:hAnsi="Century"/>
          <w:sz w:val="22"/>
          <w:szCs w:val="22"/>
          <w:lang w:val="en-US"/>
        </w:rPr>
      </w:pPr>
      <w:r w:rsidRPr="00F414EA">
        <w:rPr>
          <w:rFonts w:ascii="Century" w:hAnsi="Century" w:cs="Calibri"/>
          <w:color w:val="000000"/>
          <w:sz w:val="22"/>
          <w:szCs w:val="22"/>
          <w:lang w:val="en-US"/>
        </w:rPr>
        <w:t xml:space="preserve">This comment concerns a question the paper cannot reach, under the umbrella of the issue raised in section II’s "One concern might be that our results are driven by firms’ differential exposures to risk factors" . We will reframe the main estimate: </w:t>
      </w:r>
      <w:r w:rsidRPr="00F414EA">
        <w:rPr>
          <w:rFonts w:ascii="Century" w:hAnsi="Century" w:cs="Calibri"/>
          <w:i/>
          <w:iCs/>
          <w:color w:val="000000"/>
          <w:sz w:val="22"/>
          <w:szCs w:val="22"/>
          <w:lang w:val="en-US"/>
        </w:rPr>
        <w:t>the highest quintile of firms in AI task exposure earned a 5% premium over the lowest in the two weeks after ChatGPT is introduced</w:t>
      </w:r>
      <w:r w:rsidRPr="00F414EA">
        <w:rPr>
          <w:rFonts w:ascii="Century" w:hAnsi="Century" w:cs="Calibri"/>
          <w:color w:val="000000"/>
          <w:sz w:val="22"/>
          <w:szCs w:val="22"/>
          <w:lang w:val="en-US"/>
        </w:rPr>
        <w:t xml:space="preserve"> – to the highest quintile of </w:t>
      </w:r>
      <w:r w:rsidRPr="00F414EA">
        <w:rPr>
          <w:rFonts w:ascii="Century" w:hAnsi="Century" w:cs="Calibri"/>
          <w:i/>
          <w:iCs/>
          <w:color w:val="000000"/>
          <w:sz w:val="22"/>
          <w:szCs w:val="22"/>
          <w:lang w:val="en-US"/>
        </w:rPr>
        <w:t xml:space="preserve">American public firms traded in the NYSE </w:t>
      </w:r>
      <w:r w:rsidRPr="00F414EA">
        <w:rPr>
          <w:rFonts w:ascii="Century" w:hAnsi="Century" w:cs="Calibri"/>
          <w:color w:val="000000"/>
          <w:sz w:val="22"/>
          <w:szCs w:val="22"/>
          <w:lang w:val="en-US"/>
        </w:rPr>
        <w:t xml:space="preserve"> in AI exposure earn a 5% </w:t>
      </w:r>
      <w:r w:rsidRPr="00F414EA">
        <w:rPr>
          <w:rFonts w:ascii="Century" w:hAnsi="Century" w:cs="Calibri"/>
          <w:i/>
          <w:iCs/>
          <w:color w:val="000000"/>
          <w:sz w:val="22"/>
          <w:szCs w:val="22"/>
          <w:lang w:val="en-US"/>
        </w:rPr>
        <w:t>cumulative abnormal return premium</w:t>
      </w:r>
      <w:r w:rsidRPr="00F414EA">
        <w:rPr>
          <w:rFonts w:ascii="Century" w:hAnsi="Century" w:cs="Calibri"/>
          <w:color w:val="000000"/>
          <w:sz w:val="22"/>
          <w:szCs w:val="22"/>
          <w:lang w:val="en-US"/>
        </w:rPr>
        <w:t xml:space="preserve"> in the two weeks after ChatGPT is </w:t>
      </w:r>
      <w:r w:rsidRPr="00F414EA">
        <w:rPr>
          <w:rFonts w:ascii="Century" w:hAnsi="Century" w:cs="Calibri"/>
          <w:i/>
          <w:iCs/>
          <w:color w:val="000000"/>
          <w:sz w:val="22"/>
          <w:szCs w:val="22"/>
          <w:lang w:val="en-US"/>
        </w:rPr>
        <w:t>announced,</w:t>
      </w:r>
      <w:r w:rsidRPr="00F414EA">
        <w:rPr>
          <w:rFonts w:ascii="Century" w:hAnsi="Century" w:cs="Calibri"/>
          <w:color w:val="000000"/>
          <w:sz w:val="22"/>
          <w:szCs w:val="22"/>
          <w:lang w:val="en-US"/>
        </w:rPr>
        <w:t xml:space="preserve"> where there is </w:t>
      </w:r>
      <w:r w:rsidRPr="00F414EA">
        <w:rPr>
          <w:rFonts w:ascii="Century" w:hAnsi="Century" w:cs="Calibri"/>
          <w:i/>
          <w:iCs/>
          <w:color w:val="000000"/>
          <w:sz w:val="22"/>
          <w:szCs w:val="22"/>
          <w:lang w:val="en-US"/>
        </w:rPr>
        <w:t>media activity</w:t>
      </w:r>
      <w:r w:rsidRPr="00F414EA">
        <w:rPr>
          <w:rFonts w:ascii="Century" w:hAnsi="Century" w:cs="Calibri"/>
          <w:color w:val="000000"/>
          <w:sz w:val="22"/>
          <w:szCs w:val="22"/>
          <w:lang w:val="en-US"/>
        </w:rPr>
        <w:t xml:space="preserve"> </w:t>
      </w:r>
      <w:r w:rsidRPr="00F414EA">
        <w:rPr>
          <w:rFonts w:ascii="Century" w:hAnsi="Century" w:cs="Calibri"/>
          <w:i/>
          <w:iCs/>
          <w:color w:val="000000"/>
          <w:sz w:val="22"/>
          <w:szCs w:val="22"/>
          <w:lang w:val="en-US"/>
        </w:rPr>
        <w:t xml:space="preserve">on Twitter around ChatGPT. </w:t>
      </w:r>
      <w:r w:rsidRPr="00F414EA">
        <w:rPr>
          <w:rFonts w:ascii="Century" w:hAnsi="Century" w:cs="Calibri"/>
          <w:color w:val="000000"/>
          <w:sz w:val="22"/>
          <w:szCs w:val="22"/>
          <w:lang w:val="en-US"/>
        </w:rPr>
        <w:t xml:space="preserve">What the paper never gets to do is check on the momentum factor, which is also available from the Ken French website data source, i.e., </w:t>
      </w:r>
      <w:r w:rsidRPr="00F414EA">
        <w:rPr>
          <w:rFonts w:ascii="Century" w:hAnsi="Century" w:cs="Calibri"/>
          <w:i/>
          <w:iCs/>
          <w:color w:val="000000"/>
          <w:sz w:val="22"/>
          <w:szCs w:val="22"/>
          <w:lang w:val="en-US"/>
        </w:rPr>
        <w:t>are the firms winning and losing after the release of ChatGPT firms that were winning and losing already</w:t>
      </w:r>
      <w:r w:rsidRPr="00F414EA">
        <w:rPr>
          <w:rFonts w:ascii="Century" w:hAnsi="Century" w:cs="Calibri"/>
          <w:color w:val="000000"/>
          <w:sz w:val="22"/>
          <w:szCs w:val="22"/>
          <w:lang w:val="en-US"/>
        </w:rPr>
        <w:t xml:space="preserve">? Probably not, from the breakdown of momentum in the period, which changes signs from negative to positive. The exclusion of momentum actually seems deliberate. There is large negative momentum from the standard previous 12-month window, lagged a month, i.e., ending a month prior to the release of ChatGPT. This momentum seems to reverse around the exact critical period. Markets have no memory, and people aren't any better, so we might want to remember what macroeconomic events we were struggling with at the time. The war in Ukraine, leading to the largest energy shock in Europe since the 1970s and intervention in the energy markets. Persistent inflation and rising public debt across the OECD as we were finally exiting the COVID-19 pandemic. Market interventions and central bank </w:t>
      </w:r>
      <w:r w:rsidRPr="00F414EA">
        <w:rPr>
          <w:rFonts w:ascii="Century" w:hAnsi="Century" w:cs="Calibri"/>
          <w:color w:val="000000"/>
          <w:sz w:val="22"/>
          <w:szCs w:val="22"/>
          <w:lang w:val="en-US"/>
        </w:rPr>
        <w:lastRenderedPageBreak/>
        <w:t>actions, plus the gradual recovery of consumer demand and the explosion of post-pandemic travel and tourism (due to accumulated savings), might have a large positive effect on stock returns (reversing negative momentum), which is confounded by the exposure factor when uncontrolled for. Evidence on the momentum factor, possibly including work on the causal effect of the event period in the change in momentum - against, for example, public interest rate and CPI news – is a miss. A regression discontinuity on the value of momentum around the critical period, which is persistent except for breakdowns, would help to settle the question. So what the paper never actually reaches is the causal explanation of the momentum reversal, which itself is never identified, i.e., is</w:t>
      </w:r>
      <w:r w:rsidRPr="00F414EA">
        <w:rPr>
          <w:rFonts w:ascii="Century" w:hAnsi="Century" w:cs="Calibri"/>
          <w:i/>
          <w:iCs/>
          <w:color w:val="000000"/>
          <w:sz w:val="22"/>
          <w:szCs w:val="22"/>
          <w:lang w:val="en-US"/>
        </w:rPr>
        <w:t xml:space="preserve"> the change in the momentum observed in the 12-month prior attributable to the release of ChatGPT, or to other events, including macroeconomic ones?</w:t>
      </w:r>
    </w:p>
    <w:p w14:paraId="686E5886" w14:textId="77777777" w:rsidR="006964EF" w:rsidRPr="00F414EA" w:rsidRDefault="006964EF" w:rsidP="006964EF">
      <w:pPr>
        <w:spacing w:before="320" w:after="160" w:line="360" w:lineRule="auto"/>
        <w:outlineLvl w:val="1"/>
        <w:rPr>
          <w:rFonts w:ascii="Century" w:hAnsi="Century"/>
          <w:sz w:val="22"/>
          <w:szCs w:val="22"/>
          <w:lang w:val="en-US"/>
        </w:rPr>
      </w:pPr>
      <w:r w:rsidRPr="00F414EA">
        <w:rPr>
          <w:rFonts w:ascii="Century" w:hAnsi="Century" w:cs="Calibri"/>
          <w:color w:val="000000"/>
          <w:sz w:val="22"/>
          <w:szCs w:val="22"/>
          <w:lang w:val="en-US"/>
        </w:rPr>
        <w:t>2.2 A Reason the Reported Estimate Might Mislead</w:t>
      </w:r>
    </w:p>
    <w:p w14:paraId="7C7F9EFA" w14:textId="4A61D63E" w:rsidR="006964EF" w:rsidRPr="00F414EA" w:rsidRDefault="006964EF" w:rsidP="00710ACE">
      <w:pPr>
        <w:spacing w:before="280" w:after="280" w:line="360" w:lineRule="auto"/>
        <w:ind w:firstLine="360"/>
        <w:jc w:val="both"/>
        <w:rPr>
          <w:rFonts w:ascii="Century" w:hAnsi="Century"/>
          <w:sz w:val="22"/>
          <w:szCs w:val="22"/>
          <w:lang w:val="en-US"/>
        </w:rPr>
      </w:pPr>
      <w:r w:rsidRPr="00F414EA">
        <w:rPr>
          <w:rFonts w:ascii="Century" w:hAnsi="Century" w:cs="Calibri"/>
          <w:color w:val="000000"/>
          <w:sz w:val="22"/>
          <w:szCs w:val="22"/>
          <w:lang w:val="en-US"/>
        </w:rPr>
        <w:t xml:space="preserve">The window used to measure the reaction to ChatGPT, November 30 to December 14, 2022, also contains two of the most closely watched macro events of the quarter, which raises the question of </w:t>
      </w:r>
      <w:r w:rsidRPr="00F414EA">
        <w:rPr>
          <w:rFonts w:ascii="Century" w:hAnsi="Century" w:cs="Calibri"/>
          <w:i/>
          <w:iCs/>
          <w:color w:val="000000"/>
          <w:sz w:val="22"/>
          <w:szCs w:val="22"/>
          <w:lang w:val="en-US"/>
        </w:rPr>
        <w:t>whether the reported AMH return is partly driven by this scheduled news rather than by the release of ChatGPT itself</w:t>
      </w:r>
      <w:r w:rsidRPr="00F414EA">
        <w:rPr>
          <w:rFonts w:ascii="Century" w:hAnsi="Century" w:cs="Calibri"/>
          <w:color w:val="000000"/>
          <w:sz w:val="22"/>
          <w:szCs w:val="22"/>
          <w:lang w:val="en-US"/>
        </w:rPr>
        <w:t>. On December 13, a softer-than-expected November CPI print (7.1% YoY vs. 7.3% consensus) drove yields down and the S&amp;P 500 up 0.73%. On December 14, the final day of the window, the FOMC raised rates by 50 basis points as expected, but J. Powell's hawkish remarks reversed the market, and the S&amp;P 500 closed down 0.61%.</w:t>
      </w:r>
      <w:r w:rsidR="00710ACE" w:rsidRPr="00F414EA">
        <w:rPr>
          <w:rFonts w:ascii="Century" w:hAnsi="Century"/>
          <w:sz w:val="22"/>
          <w:szCs w:val="22"/>
          <w:lang w:val="en-US"/>
        </w:rPr>
        <w:t xml:space="preserve"> </w:t>
      </w:r>
      <w:r w:rsidRPr="00F414EA">
        <w:rPr>
          <w:rFonts w:ascii="Century" w:hAnsi="Century" w:cs="Calibri"/>
          <w:color w:val="000000"/>
          <w:sz w:val="22"/>
          <w:szCs w:val="22"/>
          <w:lang w:val="en-US"/>
        </w:rPr>
        <w:t xml:space="preserve">Because the two shocks moved the aggregate market in opposite directions of similar magnitude, a simple "rates up, market down" story cannot explain the result: AMH is long-short and dollar-neutral, so a uniform market move is absorbed by construction and further stripped out by the CAPM and FF5 adjustments. The sharper concern is differential sensitivity. If high-exposure firms are disproportionately human-capital-intensive, growth-oriented businesses (consistent with the paper's own finding that exposure concentrates in IT and professional services rather than in tangible-asset sectors (Table III, Figure 4)), they plausibly carry higher valuation </w:t>
      </w:r>
      <w:r w:rsidR="00F013AD" w:rsidRPr="00F414EA">
        <w:rPr>
          <w:rFonts w:ascii="Century" w:hAnsi="Century" w:cs="Calibri"/>
          <w:color w:val="000000"/>
          <w:sz w:val="22"/>
          <w:szCs w:val="22"/>
          <w:lang w:val="en-US"/>
        </w:rPr>
        <w:t>duration and</w:t>
      </w:r>
      <w:r w:rsidRPr="00F414EA">
        <w:rPr>
          <w:rFonts w:ascii="Century" w:hAnsi="Century" w:cs="Calibri"/>
          <w:color w:val="000000"/>
          <w:sz w:val="22"/>
          <w:szCs w:val="22"/>
          <w:lang w:val="en-US"/>
        </w:rPr>
        <w:t xml:space="preserve"> would rally more on the dovish CPI day and fall more on the hawkish FOMC day. Whether these offsetting effects cancel out or leave a net bias is not resolved by the paper's controls, since none of the five Fama-French factors targets interest rate risk specifically.</w:t>
      </w:r>
    </w:p>
    <w:p w14:paraId="523C9411" w14:textId="5D034CD8" w:rsidR="006964EF" w:rsidRPr="00F414EA" w:rsidRDefault="006964EF" w:rsidP="00F8130C">
      <w:pPr>
        <w:spacing w:before="280" w:after="280" w:line="360" w:lineRule="auto"/>
        <w:ind w:firstLine="360"/>
        <w:jc w:val="both"/>
        <w:rPr>
          <w:rFonts w:ascii="Century" w:hAnsi="Century"/>
          <w:sz w:val="22"/>
          <w:szCs w:val="22"/>
          <w:lang w:val="en-US"/>
        </w:rPr>
      </w:pPr>
      <w:r w:rsidRPr="00F414EA">
        <w:rPr>
          <w:rFonts w:ascii="Century" w:hAnsi="Century" w:cs="Calibri"/>
          <w:color w:val="000000"/>
          <w:sz w:val="22"/>
          <w:szCs w:val="22"/>
          <w:lang w:val="en-US"/>
        </w:rPr>
        <w:t xml:space="preserve">The authors do not test this directly, but two appendix checks bear on it. Their one-week window (Table IA.5, Nov 29–Dec 7) ends before both events and yields a smaller but </w:t>
      </w:r>
      <w:r w:rsidRPr="00F414EA">
        <w:rPr>
          <w:rFonts w:ascii="Century" w:hAnsi="Century" w:cs="Calibri"/>
          <w:color w:val="000000"/>
          <w:sz w:val="22"/>
          <w:szCs w:val="22"/>
          <w:lang w:val="en-US"/>
        </w:rPr>
        <w:lastRenderedPageBreak/>
        <w:t>still significant FF5 alpha of 0.218%/day (t = 2.76), versus 0.350%/day (t = 3.85) over the full two weeks. Their three-week window (Table IA.6, to Dec 21) includes both events and yields 0.255%/day, smaller than the two-week estimate. Since these windows vary the number of ordinary trading days along with the presence of December 13–14, they cannot cleanly isolate the two dates. We test this directly in Section 4: isolating the AMH return on December 13</w:t>
      </w:r>
      <w:r w:rsidR="003262F5" w:rsidRPr="00F414EA">
        <w:rPr>
          <w:rFonts w:ascii="Century" w:hAnsi="Century" w:cs="Calibri"/>
          <w:color w:val="000000"/>
          <w:sz w:val="22"/>
          <w:szCs w:val="22"/>
          <w:lang w:val="en-US"/>
        </w:rPr>
        <w:t>-14 and</w:t>
      </w:r>
      <w:r w:rsidRPr="00F414EA">
        <w:rPr>
          <w:rFonts w:ascii="Century" w:hAnsi="Century" w:cs="Calibri"/>
          <w:color w:val="000000"/>
          <w:sz w:val="22"/>
          <w:szCs w:val="22"/>
          <w:lang w:val="en-US"/>
        </w:rPr>
        <w:t xml:space="preserve"> re-estimating the paper's central specification with these two days excluded. If the exposure-return relation is stable with and without them, this would indicate the macro news does not materially explain the two-week result, strengthening confidence that the estimate reflects a genuine reaction to Generative AI exposure.</w:t>
      </w:r>
    </w:p>
    <w:p w14:paraId="7647C0C3" w14:textId="3B7A39EF" w:rsidR="00FA72EB" w:rsidRPr="00F414EA" w:rsidRDefault="00FA72EB" w:rsidP="00FA72EB">
      <w:pPr>
        <w:pStyle w:val="PargrafodaLista"/>
        <w:numPr>
          <w:ilvl w:val="0"/>
          <w:numId w:val="2"/>
        </w:numPr>
        <w:spacing w:line="264" w:lineRule="auto"/>
        <w:jc w:val="center"/>
        <w:rPr>
          <w:rFonts w:ascii="Century" w:hAnsi="Century" w:cs="Big Caslon Medium"/>
          <w:sz w:val="18"/>
          <w:szCs w:val="18"/>
          <w:lang w:val="en-US"/>
        </w:rPr>
      </w:pPr>
      <w:r w:rsidRPr="00F414EA">
        <w:rPr>
          <w:rFonts w:ascii="Century" w:hAnsi="Century" w:cs="Big Caslon Medium"/>
          <w:sz w:val="18"/>
          <w:szCs w:val="18"/>
          <w:lang w:val="en-US"/>
        </w:rPr>
        <w:t>DESIGN AND DATA</w:t>
      </w:r>
    </w:p>
    <w:p w14:paraId="1CD6997F" w14:textId="244D9EEE" w:rsidR="00D11C44" w:rsidRPr="00F414EA" w:rsidRDefault="0074441E" w:rsidP="00D11C44">
      <w:pPr>
        <w:spacing w:before="320" w:after="160" w:line="360" w:lineRule="auto"/>
        <w:outlineLvl w:val="1"/>
        <w:rPr>
          <w:rFonts w:ascii="Century" w:hAnsi="Century" w:cs="Calibri"/>
          <w:color w:val="000000"/>
          <w:sz w:val="22"/>
          <w:szCs w:val="22"/>
          <w:lang w:val="en-US"/>
        </w:rPr>
      </w:pPr>
      <w:r w:rsidRPr="00F414EA">
        <w:rPr>
          <w:rFonts w:ascii="Century" w:hAnsi="Century"/>
          <w:sz w:val="22"/>
          <w:szCs w:val="22"/>
          <w:lang w:val="en-US"/>
        </w:rPr>
        <w:t>3</w:t>
      </w:r>
      <w:r w:rsidRPr="00F414EA">
        <w:rPr>
          <w:rFonts w:ascii="Century" w:hAnsi="Century" w:cs="Calibri"/>
          <w:color w:val="000000"/>
          <w:sz w:val="22"/>
          <w:szCs w:val="22"/>
          <w:lang w:val="en-US"/>
        </w:rPr>
        <w:t>.1 Empirical Design</w:t>
      </w:r>
    </w:p>
    <w:p w14:paraId="218BB61B" w14:textId="63E7A0BA" w:rsidR="0074441E" w:rsidRPr="00F414EA" w:rsidRDefault="0074441E" w:rsidP="00D11C44">
      <w:pPr>
        <w:spacing w:before="320" w:after="160" w:line="360" w:lineRule="auto"/>
        <w:outlineLvl w:val="1"/>
        <w:rPr>
          <w:rFonts w:ascii="Century" w:hAnsi="Century"/>
          <w:sz w:val="22"/>
          <w:szCs w:val="22"/>
          <w:lang w:val="en-US"/>
        </w:rPr>
      </w:pPr>
      <w:r w:rsidRPr="00F414EA">
        <w:rPr>
          <w:rFonts w:ascii="Century" w:hAnsi="Century" w:cs="Calibri"/>
          <w:color w:val="000000"/>
          <w:sz w:val="22"/>
          <w:szCs w:val="22"/>
          <w:lang w:val="en-US"/>
        </w:rPr>
        <w:t>In Section 2.2, we argue that the paper's reported AMH CAR estimate over the Nov 30 – Dec 14,</w:t>
      </w:r>
      <w:r w:rsidRPr="00F414EA">
        <w:rPr>
          <w:rFonts w:ascii="Century" w:hAnsi="Century"/>
          <w:sz w:val="22"/>
          <w:szCs w:val="22"/>
          <w:lang w:val="en-US"/>
        </w:rPr>
        <w:t xml:space="preserve"> </w:t>
      </w:r>
      <w:r w:rsidR="006D2CF9" w:rsidRPr="00F414EA">
        <w:rPr>
          <w:rFonts w:ascii="Century" w:hAnsi="Century"/>
          <w:sz w:val="22"/>
          <w:szCs w:val="22"/>
          <w:lang w:val="en-US"/>
        </w:rPr>
        <w:t>2022,</w:t>
      </w:r>
      <w:r w:rsidRPr="00F414EA">
        <w:rPr>
          <w:rFonts w:ascii="Century" w:hAnsi="Century"/>
          <w:sz w:val="22"/>
          <w:szCs w:val="22"/>
          <w:lang w:val="en-US"/>
        </w:rPr>
        <w:t xml:space="preserve"> event window may be partly driven by two macroeconomic announcements falling inside that window (the CPI release and the FOMC's 50 bp hike) which could move firms asymmetrically if they differ in duration/growth sensitivity. The paper's CAPM and Fama-French controls absorb market, size, value, profitability and investment risk, but none of these specifically targets interest-rate risk.</w:t>
      </w:r>
    </w:p>
    <w:p w14:paraId="6837E535" w14:textId="5F31D2F8" w:rsidR="00DD2511" w:rsidRPr="00F414EA" w:rsidRDefault="003A6DD7" w:rsidP="004F4428">
      <w:pPr>
        <w:spacing w:line="360" w:lineRule="auto"/>
        <w:ind w:firstLine="708"/>
        <w:jc w:val="both"/>
        <w:rPr>
          <w:rFonts w:ascii="Century" w:hAnsi="Century"/>
          <w:sz w:val="22"/>
          <w:szCs w:val="22"/>
          <w:lang w:val="en-US"/>
        </w:rPr>
      </w:pPr>
      <w:r w:rsidRPr="00F414EA">
        <w:rPr>
          <w:rFonts w:ascii="Century" w:hAnsi="Century"/>
          <w:noProof/>
          <w:sz w:val="22"/>
          <w:szCs w:val="22"/>
          <w:lang w:val="en-US"/>
          <w14:ligatures w14:val="standardContextual"/>
        </w:rPr>
        <mc:AlternateContent>
          <mc:Choice Requires="wps">
            <w:drawing>
              <wp:anchor distT="0" distB="0" distL="114300" distR="114300" simplePos="0" relativeHeight="251663360" behindDoc="0" locked="0" layoutInCell="1" allowOverlap="1" wp14:anchorId="6F9F1C28" wp14:editId="4B9AFE98">
                <wp:simplePos x="0" y="0"/>
                <wp:positionH relativeFrom="column">
                  <wp:posOffset>1605280</wp:posOffset>
                </wp:positionH>
                <wp:positionV relativeFrom="paragraph">
                  <wp:posOffset>3225800</wp:posOffset>
                </wp:positionV>
                <wp:extent cx="414867" cy="296333"/>
                <wp:effectExtent l="0" t="0" r="4445" b="0"/>
                <wp:wrapNone/>
                <wp:docPr id="234347638" name="Caixa de texto 3"/>
                <wp:cNvGraphicFramePr/>
                <a:graphic xmlns:a="http://schemas.openxmlformats.org/drawingml/2006/main">
                  <a:graphicData uri="http://schemas.microsoft.com/office/word/2010/wordprocessingShape">
                    <wps:wsp>
                      <wps:cNvSpPr txBox="1"/>
                      <wps:spPr>
                        <a:xfrm>
                          <a:off x="0" y="0"/>
                          <a:ext cx="414867" cy="296333"/>
                        </a:xfrm>
                        <a:prstGeom prst="rect">
                          <a:avLst/>
                        </a:prstGeom>
                        <a:solidFill>
                          <a:schemeClr val="lt1"/>
                        </a:solidFill>
                        <a:ln w="6350">
                          <a:noFill/>
                        </a:ln>
                      </wps:spPr>
                      <wps:txbx>
                        <w:txbxContent>
                          <w:p w14:paraId="16639DA3" w14:textId="77777777" w:rsidR="003A6DD7" w:rsidRPr="003A6DD7" w:rsidRDefault="003A6DD7" w:rsidP="003A6DD7">
                            <w:pPr>
                              <w:rPr>
                                <w:rFonts w:ascii="Century" w:hAnsi="Century"/>
                                <w:sz w:val="20"/>
                                <w:szCs w:val="20"/>
                              </w:rPr>
                            </w:pPr>
                            <w:r w:rsidRPr="003A6DD7">
                              <w:rPr>
                                <w:rFonts w:ascii="Aptos" w:hAnsi="Aptos"/>
                                <w:sz w:val="20"/>
                                <w:szCs w:val="20"/>
                              </w:rPr>
                              <w:t>(</w:t>
                            </w:r>
                            <w:r w:rsidRPr="003A6DD7">
                              <w:rPr>
                                <w:rFonts w:ascii="Century" w:hAnsi="Century"/>
                                <w:sz w:val="20"/>
                                <w:szCs w:val="20"/>
                              </w:rPr>
                              <w:t>1</w:t>
                            </w:r>
                            <w:r w:rsidRPr="003A6DD7">
                              <w:rPr>
                                <w:rFonts w:ascii="Aptos" w:hAnsi="Apto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F1C28" id="_x0000_t202" coordsize="21600,21600" o:spt="202" path="m,l,21600r21600,l21600,xe">
                <v:stroke joinstyle="miter"/>
                <v:path gradientshapeok="t" o:connecttype="rect"/>
              </v:shapetype>
              <v:shape id="Caixa de texto 3" o:spid="_x0000_s1026" type="#_x0000_t202" style="position:absolute;left:0;text-align:left;margin-left:126.4pt;margin-top:254pt;width:32.65pt;height:2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" fillcolor="white [3201]" stroked="f" strokeweight=".5pt">
                <v:textbox>
                  <w:txbxContent>
                    <w:p w14:paraId="16639DA3" w14:textId="77777777" w:rsidR="003A6DD7" w:rsidRPr="003A6DD7" w:rsidRDefault="003A6DD7" w:rsidP="003A6DD7">
                      <w:pPr>
                        <w:rPr>
                          <w:rFonts w:ascii="Century" w:hAnsi="Century"/>
                          <w:sz w:val="20"/>
                          <w:szCs w:val="20"/>
                        </w:rPr>
                      </w:pPr>
                      <w:r w:rsidRPr="003A6DD7">
                        <w:rPr>
                          <w:rFonts w:ascii="Aptos" w:hAnsi="Aptos"/>
                          <w:sz w:val="20"/>
                          <w:szCs w:val="20"/>
                        </w:rPr>
                        <w:t>(</w:t>
                      </w:r>
                      <w:r w:rsidRPr="003A6DD7">
                        <w:rPr>
                          <w:rFonts w:ascii="Century" w:hAnsi="Century"/>
                          <w:sz w:val="20"/>
                          <w:szCs w:val="20"/>
                        </w:rPr>
                        <w:t>1</w:t>
                      </w:r>
                      <w:r w:rsidRPr="003A6DD7">
                        <w:rPr>
                          <w:rFonts w:ascii="Aptos" w:hAnsi="Aptos"/>
                          <w:sz w:val="20"/>
                          <w:szCs w:val="20"/>
                        </w:rPr>
                        <w:t>)</w:t>
                      </w:r>
                    </w:p>
                  </w:txbxContent>
                </v:textbox>
              </v:shape>
            </w:pict>
          </mc:Fallback>
        </mc:AlternateContent>
      </w:r>
      <w:r w:rsidR="0074441E" w:rsidRPr="00F414EA">
        <w:rPr>
          <w:rFonts w:ascii="Century" w:hAnsi="Century"/>
          <w:sz w:val="22"/>
          <w:szCs w:val="22"/>
          <w:lang w:val="en-US"/>
        </w:rPr>
        <w:t>Our goal is to reproduce what the paper does (similar set of firms, the same exposure measure) but with a different model for the normal returns (CAPM) and to manipulate only which trading days are cumulated into the abnormal return. This isolates the contribution of December 13–14 without introducing a different methodology that would make the comparison uninterpretable.</w:t>
      </w:r>
      <w:r w:rsidR="00710ACE" w:rsidRPr="00F414EA">
        <w:rPr>
          <w:rFonts w:ascii="Century" w:hAnsi="Century"/>
          <w:sz w:val="22"/>
          <w:szCs w:val="22"/>
          <w:lang w:val="en-US"/>
        </w:rPr>
        <w:t xml:space="preserve"> </w:t>
      </w:r>
      <w:r w:rsidR="0074441E" w:rsidRPr="00F414EA">
        <w:rPr>
          <w:rFonts w:ascii="Century" w:hAnsi="Century"/>
          <w:sz w:val="22"/>
          <w:szCs w:val="22"/>
          <w:lang w:val="en-US"/>
        </w:rPr>
        <w:t>We index trading days relative to the event date, so that day t = 0 corresponds to November 30, 2022, the date of ChatGPT's public release. The full event window, which replicates the paper's own specification, spans trading days t = 0 through t = +10 (Nov 30 – Dec 14, 2022). Our excluded-days window covers the same calendar span, but the daily abnormal returns for December 13 and December 14 are removed before cumulating. This keeps the set of firms and the length of exposure to the post-release information environment as close as possible to the paper's design, changing only the two suspected dates. Normal returns are estimated using a CAPM regression: </w:t>
      </w:r>
    </w:p>
    <w:p w14:paraId="6737D8DE" w14:textId="612E36F5" w:rsidR="0074441E" w:rsidRPr="00F414EA" w:rsidRDefault="00000000" w:rsidP="00C569CA">
      <w:pPr>
        <w:spacing w:line="360" w:lineRule="auto"/>
        <w:jc w:val="center"/>
        <w:rPr>
          <w:rFonts w:ascii="Century" w:hAnsi="Century"/>
          <w:sz w:val="22"/>
          <w:szCs w:val="22"/>
          <w:lang w:val="en-US"/>
        </w:rPr>
      </w:pPr>
      <m:oMathPara>
        <m:oMath>
          <m:sSub>
            <m:sSubPr>
              <m:ctrlPr>
                <w:rPr>
                  <w:rFonts w:ascii="Cambria Math" w:hAnsi="Cambria Math"/>
                  <w:i/>
                  <w:iCs/>
                  <w:sz w:val="22"/>
                  <w:szCs w:val="22"/>
                  <w:vertAlign w:val="subscript"/>
                  <w:lang w:val="en-US"/>
                </w:rPr>
              </m:ctrlPr>
            </m:sSubPr>
            <m:e>
              <m:r>
                <w:rPr>
                  <w:rFonts w:ascii="Cambria Math" w:hAnsi="Cambria Math"/>
                  <w:sz w:val="22"/>
                  <w:szCs w:val="22"/>
                  <w:vertAlign w:val="subscript"/>
                  <w:lang w:val="en-US"/>
                </w:rPr>
                <m:t>R</m:t>
              </m:r>
            </m:e>
            <m:sub>
              <m:r>
                <w:rPr>
                  <w:rFonts w:ascii="Cambria Math" w:hAnsi="Cambria Math"/>
                  <w:sz w:val="22"/>
                  <w:szCs w:val="22"/>
                  <w:vertAlign w:val="subscript"/>
                  <w:lang w:val="en-US"/>
                </w:rPr>
                <m:t>i,t</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r>
                <w:rPr>
                  <w:rFonts w:ascii="Cambria Math" w:hAnsi="Cambria Math"/>
                  <w:sz w:val="22"/>
                  <w:szCs w:val="22"/>
                  <w:lang w:val="en-US"/>
                </w:rPr>
                <m:t>α</m:t>
              </m:r>
            </m:e>
            <m:sub>
              <m:r>
                <w:rPr>
                  <w:rFonts w:ascii="Cambria Math" w:hAnsi="Cambria Math"/>
                  <w:sz w:val="22"/>
                  <w:szCs w:val="22"/>
                  <w:lang w:val="en-US"/>
                </w:rPr>
                <m:t>i</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i</m:t>
              </m:r>
            </m:sub>
          </m:sSub>
          <m:r>
            <w:rPr>
              <w:rFonts w:ascii="Cambria Math" w:hAnsi="Cambria Math"/>
              <w:sz w:val="22"/>
              <w:szCs w:val="22"/>
              <w:lang w:val="en-US"/>
            </w:rPr>
            <m:t xml:space="preserve"> </m:t>
          </m:r>
          <m:sSub>
            <m:sSubPr>
              <m:ctrlPr>
                <w:rPr>
                  <w:rFonts w:ascii="Cambria Math" w:hAnsi="Cambria Math"/>
                  <w:i/>
                  <w:iCs/>
                  <w:sz w:val="22"/>
                  <w:szCs w:val="22"/>
                  <w:lang w:val="en-US"/>
                </w:rPr>
              </m:ctrlPr>
            </m:sSubPr>
            <m:e>
              <m:r>
                <w:rPr>
                  <w:rFonts w:ascii="Cambria Math" w:hAnsi="Cambria Math"/>
                  <w:sz w:val="22"/>
                  <w:szCs w:val="22"/>
                  <w:lang w:val="en-US"/>
                </w:rPr>
                <m:t>R</m:t>
              </m:r>
            </m:e>
            <m:sub>
              <m:r>
                <w:rPr>
                  <w:rFonts w:ascii="Cambria Math" w:hAnsi="Cambria Math"/>
                  <w:sz w:val="22"/>
                  <w:szCs w:val="22"/>
                  <w:lang w:val="en-US"/>
                </w:rPr>
                <m:t>mt</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r>
                <w:rPr>
                  <w:rFonts w:ascii="Cambria Math" w:hAnsi="Cambria Math"/>
                  <w:sz w:val="22"/>
                  <w:szCs w:val="22"/>
                  <w:lang w:val="en-US"/>
                </w:rPr>
                <m:t>ε</m:t>
              </m:r>
            </m:e>
            <m:sub>
              <m:r>
                <w:rPr>
                  <w:rFonts w:ascii="Cambria Math" w:hAnsi="Cambria Math"/>
                  <w:sz w:val="22"/>
                  <w:szCs w:val="22"/>
                  <w:lang w:val="en-US"/>
                </w:rPr>
                <m:t>i,t</m:t>
              </m:r>
            </m:sub>
          </m:sSub>
        </m:oMath>
      </m:oMathPara>
    </w:p>
    <w:p w14:paraId="6487AD90" w14:textId="5CB16B4E" w:rsidR="0074441E" w:rsidRPr="00F414EA" w:rsidRDefault="0074441E" w:rsidP="0074441E">
      <w:pPr>
        <w:spacing w:line="360" w:lineRule="auto"/>
        <w:jc w:val="both"/>
        <w:rPr>
          <w:rFonts w:ascii="Century" w:hAnsi="Century"/>
          <w:sz w:val="22"/>
          <w:szCs w:val="22"/>
          <w:lang w:val="en-US"/>
        </w:rPr>
      </w:pPr>
      <w:r w:rsidRPr="00F414EA">
        <w:rPr>
          <w:rFonts w:ascii="Century" w:hAnsi="Century"/>
          <w:sz w:val="22"/>
          <w:szCs w:val="22"/>
          <w:lang w:val="en-US"/>
        </w:rPr>
        <w:lastRenderedPageBreak/>
        <w:t>where R</w:t>
      </w:r>
      <w:r w:rsidRPr="00F414EA">
        <w:rPr>
          <w:rFonts w:ascii="Century" w:hAnsi="Century"/>
          <w:sz w:val="22"/>
          <w:szCs w:val="22"/>
          <w:vertAlign w:val="subscript"/>
          <w:lang w:val="en-US"/>
        </w:rPr>
        <w:t>it</w:t>
      </w:r>
      <w:r w:rsidRPr="00F414EA">
        <w:rPr>
          <w:rFonts w:ascii="Century" w:hAnsi="Century"/>
          <w:sz w:val="22"/>
          <w:szCs w:val="22"/>
          <w:lang w:val="en-US"/>
        </w:rPr>
        <w:t xml:space="preserve"> and R</w:t>
      </w:r>
      <w:r w:rsidRPr="00F414EA">
        <w:rPr>
          <w:rFonts w:ascii="Century" w:hAnsi="Century"/>
          <w:sz w:val="22"/>
          <w:szCs w:val="22"/>
          <w:vertAlign w:val="subscript"/>
          <w:lang w:val="en-US"/>
        </w:rPr>
        <w:t>mt</w:t>
      </w:r>
      <w:r w:rsidRPr="00F414EA">
        <w:rPr>
          <w:rFonts w:ascii="Century" w:hAnsi="Century"/>
          <w:sz w:val="22"/>
          <w:szCs w:val="22"/>
          <w:lang w:val="en-US"/>
        </w:rPr>
        <w:t xml:space="preserve"> are firm i's and the market's excess returns (over the risk-free rate) on day t, using the K. French value-weighted index as the market portfolio. Predicted excess returns from this CAPM regression define the daily abnormal return for each firm:</w:t>
      </w:r>
    </w:p>
    <w:p w14:paraId="441A6340" w14:textId="38A50883" w:rsidR="0074441E" w:rsidRPr="00F414EA" w:rsidRDefault="00000000" w:rsidP="00C569CA">
      <w:pPr>
        <w:spacing w:line="360" w:lineRule="auto"/>
        <w:jc w:val="center"/>
        <w:rPr>
          <w:rFonts w:ascii="Century" w:hAnsi="Century"/>
          <w:sz w:val="22"/>
          <w:szCs w:val="22"/>
          <w:lang w:val="en-US"/>
        </w:rPr>
      </w:pPr>
      <m:oMathPara>
        <m:oMath>
          <m:sSub>
            <m:sSubPr>
              <m:ctrlPr>
                <w:rPr>
                  <w:rFonts w:ascii="Cambria Math" w:hAnsi="Cambria Math"/>
                  <w:i/>
                  <w:iCs/>
                  <w:sz w:val="22"/>
                  <w:szCs w:val="22"/>
                  <w:lang w:val="en-US"/>
                </w:rPr>
              </m:ctrlPr>
            </m:sSubPr>
            <m:e>
              <m:r>
                <w:rPr>
                  <w:rFonts w:ascii="Cambria Math" w:hAnsi="Cambria Math"/>
                  <w:sz w:val="22"/>
                  <w:szCs w:val="22"/>
                  <w:lang w:val="en-US"/>
                </w:rPr>
                <m:t>AR</m:t>
              </m:r>
            </m:e>
            <m:sub>
              <m:r>
                <w:rPr>
                  <w:rFonts w:ascii="Cambria Math" w:hAnsi="Cambria Math"/>
                  <w:sz w:val="22"/>
                  <w:szCs w:val="22"/>
                  <w:lang w:val="en-US"/>
                </w:rPr>
                <m:t>i,t</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r>
                <w:rPr>
                  <w:rFonts w:ascii="Cambria Math" w:hAnsi="Cambria Math"/>
                  <w:sz w:val="22"/>
                  <w:szCs w:val="22"/>
                  <w:lang w:val="en-US"/>
                </w:rPr>
                <m:t>R</m:t>
              </m:r>
            </m:e>
            <m:sub>
              <m:r>
                <w:rPr>
                  <w:rFonts w:ascii="Cambria Math" w:hAnsi="Cambria Math"/>
                  <w:sz w:val="22"/>
                  <w:szCs w:val="22"/>
                  <w:lang w:val="en-US"/>
                </w:rPr>
                <m:t>it</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acc>
                <m:accPr>
                  <m:ctrlPr>
                    <w:rPr>
                      <w:rFonts w:ascii="Cambria Math" w:hAnsi="Cambria Math"/>
                      <w:i/>
                      <w:iCs/>
                      <w:sz w:val="22"/>
                      <w:szCs w:val="22"/>
                      <w:lang w:val="en-US"/>
                    </w:rPr>
                  </m:ctrlPr>
                </m:accPr>
                <m:e>
                  <m:r>
                    <w:rPr>
                      <w:rFonts w:ascii="Cambria Math" w:hAnsi="Cambria Math"/>
                      <w:sz w:val="22"/>
                      <w:szCs w:val="22"/>
                      <w:lang w:val="en-US"/>
                    </w:rPr>
                    <m:t>α</m:t>
                  </m:r>
                </m:e>
              </m:acc>
            </m:e>
            <m:sub>
              <m:r>
                <w:rPr>
                  <w:rFonts w:ascii="Cambria Math" w:hAnsi="Cambria Math"/>
                  <w:sz w:val="22"/>
                  <w:szCs w:val="22"/>
                  <w:lang w:val="en-US"/>
                </w:rPr>
                <m:t>i</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acc>
                <m:accPr>
                  <m:ctrlPr>
                    <w:rPr>
                      <w:rFonts w:ascii="Cambria Math" w:hAnsi="Cambria Math"/>
                      <w:i/>
                      <w:iCs/>
                      <w:sz w:val="22"/>
                      <w:szCs w:val="22"/>
                      <w:lang w:val="en-US"/>
                    </w:rPr>
                  </m:ctrlPr>
                </m:accPr>
                <m:e>
                  <m:r>
                    <w:rPr>
                      <w:rFonts w:ascii="Cambria Math" w:hAnsi="Cambria Math"/>
                      <w:sz w:val="22"/>
                      <w:szCs w:val="22"/>
                      <w:lang w:val="en-US"/>
                    </w:rPr>
                    <m:t>β</m:t>
                  </m:r>
                </m:e>
              </m:acc>
            </m:e>
            <m:sub>
              <m:r>
                <w:rPr>
                  <w:rFonts w:ascii="Cambria Math" w:hAnsi="Cambria Math"/>
                  <w:sz w:val="22"/>
                  <w:szCs w:val="22"/>
                  <w:lang w:val="en-US"/>
                </w:rPr>
                <m:t>i</m:t>
              </m:r>
            </m:sub>
          </m:sSub>
          <m:r>
            <w:rPr>
              <w:rFonts w:ascii="Cambria Math" w:hAnsi="Cambria Math"/>
              <w:sz w:val="22"/>
              <w:szCs w:val="22"/>
              <w:lang w:val="en-US"/>
            </w:rPr>
            <m:t xml:space="preserve"> </m:t>
          </m:r>
          <m:sSub>
            <m:sSubPr>
              <m:ctrlPr>
                <w:rPr>
                  <w:rFonts w:ascii="Cambria Math" w:hAnsi="Cambria Math"/>
                  <w:i/>
                  <w:iCs/>
                  <w:sz w:val="22"/>
                  <w:szCs w:val="22"/>
                  <w:lang w:val="en-US"/>
                </w:rPr>
              </m:ctrlPr>
            </m:sSubPr>
            <m:e>
              <m:r>
                <w:rPr>
                  <w:rFonts w:ascii="Cambria Math" w:hAnsi="Cambria Math"/>
                  <w:sz w:val="22"/>
                  <w:szCs w:val="22"/>
                  <w:lang w:val="en-US"/>
                </w:rPr>
                <m:t>R</m:t>
              </m:r>
            </m:e>
            <m:sub>
              <m:r>
                <w:rPr>
                  <w:rFonts w:ascii="Cambria Math" w:hAnsi="Cambria Math"/>
                  <w:sz w:val="22"/>
                  <w:szCs w:val="22"/>
                  <w:lang w:val="en-US"/>
                </w:rPr>
                <m:t>m,t</m:t>
              </m:r>
            </m:sub>
          </m:sSub>
          <m:r>
            <w:rPr>
              <w:rFonts w:ascii="Cambria Math" w:hAnsi="Cambria Math"/>
              <w:sz w:val="22"/>
              <w:szCs w:val="22"/>
              <w:lang w:val="en-US"/>
            </w:rPr>
            <m:t>)</m:t>
          </m:r>
        </m:oMath>
      </m:oMathPara>
    </w:p>
    <w:p w14:paraId="173C527F" w14:textId="7C77EFEF" w:rsidR="0074441E" w:rsidRPr="00F414EA" w:rsidRDefault="00211415" w:rsidP="009F4583">
      <w:pPr>
        <w:spacing w:line="360" w:lineRule="auto"/>
        <w:jc w:val="both"/>
        <w:rPr>
          <w:rFonts w:ascii="Century" w:hAnsi="Century"/>
          <w:sz w:val="22"/>
          <w:szCs w:val="22"/>
          <w:lang w:val="en-US"/>
        </w:rPr>
      </w:pPr>
      <w:r w:rsidRPr="00F414EA">
        <w:rPr>
          <w:rFonts w:ascii="Century" w:hAnsi="Century"/>
          <w:noProof/>
          <w:sz w:val="22"/>
          <w:szCs w:val="22"/>
          <w:lang w:val="en-US"/>
          <w14:ligatures w14:val="standardContextual"/>
        </w:rPr>
        <mc:AlternateContent>
          <mc:Choice Requires="wps">
            <w:drawing>
              <wp:anchor distT="0" distB="0" distL="114300" distR="114300" simplePos="0" relativeHeight="251659264" behindDoc="0" locked="0" layoutInCell="1" allowOverlap="1" wp14:anchorId="1D7CFCC8" wp14:editId="01860E34">
                <wp:simplePos x="0" y="0"/>
                <wp:positionH relativeFrom="column">
                  <wp:posOffset>-80010</wp:posOffset>
                </wp:positionH>
                <wp:positionV relativeFrom="page">
                  <wp:posOffset>4543816</wp:posOffset>
                </wp:positionV>
                <wp:extent cx="414655" cy="295910"/>
                <wp:effectExtent l="0" t="0" r="4445" b="0"/>
                <wp:wrapNone/>
                <wp:docPr id="377069723" name="Caixa de texto 3"/>
                <wp:cNvGraphicFramePr/>
                <a:graphic xmlns:a="http://schemas.openxmlformats.org/drawingml/2006/main">
                  <a:graphicData uri="http://schemas.microsoft.com/office/word/2010/wordprocessingShape">
                    <wps:wsp>
                      <wps:cNvSpPr txBox="1"/>
                      <wps:spPr>
                        <a:xfrm>
                          <a:off x="0" y="0"/>
                          <a:ext cx="414655" cy="295910"/>
                        </a:xfrm>
                        <a:prstGeom prst="rect">
                          <a:avLst/>
                        </a:prstGeom>
                        <a:solidFill>
                          <a:schemeClr val="lt1"/>
                        </a:solidFill>
                        <a:ln w="6350">
                          <a:noFill/>
                        </a:ln>
                      </wps:spPr>
                      <wps:txbx>
                        <w:txbxContent>
                          <w:p w14:paraId="33A5BE3D" w14:textId="1BB3CBC1" w:rsidR="003A6DD7" w:rsidRPr="003A6DD7" w:rsidRDefault="003A6DD7">
                            <w:pPr>
                              <w:rPr>
                                <w:rFonts w:ascii="Century" w:hAnsi="Century"/>
                                <w:sz w:val="20"/>
                                <w:szCs w:val="20"/>
                              </w:rPr>
                            </w:pPr>
                            <w:r w:rsidRPr="003A6DD7">
                              <w:rPr>
                                <w:rFonts w:ascii="Aptos" w:hAnsi="Aptos"/>
                                <w:sz w:val="20"/>
                                <w:szCs w:val="20"/>
                              </w:rPr>
                              <w:t>(</w:t>
                            </w:r>
                            <w:r w:rsidR="0008652B">
                              <w:rPr>
                                <w:rFonts w:ascii="Century" w:hAnsi="Century"/>
                                <w:sz w:val="20"/>
                                <w:szCs w:val="20"/>
                              </w:rPr>
                              <w:t>3</w:t>
                            </w:r>
                            <w:r w:rsidRPr="003A6DD7">
                              <w:rPr>
                                <w:rFonts w:ascii="Aptos" w:hAnsi="Apto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CFCC8" id="_x0000_s1027" type="#_x0000_t202" style="position:absolute;left:0;text-align:left;margin-left:-6.3pt;margin-top:357.8pt;width:32.65pt;height:2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" fillcolor="white [3201]" stroked="f" strokeweight=".5pt">
                <v:textbox>
                  <w:txbxContent>
                    <w:p w14:paraId="33A5BE3D" w14:textId="1BB3CBC1" w:rsidR="003A6DD7" w:rsidRPr="003A6DD7" w:rsidRDefault="003A6DD7">
                      <w:pPr>
                        <w:rPr>
                          <w:rFonts w:ascii="Century" w:hAnsi="Century"/>
                          <w:sz w:val="20"/>
                          <w:szCs w:val="20"/>
                        </w:rPr>
                      </w:pPr>
                      <w:r w:rsidRPr="003A6DD7">
                        <w:rPr>
                          <w:rFonts w:ascii="Aptos" w:hAnsi="Aptos"/>
                          <w:sz w:val="20"/>
                          <w:szCs w:val="20"/>
                        </w:rPr>
                        <w:t>(</w:t>
                      </w:r>
                      <w:r w:rsidR="0008652B">
                        <w:rPr>
                          <w:rFonts w:ascii="Century" w:hAnsi="Century"/>
                          <w:sz w:val="20"/>
                          <w:szCs w:val="20"/>
                        </w:rPr>
                        <w:t>3</w:t>
                      </w:r>
                      <w:r w:rsidRPr="003A6DD7">
                        <w:rPr>
                          <w:rFonts w:ascii="Aptos" w:hAnsi="Aptos"/>
                          <w:sz w:val="20"/>
                          <w:szCs w:val="20"/>
                        </w:rPr>
                        <w:t>)</w:t>
                      </w:r>
                    </w:p>
                  </w:txbxContent>
                </v:textbox>
                <w10:wrap anchory="page"/>
              </v:shape>
            </w:pict>
          </mc:Fallback>
        </mc:AlternateContent>
      </w:r>
      <w:r w:rsidRPr="00F414EA">
        <w:rPr>
          <w:rFonts w:ascii="Century" w:hAnsi="Century"/>
          <w:noProof/>
          <w:sz w:val="22"/>
          <w:szCs w:val="22"/>
          <w:lang w:val="en-US"/>
          <w14:ligatures w14:val="standardContextual"/>
        </w:rPr>
        <mc:AlternateContent>
          <mc:Choice Requires="wps">
            <w:drawing>
              <wp:anchor distT="0" distB="0" distL="114300" distR="114300" simplePos="0" relativeHeight="251665408" behindDoc="0" locked="0" layoutInCell="1" allowOverlap="1" wp14:anchorId="5265DD05" wp14:editId="65936CDF">
                <wp:simplePos x="0" y="0"/>
                <wp:positionH relativeFrom="column">
                  <wp:posOffset>1545590</wp:posOffset>
                </wp:positionH>
                <wp:positionV relativeFrom="paragraph">
                  <wp:posOffset>-290898</wp:posOffset>
                </wp:positionV>
                <wp:extent cx="414867" cy="296333"/>
                <wp:effectExtent l="0" t="0" r="4445" b="0"/>
                <wp:wrapNone/>
                <wp:docPr id="74072636" name="Caixa de texto 3"/>
                <wp:cNvGraphicFramePr/>
                <a:graphic xmlns:a="http://schemas.openxmlformats.org/drawingml/2006/main">
                  <a:graphicData uri="http://schemas.microsoft.com/office/word/2010/wordprocessingShape">
                    <wps:wsp>
                      <wps:cNvSpPr txBox="1"/>
                      <wps:spPr>
                        <a:xfrm>
                          <a:off x="0" y="0"/>
                          <a:ext cx="414867" cy="296333"/>
                        </a:xfrm>
                        <a:prstGeom prst="rect">
                          <a:avLst/>
                        </a:prstGeom>
                        <a:solidFill>
                          <a:schemeClr val="lt1"/>
                        </a:solidFill>
                        <a:ln w="6350">
                          <a:noFill/>
                        </a:ln>
                      </wps:spPr>
                      <wps:txbx>
                        <w:txbxContent>
                          <w:p w14:paraId="384460FE" w14:textId="79263D3D" w:rsidR="002B71A6" w:rsidRPr="003A6DD7" w:rsidRDefault="002B71A6" w:rsidP="002B71A6">
                            <w:pPr>
                              <w:rPr>
                                <w:rFonts w:ascii="Century" w:hAnsi="Century"/>
                                <w:sz w:val="20"/>
                                <w:szCs w:val="20"/>
                              </w:rPr>
                            </w:pPr>
                            <w:r w:rsidRPr="003A6DD7">
                              <w:rPr>
                                <w:rFonts w:ascii="Aptos" w:hAnsi="Aptos"/>
                                <w:sz w:val="20"/>
                                <w:szCs w:val="20"/>
                              </w:rPr>
                              <w:t>(</w:t>
                            </w:r>
                            <w:r>
                              <w:rPr>
                                <w:rFonts w:ascii="Century" w:hAnsi="Century"/>
                                <w:sz w:val="20"/>
                                <w:szCs w:val="20"/>
                              </w:rPr>
                              <w:t>2</w:t>
                            </w:r>
                            <w:r w:rsidRPr="003A6DD7">
                              <w:rPr>
                                <w:rFonts w:ascii="Aptos" w:hAnsi="Apto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5DD05" id="_x0000_s1028" type="#_x0000_t202" style="position:absolute;left:0;text-align:left;margin-left:121.7pt;margin-top:-22.9pt;width:32.65pt;height:2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" fillcolor="white [3201]" stroked="f" strokeweight=".5pt">
                <v:textbox>
                  <w:txbxContent>
                    <w:p w14:paraId="384460FE" w14:textId="79263D3D" w:rsidR="002B71A6" w:rsidRPr="003A6DD7" w:rsidRDefault="002B71A6" w:rsidP="002B71A6">
                      <w:pPr>
                        <w:rPr>
                          <w:rFonts w:ascii="Century" w:hAnsi="Century"/>
                          <w:sz w:val="20"/>
                          <w:szCs w:val="20"/>
                        </w:rPr>
                      </w:pPr>
                      <w:r w:rsidRPr="003A6DD7">
                        <w:rPr>
                          <w:rFonts w:ascii="Aptos" w:hAnsi="Aptos"/>
                          <w:sz w:val="20"/>
                          <w:szCs w:val="20"/>
                        </w:rPr>
                        <w:t>(</w:t>
                      </w:r>
                      <w:r>
                        <w:rPr>
                          <w:rFonts w:ascii="Century" w:hAnsi="Century"/>
                          <w:sz w:val="20"/>
                          <w:szCs w:val="20"/>
                        </w:rPr>
                        <w:t>2</w:t>
                      </w:r>
                      <w:r w:rsidRPr="003A6DD7">
                        <w:rPr>
                          <w:rFonts w:ascii="Aptos" w:hAnsi="Aptos"/>
                          <w:sz w:val="20"/>
                          <w:szCs w:val="20"/>
                        </w:rPr>
                        <w:t>)</w:t>
                      </w:r>
                    </w:p>
                  </w:txbxContent>
                </v:textbox>
              </v:shape>
            </w:pict>
          </mc:Fallback>
        </mc:AlternateContent>
      </w:r>
      <w:r w:rsidR="0074441E" w:rsidRPr="00F414EA">
        <w:rPr>
          <w:rFonts w:ascii="Century" w:hAnsi="Century"/>
          <w:sz w:val="22"/>
          <w:szCs w:val="22"/>
          <w:lang w:val="en-US"/>
        </w:rPr>
        <w:t>We run the regressions separately for each firm over the trading days t = −253 to t = −46 — that is, starting 253 trading days before the event and ending 46 trading days before it. Since there are roughly 252 trading days in a calendar year, this window corresponds to approximately one year of daily return data, ending about 45 trading days (roughly two months) before the event window begins. This gap is standard practice in event studies: it prevents the market-model estimation from picking up any unusual trading activity (rumors, anticipatory positioning, or analyst commentary) in the weeks immediately preceding ChatGPT's release.</w:t>
      </w:r>
      <w:r w:rsidR="000F74AC" w:rsidRPr="00F414EA">
        <w:rPr>
          <w:rFonts w:ascii="Century" w:hAnsi="Century"/>
          <w:sz w:val="22"/>
          <w:szCs w:val="22"/>
          <w:lang w:val="en-US"/>
        </w:rPr>
        <w:t xml:space="preserve"> </w:t>
      </w:r>
      <w:r w:rsidR="0074441E" w:rsidRPr="00F414EA">
        <w:rPr>
          <w:rFonts w:ascii="Century" w:hAnsi="Century"/>
          <w:sz w:val="22"/>
          <w:szCs w:val="22"/>
          <w:lang w:val="en-US"/>
        </w:rPr>
        <w:t>The estimation window and CAPM parameters are identical across both specifications below, only the summation step differs. We define the full-window CAR, the excluded-days CAR, and the isolated two-day diagnostic return as</w:t>
      </w:r>
    </w:p>
    <w:p w14:paraId="6DA27926" w14:textId="5A7C5C3D" w:rsidR="004D2AFD" w:rsidRPr="00F414EA" w:rsidRDefault="00A90B48" w:rsidP="00E15641">
      <w:pPr>
        <w:spacing w:before="240" w:after="240" w:line="360" w:lineRule="auto"/>
        <w:jc w:val="center"/>
        <w:rPr>
          <w:rFonts w:ascii="Century" w:hAnsi="Century"/>
          <w:iCs/>
          <w:sz w:val="22"/>
          <w:szCs w:val="22"/>
          <w:lang w:val="en-US"/>
        </w:rPr>
      </w:pPr>
      <m:oMath>
        <m:r>
          <w:rPr>
            <w:rFonts w:ascii="Cambria Math" w:hAnsi="Cambria Math"/>
            <w:sz w:val="22"/>
            <w:szCs w:val="22"/>
            <w:lang w:val="en-US"/>
          </w:rPr>
          <m:t>C</m:t>
        </m:r>
        <m:sSubSup>
          <m:sSubSupPr>
            <m:ctrlPr>
              <w:rPr>
                <w:rFonts w:ascii="Cambria Math" w:hAnsi="Cambria Math"/>
                <w:i/>
                <w:iCs/>
                <w:sz w:val="22"/>
                <w:szCs w:val="22"/>
                <w:lang w:val="en-US"/>
              </w:rPr>
            </m:ctrlPr>
          </m:sSubSupPr>
          <m:e>
            <m:r>
              <w:rPr>
                <w:rFonts w:ascii="Cambria Math" w:hAnsi="Cambria Math"/>
                <w:sz w:val="22"/>
                <w:szCs w:val="22"/>
                <w:lang w:val="en-US"/>
              </w:rPr>
              <m:t>AR</m:t>
            </m:r>
          </m:e>
          <m:sub>
            <m:r>
              <w:rPr>
                <w:rFonts w:ascii="Cambria Math" w:hAnsi="Cambria Math"/>
                <w:sz w:val="22"/>
                <w:szCs w:val="22"/>
                <w:lang w:val="en-US"/>
              </w:rPr>
              <m:t>i</m:t>
            </m:r>
          </m:sub>
          <m:sup>
            <m:r>
              <w:rPr>
                <w:rFonts w:ascii="Cambria Math" w:hAnsi="Cambria Math"/>
                <w:sz w:val="22"/>
                <w:szCs w:val="22"/>
                <w:lang w:val="en-US"/>
              </w:rPr>
              <m:t>full</m:t>
            </m:r>
          </m:sup>
        </m:sSubSup>
        <m:r>
          <w:rPr>
            <w:rFonts w:ascii="Cambria Math" w:hAnsi="Cambria Math"/>
            <w:sz w:val="22"/>
            <w:szCs w:val="22"/>
            <w:lang w:val="en-US"/>
          </w:rPr>
          <m:t xml:space="preserve"> = </m:t>
        </m:r>
        <m:nary>
          <m:naryPr>
            <m:chr m:val="∑"/>
            <m:limLoc m:val="undOvr"/>
            <m:supHide m:val="1"/>
            <m:ctrlPr>
              <w:rPr>
                <w:rFonts w:ascii="Cambria Math" w:hAnsi="Cambria Math"/>
                <w:i/>
                <w:iCs/>
                <w:sz w:val="22"/>
                <w:szCs w:val="22"/>
                <w:lang w:val="en-US"/>
              </w:rPr>
            </m:ctrlPr>
          </m:naryPr>
          <m:sub>
            <m:r>
              <w:rPr>
                <w:rFonts w:ascii="Cambria Math" w:hAnsi="Cambria Math"/>
                <w:sz w:val="22"/>
                <w:szCs w:val="22"/>
                <w:lang w:val="en-US"/>
              </w:rPr>
              <m:t>t=</m:t>
            </m:r>
            <m:d>
              <m:dPr>
                <m:begChr m:val="{"/>
                <m:endChr m:val="}"/>
                <m:ctrlPr>
                  <w:rPr>
                    <w:rFonts w:ascii="Cambria Math" w:hAnsi="Cambria Math"/>
                    <w:i/>
                    <w:iCs/>
                    <w:sz w:val="22"/>
                    <w:szCs w:val="22"/>
                    <w:lang w:val="en-US"/>
                  </w:rPr>
                </m:ctrlPr>
              </m:dPr>
              <m:e>
                <m:r>
                  <w:rPr>
                    <w:rFonts w:ascii="Cambria Math" w:hAnsi="Cambria Math"/>
                    <w:sz w:val="22"/>
                    <w:szCs w:val="22"/>
                    <w:lang w:val="en-US"/>
                  </w:rPr>
                  <m:t>Nov 30, … , Dec 14</m:t>
                </m:r>
              </m:e>
            </m:d>
          </m:sub>
          <m:sup/>
          <m:e>
            <m:r>
              <w:rPr>
                <w:rFonts w:ascii="Cambria Math" w:hAnsi="Cambria Math"/>
                <w:sz w:val="22"/>
                <w:szCs w:val="22"/>
                <w:lang w:val="en-US"/>
              </w:rPr>
              <m:t>A</m:t>
            </m:r>
            <m:sSub>
              <m:sSubPr>
                <m:ctrlPr>
                  <w:rPr>
                    <w:rFonts w:ascii="Cambria Math" w:hAnsi="Cambria Math"/>
                    <w:i/>
                    <w:iCs/>
                    <w:sz w:val="22"/>
                    <w:szCs w:val="22"/>
                    <w:lang w:val="en-US"/>
                  </w:rPr>
                </m:ctrlPr>
              </m:sSubPr>
              <m:e>
                <m:r>
                  <w:rPr>
                    <w:rFonts w:ascii="Cambria Math" w:hAnsi="Cambria Math"/>
                    <w:sz w:val="22"/>
                    <w:szCs w:val="22"/>
                    <w:lang w:val="en-US"/>
                  </w:rPr>
                  <m:t>R</m:t>
                </m:r>
              </m:e>
              <m:sub>
                <m:r>
                  <w:rPr>
                    <w:rFonts w:ascii="Cambria Math" w:hAnsi="Cambria Math"/>
                    <w:sz w:val="22"/>
                    <w:szCs w:val="22"/>
                    <w:lang w:val="en-US"/>
                  </w:rPr>
                  <m:t>i,t</m:t>
                </m:r>
              </m:sub>
            </m:sSub>
          </m:e>
        </m:nary>
      </m:oMath>
      <w:r w:rsidR="00A84DF4" w:rsidRPr="00F414EA">
        <w:rPr>
          <w:rFonts w:ascii="Century" w:hAnsi="Century"/>
          <w:iCs/>
          <w:sz w:val="22"/>
          <w:szCs w:val="22"/>
          <w:lang w:val="en-US"/>
        </w:rPr>
        <w:t xml:space="preserve"> ; </w:t>
      </w:r>
      <m:oMath>
        <m:r>
          <w:rPr>
            <w:rFonts w:ascii="Cambria Math" w:hAnsi="Cambria Math"/>
            <w:sz w:val="22"/>
            <w:szCs w:val="22"/>
            <w:lang w:val="en-US"/>
          </w:rPr>
          <m:t>C</m:t>
        </m:r>
        <m:sSubSup>
          <m:sSubSupPr>
            <m:ctrlPr>
              <w:rPr>
                <w:rFonts w:ascii="Cambria Math" w:hAnsi="Cambria Math"/>
                <w:i/>
                <w:iCs/>
                <w:sz w:val="22"/>
                <w:szCs w:val="22"/>
                <w:lang w:val="en-US"/>
              </w:rPr>
            </m:ctrlPr>
          </m:sSubSupPr>
          <m:e>
            <m:r>
              <w:rPr>
                <w:rFonts w:ascii="Cambria Math" w:hAnsi="Cambria Math"/>
                <w:sz w:val="22"/>
                <w:szCs w:val="22"/>
                <w:lang w:val="en-US"/>
              </w:rPr>
              <m:t>AR</m:t>
            </m:r>
          </m:e>
          <m:sub>
            <m:r>
              <w:rPr>
                <w:rFonts w:ascii="Cambria Math" w:hAnsi="Cambria Math"/>
                <w:sz w:val="22"/>
                <w:szCs w:val="22"/>
                <w:lang w:val="en-US"/>
              </w:rPr>
              <m:t>i</m:t>
            </m:r>
          </m:sub>
          <m:sup>
            <m:r>
              <w:rPr>
                <w:rFonts w:ascii="Cambria Math" w:hAnsi="Cambria Math"/>
                <w:sz w:val="22"/>
                <w:szCs w:val="22"/>
                <w:lang w:val="en-US"/>
              </w:rPr>
              <m:t>full</m:t>
            </m:r>
          </m:sup>
        </m:sSubSup>
        <m:r>
          <w:rPr>
            <w:rFonts w:ascii="Cambria Math" w:hAnsi="Cambria Math"/>
            <w:sz w:val="22"/>
            <w:szCs w:val="22"/>
            <w:lang w:val="en-US"/>
          </w:rPr>
          <m:t xml:space="preserve"> = </m:t>
        </m:r>
        <m:nary>
          <m:naryPr>
            <m:chr m:val="∑"/>
            <m:limLoc m:val="undOvr"/>
            <m:supHide m:val="1"/>
            <m:ctrlPr>
              <w:rPr>
                <w:rFonts w:ascii="Cambria Math" w:hAnsi="Cambria Math"/>
                <w:i/>
                <w:iCs/>
                <w:sz w:val="22"/>
                <w:szCs w:val="22"/>
                <w:lang w:val="en-US"/>
              </w:rPr>
            </m:ctrlPr>
          </m:naryPr>
          <m:sub>
            <m:r>
              <w:rPr>
                <w:rFonts w:ascii="Cambria Math" w:hAnsi="Cambria Math"/>
                <w:sz w:val="22"/>
                <w:szCs w:val="22"/>
                <w:lang w:val="en-US"/>
              </w:rPr>
              <m:t>t=</m:t>
            </m:r>
            <m:d>
              <m:dPr>
                <m:begChr m:val="{"/>
                <m:endChr m:val="}"/>
                <m:ctrlPr>
                  <w:rPr>
                    <w:rFonts w:ascii="Cambria Math" w:hAnsi="Cambria Math"/>
                    <w:i/>
                    <w:iCs/>
                    <w:sz w:val="22"/>
                    <w:szCs w:val="22"/>
                    <w:lang w:val="en-US"/>
                  </w:rPr>
                </m:ctrlPr>
              </m:dPr>
              <m:e>
                <m:r>
                  <w:rPr>
                    <w:rFonts w:ascii="Cambria Math" w:hAnsi="Cambria Math"/>
                    <w:sz w:val="22"/>
                    <w:szCs w:val="22"/>
                    <w:lang w:val="en-US"/>
                  </w:rPr>
                  <m:t>Nov 30, … , Dec 14</m:t>
                </m:r>
              </m:e>
            </m:d>
            <m:r>
              <w:rPr>
                <w:rFonts w:ascii="Cambria Math" w:hAnsi="Cambria Math"/>
                <w:sz w:val="22"/>
                <w:szCs w:val="22"/>
                <w:lang w:val="en-US"/>
              </w:rPr>
              <m:t>\{Dec 13,14}</m:t>
            </m:r>
          </m:sub>
          <m:sup/>
          <m:e>
            <m:r>
              <w:rPr>
                <w:rFonts w:ascii="Cambria Math" w:hAnsi="Cambria Math"/>
                <w:sz w:val="22"/>
                <w:szCs w:val="22"/>
                <w:lang w:val="en-US"/>
              </w:rPr>
              <m:t>A</m:t>
            </m:r>
            <m:sSub>
              <m:sSubPr>
                <m:ctrlPr>
                  <w:rPr>
                    <w:rFonts w:ascii="Cambria Math" w:hAnsi="Cambria Math"/>
                    <w:i/>
                    <w:iCs/>
                    <w:sz w:val="22"/>
                    <w:szCs w:val="22"/>
                    <w:lang w:val="en-US"/>
                  </w:rPr>
                </m:ctrlPr>
              </m:sSubPr>
              <m:e>
                <m:r>
                  <w:rPr>
                    <w:rFonts w:ascii="Cambria Math" w:hAnsi="Cambria Math"/>
                    <w:sz w:val="22"/>
                    <w:szCs w:val="22"/>
                    <w:lang w:val="en-US"/>
                  </w:rPr>
                  <m:t>R</m:t>
                </m:r>
              </m:e>
              <m:sub>
                <m:r>
                  <w:rPr>
                    <w:rFonts w:ascii="Cambria Math" w:hAnsi="Cambria Math"/>
                    <w:sz w:val="22"/>
                    <w:szCs w:val="22"/>
                    <w:lang w:val="en-US"/>
                  </w:rPr>
                  <m:t>i,t</m:t>
                </m:r>
              </m:sub>
            </m:sSub>
          </m:e>
        </m:nary>
      </m:oMath>
    </w:p>
    <w:p w14:paraId="226491EA" w14:textId="12CC92CC" w:rsidR="0074441E" w:rsidRPr="00F414EA" w:rsidRDefault="004D2AFD" w:rsidP="00E15641">
      <w:pPr>
        <w:spacing w:before="240" w:after="240" w:line="360" w:lineRule="auto"/>
        <w:jc w:val="center"/>
        <w:rPr>
          <w:rFonts w:ascii="Cambria Math" w:hAnsi="Cambria Math"/>
          <w:sz w:val="22"/>
          <w:szCs w:val="22"/>
          <w:lang w:val="en-US"/>
          <w:oMath/>
        </w:rPr>
      </w:pPr>
      <m:oMathPara>
        <m:oMath>
          <m:r>
            <w:rPr>
              <w:rFonts w:ascii="Cambria Math" w:hAnsi="Cambria Math"/>
              <w:sz w:val="22"/>
              <w:szCs w:val="22"/>
              <w:lang w:val="en-US"/>
            </w:rPr>
            <m:t>CA</m:t>
          </m:r>
          <m:sSubSup>
            <m:sSubSupPr>
              <m:ctrlPr>
                <w:rPr>
                  <w:rFonts w:ascii="Cambria Math" w:hAnsi="Cambria Math"/>
                  <w:i/>
                  <w:iCs/>
                  <w:sz w:val="22"/>
                  <w:szCs w:val="22"/>
                  <w:lang w:val="en-US"/>
                </w:rPr>
              </m:ctrlPr>
            </m:sSubSupPr>
            <m:e>
              <m:r>
                <w:rPr>
                  <w:rFonts w:ascii="Cambria Math" w:hAnsi="Cambria Math"/>
                  <w:sz w:val="22"/>
                  <w:szCs w:val="22"/>
                  <w:lang w:val="en-US"/>
                </w:rPr>
                <m:t>R</m:t>
              </m:r>
            </m:e>
            <m:sub>
              <m:r>
                <w:rPr>
                  <w:rFonts w:ascii="Cambria Math" w:hAnsi="Cambria Math"/>
                  <w:sz w:val="22"/>
                  <w:szCs w:val="22"/>
                  <w:lang w:val="en-US"/>
                </w:rPr>
                <m:t>i</m:t>
              </m:r>
            </m:sub>
            <m:sup>
              <m:r>
                <w:rPr>
                  <w:rFonts w:ascii="Cambria Math" w:hAnsi="Cambria Math"/>
                  <w:sz w:val="22"/>
                  <w:szCs w:val="22"/>
                  <w:lang w:val="en-US"/>
                </w:rPr>
                <m:t>2-day</m:t>
              </m:r>
            </m:sup>
          </m:sSubSup>
          <m:r>
            <w:rPr>
              <w:rFonts w:ascii="Cambria Math" w:hAnsi="Cambria Math"/>
              <w:sz w:val="22"/>
              <w:szCs w:val="22"/>
              <w:lang w:val="en-US"/>
            </w:rPr>
            <m:t xml:space="preserve"> = A</m:t>
          </m:r>
          <m:sSubSup>
            <m:sSubSupPr>
              <m:ctrlPr>
                <w:rPr>
                  <w:rFonts w:ascii="Cambria Math" w:hAnsi="Cambria Math"/>
                  <w:i/>
                  <w:iCs/>
                  <w:sz w:val="22"/>
                  <w:szCs w:val="22"/>
                  <w:lang w:val="en-US"/>
                </w:rPr>
              </m:ctrlPr>
            </m:sSubSupPr>
            <m:e>
              <m:r>
                <w:rPr>
                  <w:rFonts w:ascii="Cambria Math" w:hAnsi="Cambria Math"/>
                  <w:sz w:val="22"/>
                  <w:szCs w:val="22"/>
                  <w:lang w:val="en-US"/>
                </w:rPr>
                <m:t>R</m:t>
              </m:r>
            </m:e>
            <m:sub>
              <m:r>
                <w:rPr>
                  <w:rFonts w:ascii="Cambria Math" w:hAnsi="Cambria Math"/>
                  <w:sz w:val="22"/>
                  <w:szCs w:val="22"/>
                  <w:lang w:val="en-US"/>
                </w:rPr>
                <m:t>i</m:t>
              </m:r>
            </m:sub>
            <m:sup>
              <m:r>
                <w:rPr>
                  <w:rFonts w:ascii="Cambria Math" w:hAnsi="Cambria Math"/>
                  <w:sz w:val="22"/>
                  <w:szCs w:val="22"/>
                  <w:lang w:val="en-US"/>
                </w:rPr>
                <m:t>Dec 13</m:t>
              </m:r>
            </m:sup>
          </m:sSubSup>
          <m:r>
            <w:rPr>
              <w:rFonts w:ascii="Cambria Math" w:hAnsi="Cambria Math"/>
              <w:sz w:val="22"/>
              <w:szCs w:val="22"/>
              <w:lang w:val="en-US"/>
            </w:rPr>
            <m:t xml:space="preserve"> + A</m:t>
          </m:r>
          <m:sSubSup>
            <m:sSubSupPr>
              <m:ctrlPr>
                <w:rPr>
                  <w:rFonts w:ascii="Cambria Math" w:hAnsi="Cambria Math"/>
                  <w:i/>
                  <w:iCs/>
                  <w:sz w:val="22"/>
                  <w:szCs w:val="22"/>
                  <w:lang w:val="en-US"/>
                </w:rPr>
              </m:ctrlPr>
            </m:sSubSupPr>
            <m:e>
              <m:r>
                <w:rPr>
                  <w:rFonts w:ascii="Cambria Math" w:hAnsi="Cambria Math"/>
                  <w:sz w:val="22"/>
                  <w:szCs w:val="22"/>
                  <w:lang w:val="en-US"/>
                </w:rPr>
                <m:t>R</m:t>
              </m:r>
            </m:e>
            <m:sub>
              <m:r>
                <w:rPr>
                  <w:rFonts w:ascii="Cambria Math" w:hAnsi="Cambria Math"/>
                  <w:sz w:val="22"/>
                  <w:szCs w:val="22"/>
                  <w:lang w:val="en-US"/>
                </w:rPr>
                <m:t>i</m:t>
              </m:r>
            </m:sub>
            <m:sup>
              <m:r>
                <w:rPr>
                  <w:rFonts w:ascii="Cambria Math" w:hAnsi="Cambria Math"/>
                  <w:sz w:val="22"/>
                  <w:szCs w:val="22"/>
                  <w:lang w:val="en-US"/>
                </w:rPr>
                <m:t>Dec 14</m:t>
              </m:r>
            </m:sup>
          </m:sSubSup>
        </m:oMath>
      </m:oMathPara>
    </w:p>
    <w:p w14:paraId="073E7A08" w14:textId="203CAB86" w:rsidR="0074441E" w:rsidRPr="00F414EA" w:rsidRDefault="00211415" w:rsidP="00CF1E2D">
      <w:pPr>
        <w:spacing w:line="360" w:lineRule="auto"/>
        <w:jc w:val="both"/>
        <w:rPr>
          <w:rFonts w:ascii="Century" w:hAnsi="Century"/>
          <w:sz w:val="22"/>
          <w:szCs w:val="22"/>
          <w:highlight w:val="yellow"/>
          <w:lang w:val="en-US"/>
        </w:rPr>
      </w:pPr>
      <w:r w:rsidRPr="00F414EA">
        <w:rPr>
          <w:rFonts w:ascii="Century" w:hAnsi="Century"/>
          <w:noProof/>
          <w:sz w:val="22"/>
          <w:szCs w:val="22"/>
          <w:lang w:val="en-US"/>
          <w14:ligatures w14:val="standardContextual"/>
        </w:rPr>
        <mc:AlternateContent>
          <mc:Choice Requires="wps">
            <w:drawing>
              <wp:anchor distT="0" distB="0" distL="114300" distR="114300" simplePos="0" relativeHeight="251671552" behindDoc="0" locked="0" layoutInCell="1" allowOverlap="1" wp14:anchorId="60B6C740" wp14:editId="3966A443">
                <wp:simplePos x="0" y="0"/>
                <wp:positionH relativeFrom="column">
                  <wp:posOffset>601345</wp:posOffset>
                </wp:positionH>
                <wp:positionV relativeFrom="page">
                  <wp:posOffset>6840102</wp:posOffset>
                </wp:positionV>
                <wp:extent cx="414655" cy="295910"/>
                <wp:effectExtent l="0" t="0" r="4445" b="0"/>
                <wp:wrapNone/>
                <wp:docPr id="942000642" name="Caixa de texto 3"/>
                <wp:cNvGraphicFramePr/>
                <a:graphic xmlns:a="http://schemas.openxmlformats.org/drawingml/2006/main">
                  <a:graphicData uri="http://schemas.microsoft.com/office/word/2010/wordprocessingShape">
                    <wps:wsp>
                      <wps:cNvSpPr txBox="1"/>
                      <wps:spPr>
                        <a:xfrm>
                          <a:off x="0" y="0"/>
                          <a:ext cx="414655" cy="295910"/>
                        </a:xfrm>
                        <a:prstGeom prst="rect">
                          <a:avLst/>
                        </a:prstGeom>
                        <a:solidFill>
                          <a:schemeClr val="lt1"/>
                        </a:solidFill>
                        <a:ln w="6350">
                          <a:noFill/>
                        </a:ln>
                      </wps:spPr>
                      <wps:txbx>
                        <w:txbxContent>
                          <w:p w14:paraId="0A80D2EB" w14:textId="2AC907A5" w:rsidR="0008652B" w:rsidRPr="003A6DD7" w:rsidRDefault="0008652B" w:rsidP="0008652B">
                            <w:pPr>
                              <w:rPr>
                                <w:rFonts w:ascii="Century" w:hAnsi="Century"/>
                                <w:sz w:val="20"/>
                                <w:szCs w:val="20"/>
                              </w:rPr>
                            </w:pPr>
                            <w:r w:rsidRPr="003A6DD7">
                              <w:rPr>
                                <w:rFonts w:ascii="Aptos" w:hAnsi="Aptos"/>
                                <w:sz w:val="20"/>
                                <w:szCs w:val="20"/>
                              </w:rPr>
                              <w:t>(</w:t>
                            </w:r>
                            <w:r>
                              <w:rPr>
                                <w:rFonts w:ascii="Century" w:hAnsi="Century"/>
                                <w:sz w:val="20"/>
                                <w:szCs w:val="20"/>
                              </w:rPr>
                              <w:t>4</w:t>
                            </w:r>
                            <w:r w:rsidRPr="003A6DD7">
                              <w:rPr>
                                <w:rFonts w:ascii="Aptos" w:hAnsi="Apto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6C740" id="_x0000_s1029" type="#_x0000_t202" style="position:absolute;left:0;text-align:left;margin-left:47.35pt;margin-top:538.6pt;width:32.65pt;height:2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" fillcolor="white [3201]" stroked="f" strokeweight=".5pt">
                <v:textbox>
                  <w:txbxContent>
                    <w:p w14:paraId="0A80D2EB" w14:textId="2AC907A5" w:rsidR="0008652B" w:rsidRPr="003A6DD7" w:rsidRDefault="0008652B" w:rsidP="0008652B">
                      <w:pPr>
                        <w:rPr>
                          <w:rFonts w:ascii="Century" w:hAnsi="Century"/>
                          <w:sz w:val="20"/>
                          <w:szCs w:val="20"/>
                        </w:rPr>
                      </w:pPr>
                      <w:r w:rsidRPr="003A6DD7">
                        <w:rPr>
                          <w:rFonts w:ascii="Aptos" w:hAnsi="Aptos"/>
                          <w:sz w:val="20"/>
                          <w:szCs w:val="20"/>
                        </w:rPr>
                        <w:t>(</w:t>
                      </w:r>
                      <w:r>
                        <w:rPr>
                          <w:rFonts w:ascii="Century" w:hAnsi="Century"/>
                          <w:sz w:val="20"/>
                          <w:szCs w:val="20"/>
                        </w:rPr>
                        <w:t>4</w:t>
                      </w:r>
                      <w:r w:rsidRPr="003A6DD7">
                        <w:rPr>
                          <w:rFonts w:ascii="Aptos" w:hAnsi="Aptos"/>
                          <w:sz w:val="20"/>
                          <w:szCs w:val="20"/>
                        </w:rPr>
                        <w:t>)</w:t>
                      </w:r>
                    </w:p>
                  </w:txbxContent>
                </v:textbox>
                <w10:wrap anchory="page"/>
              </v:shape>
            </w:pict>
          </mc:Fallback>
        </mc:AlternateContent>
      </w:r>
      <w:r w:rsidR="0074441E" w:rsidRPr="00F414EA">
        <w:rPr>
          <w:rFonts w:ascii="Century" w:hAnsi="Century"/>
          <w:sz w:val="22"/>
          <w:szCs w:val="22"/>
          <w:lang w:val="en-US"/>
        </w:rPr>
        <w:t>We compare firms across the full cross-section using the continuous exposure measure rather than only a top/bottom quintile sort, so the test does not discard information in the middle of the exposure distribution. The main test estimates, twice, the following cross-sectional specification</w:t>
      </w:r>
      <w:r w:rsidR="004F0336" w:rsidRPr="00F414EA">
        <w:rPr>
          <w:rFonts w:ascii="Century" w:hAnsi="Century"/>
          <w:sz w:val="22"/>
          <w:szCs w:val="22"/>
          <w:lang w:val="en-US"/>
        </w:rPr>
        <w:t>, running Weighted Least Squares weighted on pre-fixed (Nov. 29) Market Capitalization</w:t>
      </w:r>
      <w:r w:rsidR="00DC73D9" w:rsidRPr="00F414EA">
        <w:rPr>
          <w:rFonts w:ascii="Century" w:hAnsi="Century"/>
          <w:sz w:val="22"/>
          <w:szCs w:val="22"/>
          <w:lang w:val="en-US"/>
        </w:rPr>
        <w:t>, as per the paper.</w:t>
      </w:r>
    </w:p>
    <w:p w14:paraId="02DC335E" w14:textId="075E557C" w:rsidR="0074441E" w:rsidRPr="00F414EA" w:rsidRDefault="00000000" w:rsidP="00E15641">
      <w:pPr>
        <w:spacing w:before="240" w:after="240" w:line="360" w:lineRule="auto"/>
        <w:jc w:val="center"/>
        <w:rPr>
          <w:rFonts w:ascii="Century" w:hAnsi="Century"/>
          <w:sz w:val="22"/>
          <w:szCs w:val="22"/>
          <w:lang w:val="en-US"/>
        </w:rPr>
      </w:pPr>
      <m:oMathPara>
        <m:oMath>
          <m:sSub>
            <m:sSubPr>
              <m:ctrlPr>
                <w:rPr>
                  <w:rFonts w:ascii="Cambria Math" w:hAnsi="Cambria Math"/>
                  <w:i/>
                  <w:iCs/>
                  <w:sz w:val="22"/>
                  <w:szCs w:val="22"/>
                  <w:lang w:val="en-US"/>
                </w:rPr>
              </m:ctrlPr>
            </m:sSubPr>
            <m:e>
              <m:r>
                <w:rPr>
                  <w:rFonts w:ascii="Cambria Math" w:hAnsi="Cambria Math"/>
                  <w:sz w:val="22"/>
                  <w:szCs w:val="22"/>
                  <w:lang w:val="en-US"/>
                </w:rPr>
                <m:t>CAR</m:t>
              </m:r>
            </m:e>
            <m:sub>
              <m:r>
                <w:rPr>
                  <w:rFonts w:ascii="Cambria Math" w:hAnsi="Cambria Math"/>
                  <w:sz w:val="22"/>
                  <w:szCs w:val="22"/>
                  <w:lang w:val="en-US"/>
                </w:rPr>
                <m:t>i</m:t>
              </m:r>
            </m:sub>
          </m:sSub>
          <m:r>
            <w:rPr>
              <w:rFonts w:ascii="Cambria Math" w:hAnsi="Cambria Math"/>
              <w:sz w:val="22"/>
              <w:szCs w:val="22"/>
              <w:lang w:val="en-US"/>
            </w:rPr>
            <m:t xml:space="preserve"> = α + β·</m:t>
          </m:r>
          <m:sSub>
            <m:sSubPr>
              <m:ctrlPr>
                <w:rPr>
                  <w:rFonts w:ascii="Cambria Math" w:hAnsi="Cambria Math"/>
                  <w:i/>
                  <w:iCs/>
                  <w:sz w:val="22"/>
                  <w:szCs w:val="22"/>
                  <w:lang w:val="en-US"/>
                </w:rPr>
              </m:ctrlPr>
            </m:sSubPr>
            <m:e>
              <m:r>
                <w:rPr>
                  <w:rFonts w:ascii="Cambria Math" w:hAnsi="Cambria Math"/>
                  <w:sz w:val="22"/>
                  <w:szCs w:val="22"/>
                  <w:lang w:val="en-US"/>
                </w:rPr>
                <m:t>Exposure</m:t>
              </m:r>
            </m:e>
            <m:sub>
              <m:r>
                <w:rPr>
                  <w:rFonts w:ascii="Cambria Math" w:hAnsi="Cambria Math"/>
                  <w:sz w:val="22"/>
                  <w:szCs w:val="22"/>
                  <w:lang w:val="en-US"/>
                </w:rPr>
                <m:t>i</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r>
                <w:rPr>
                  <w:rFonts w:ascii="Cambria Math" w:hAnsi="Cambria Math"/>
                  <w:sz w:val="22"/>
                  <w:szCs w:val="22"/>
                  <w:lang w:val="en-US"/>
                </w:rPr>
                <m:t>γ</m:t>
              </m:r>
            </m:e>
            <m:sub>
              <m:r>
                <w:rPr>
                  <w:rFonts w:ascii="Cambria Math" w:hAnsi="Cambria Math"/>
                  <w:sz w:val="22"/>
                  <w:szCs w:val="22"/>
                  <w:lang w:val="en-US"/>
                </w:rPr>
                <m:t>1</m:t>
              </m:r>
            </m:sub>
          </m:sSub>
          <m:r>
            <w:rPr>
              <w:rFonts w:ascii="Cambria Math" w:hAnsi="Cambria Math"/>
              <w:sz w:val="22"/>
              <w:szCs w:val="22"/>
              <w:lang w:val="en-US"/>
            </w:rPr>
            <m:t>B</m:t>
          </m:r>
          <m:sSub>
            <m:sSubPr>
              <m:ctrlPr>
                <w:rPr>
                  <w:rFonts w:ascii="Cambria Math" w:hAnsi="Cambria Math"/>
                  <w:i/>
                  <w:iCs/>
                  <w:sz w:val="22"/>
                  <w:szCs w:val="22"/>
                  <w:lang w:val="en-US"/>
                </w:rPr>
              </m:ctrlPr>
            </m:sSubPr>
            <m:e>
              <m:r>
                <w:rPr>
                  <w:rFonts w:ascii="Cambria Math" w:hAnsi="Cambria Math"/>
                  <w:sz w:val="22"/>
                  <w:szCs w:val="22"/>
                  <w:lang w:val="en-US"/>
                </w:rPr>
                <m:t>M</m:t>
              </m:r>
            </m:e>
            <m:sub>
              <m:r>
                <w:rPr>
                  <w:rFonts w:ascii="Cambria Math" w:hAnsi="Cambria Math"/>
                  <w:sz w:val="22"/>
                  <w:szCs w:val="22"/>
                  <w:lang w:val="en-US"/>
                </w:rPr>
                <m:t>i</m:t>
              </m:r>
            </m:sub>
          </m:sSub>
          <m:r>
            <w:rPr>
              <w:rFonts w:ascii="Cambria Math" w:hAnsi="Cambria Math"/>
              <w:sz w:val="22"/>
              <w:szCs w:val="22"/>
              <w:lang w:val="en-US"/>
            </w:rPr>
            <m:t xml:space="preserve"> + δ(industry) + </m:t>
          </m:r>
          <m:sSub>
            <m:sSubPr>
              <m:ctrlPr>
                <w:rPr>
                  <w:rFonts w:ascii="Cambria Math" w:hAnsi="Cambria Math"/>
                  <w:i/>
                  <w:iCs/>
                  <w:sz w:val="22"/>
                  <w:szCs w:val="22"/>
                  <w:lang w:val="en-US"/>
                </w:rPr>
              </m:ctrlPr>
            </m:sSubPr>
            <m:e>
              <m:r>
                <w:rPr>
                  <w:rFonts w:ascii="Cambria Math" w:hAnsi="Cambria Math"/>
                  <w:sz w:val="22"/>
                  <w:szCs w:val="22"/>
                  <w:lang w:val="en-US"/>
                </w:rPr>
                <m:t>ε</m:t>
              </m:r>
            </m:e>
            <m:sub>
              <m:r>
                <w:rPr>
                  <w:rFonts w:ascii="Cambria Math" w:hAnsi="Cambria Math"/>
                  <w:sz w:val="22"/>
                  <w:szCs w:val="22"/>
                  <w:lang w:val="en-US"/>
                </w:rPr>
                <m:t>i</m:t>
              </m:r>
            </m:sub>
          </m:sSub>
        </m:oMath>
      </m:oMathPara>
    </w:p>
    <w:p w14:paraId="54AB41F0" w14:textId="4C9079DD" w:rsidR="0074441E" w:rsidRPr="00F414EA" w:rsidRDefault="0074441E" w:rsidP="0074441E">
      <w:pPr>
        <w:spacing w:line="360" w:lineRule="auto"/>
        <w:jc w:val="both"/>
        <w:rPr>
          <w:rFonts w:ascii="Century" w:hAnsi="Century"/>
          <w:sz w:val="22"/>
          <w:szCs w:val="22"/>
          <w:lang w:val="en-US"/>
        </w:rPr>
      </w:pPr>
      <w:r w:rsidRPr="00F414EA">
        <w:rPr>
          <w:rFonts w:ascii="Century" w:hAnsi="Century"/>
          <w:sz w:val="22"/>
          <w:szCs w:val="22"/>
          <w:lang w:val="en-US"/>
        </w:rPr>
        <w:t>estimated once with CAR</w:t>
      </w:r>
      <w:r w:rsidRPr="00F414EA">
        <w:rPr>
          <w:sz w:val="22"/>
          <w:szCs w:val="22"/>
          <w:lang w:val="en-US"/>
        </w:rPr>
        <w:t>ᵢ</w:t>
      </w:r>
      <w:r w:rsidRPr="00F414EA">
        <w:rPr>
          <w:rFonts w:ascii="Century" w:hAnsi="Century"/>
          <w:sz w:val="22"/>
          <w:szCs w:val="22"/>
          <w:lang w:val="en-US"/>
        </w:rPr>
        <w:t xml:space="preserve"> = CAR(full)</w:t>
      </w:r>
      <w:r w:rsidRPr="00F414EA">
        <w:rPr>
          <w:sz w:val="22"/>
          <w:szCs w:val="22"/>
          <w:lang w:val="en-US"/>
        </w:rPr>
        <w:t>ᵢ</w:t>
      </w:r>
      <w:r w:rsidRPr="00F414EA">
        <w:rPr>
          <w:rFonts w:ascii="Century" w:hAnsi="Century"/>
          <w:sz w:val="22"/>
          <w:szCs w:val="22"/>
          <w:lang w:val="en-US"/>
        </w:rPr>
        <w:t xml:space="preserve"> and once with CAR</w:t>
      </w:r>
      <w:r w:rsidRPr="00F414EA">
        <w:rPr>
          <w:sz w:val="22"/>
          <w:szCs w:val="22"/>
          <w:lang w:val="en-US"/>
        </w:rPr>
        <w:t>ᵢ</w:t>
      </w:r>
      <w:r w:rsidRPr="00F414EA">
        <w:rPr>
          <w:rFonts w:ascii="Century" w:hAnsi="Century"/>
          <w:sz w:val="22"/>
          <w:szCs w:val="22"/>
          <w:lang w:val="en-US"/>
        </w:rPr>
        <w:t xml:space="preserve"> = CAR(excl)</w:t>
      </w:r>
      <w:r w:rsidRPr="00F414EA">
        <w:rPr>
          <w:sz w:val="22"/>
          <w:szCs w:val="22"/>
          <w:lang w:val="en-US"/>
        </w:rPr>
        <w:t>ᵢ</w:t>
      </w:r>
      <w:r w:rsidRPr="00F414EA">
        <w:rPr>
          <w:rFonts w:ascii="Century" w:hAnsi="Century"/>
          <w:sz w:val="22"/>
          <w:szCs w:val="22"/>
          <w:lang w:val="en-US"/>
        </w:rPr>
        <w:t>. The control set (book-to-market and industry fixed effects) mirrors the paper's own cross-sectional controls, with one exception: we do not include the product-market AI exposure control (ProductAI, a measure of how much a firm's products and services are themselves AI-related), as the underlying data was difficult to merge with our principal dataset. This omission will be considered when analyzing our results. </w:t>
      </w:r>
    </w:p>
    <w:p w14:paraId="490D7526" w14:textId="6E1530F5" w:rsidR="0074441E" w:rsidRPr="00F414EA" w:rsidRDefault="0074441E" w:rsidP="0074441E">
      <w:pPr>
        <w:spacing w:line="360" w:lineRule="auto"/>
        <w:jc w:val="both"/>
        <w:rPr>
          <w:rFonts w:ascii="Century" w:hAnsi="Century"/>
          <w:sz w:val="22"/>
          <w:szCs w:val="22"/>
          <w:lang w:val="en-US"/>
        </w:rPr>
      </w:pPr>
      <w:r w:rsidRPr="00F414EA">
        <w:rPr>
          <w:rFonts w:ascii="Century" w:hAnsi="Century"/>
          <w:sz w:val="22"/>
          <w:szCs w:val="22"/>
          <w:lang w:val="en-US"/>
        </w:rPr>
        <w:t xml:space="preserve">The coefficient </w:t>
      </w:r>
      <w:r w:rsidRPr="00F414EA">
        <w:rPr>
          <w:rFonts w:ascii="Century" w:hAnsi="Century"/>
          <w:i/>
          <w:iCs/>
          <w:sz w:val="22"/>
          <w:szCs w:val="22"/>
          <w:lang w:val="en-US"/>
        </w:rPr>
        <w:t>β</w:t>
      </w:r>
      <w:r w:rsidRPr="00F414EA">
        <w:rPr>
          <w:rFonts w:ascii="Century" w:hAnsi="Century"/>
          <w:sz w:val="22"/>
          <w:szCs w:val="22"/>
          <w:lang w:val="en-US"/>
        </w:rPr>
        <w:t xml:space="preserve"> is the additional cumulative abnormal return earned by a firm with one-unit higher Generative AI labor exposure, holding value and industry fixed. The object of interest is the change in this coefficient across the two specifications:</w:t>
      </w:r>
    </w:p>
    <w:p w14:paraId="2453FEEF" w14:textId="00030B99" w:rsidR="0074441E" w:rsidRPr="00F414EA" w:rsidRDefault="00511F71" w:rsidP="00A37E07">
      <w:pPr>
        <w:spacing w:before="240" w:after="240" w:line="360" w:lineRule="auto"/>
        <w:jc w:val="center"/>
        <w:rPr>
          <w:rFonts w:ascii="Century" w:hAnsi="Century"/>
          <w:sz w:val="22"/>
          <w:szCs w:val="22"/>
          <w:lang w:val="en-US"/>
        </w:rPr>
      </w:pPr>
      <m:oMath>
        <m:r>
          <w:rPr>
            <w:rFonts w:ascii="Cambria Math" w:hAnsi="Cambria Math"/>
            <w:sz w:val="22"/>
            <w:szCs w:val="22"/>
            <w:lang w:val="en-US"/>
          </w:rPr>
          <w:lastRenderedPageBreak/>
          <m:t xml:space="preserve">Δβ = </m:t>
        </m:r>
        <m:sSub>
          <m:sSubPr>
            <m:ctrlPr>
              <w:rPr>
                <w:rFonts w:ascii="Cambria Math" w:hAnsi="Cambria Math"/>
                <w:i/>
                <w:iCs/>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full</m:t>
            </m:r>
          </m:sub>
        </m:sSub>
        <m:r>
          <w:rPr>
            <w:rFonts w:ascii="Cambria Math" w:hAnsi="Cambria Math"/>
            <w:sz w:val="22"/>
            <w:szCs w:val="22"/>
            <w:lang w:val="en-US"/>
          </w:rPr>
          <m:t xml:space="preserve"> - </m:t>
        </m:r>
        <m:sSub>
          <m:sSubPr>
            <m:ctrlPr>
              <w:rPr>
                <w:rFonts w:ascii="Cambria Math" w:hAnsi="Cambria Math"/>
                <w:i/>
                <w:iCs/>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excl</m:t>
            </m:r>
          </m:sub>
        </m:sSub>
        <m:r>
          <w:rPr>
            <w:rFonts w:ascii="Cambria Math" w:hAnsi="Cambria Math"/>
            <w:sz w:val="22"/>
            <w:szCs w:val="22"/>
            <w:lang w:val="en-US"/>
          </w:rPr>
          <m:t xml:space="preserve">= </m:t>
        </m:r>
        <m:sSub>
          <m:sSubPr>
            <m:ctrlPr>
              <w:rPr>
                <w:rFonts w:ascii="Cambria Math" w:hAnsi="Cambria Math"/>
                <w:i/>
                <w:iCs/>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2-day</m:t>
            </m:r>
          </m:sub>
        </m:sSub>
      </m:oMath>
      <w:r w:rsidR="00BA64ED" w:rsidRPr="00F414EA">
        <w:rPr>
          <w:rFonts w:ascii="Century" w:hAnsi="Century"/>
          <w:iCs/>
          <w:sz w:val="22"/>
          <w:szCs w:val="22"/>
          <w:lang w:val="en-US"/>
        </w:rPr>
        <w:t xml:space="preserve">   </w:t>
      </w:r>
    </w:p>
    <w:p w14:paraId="2E708397" w14:textId="3E042050" w:rsidR="005D2984" w:rsidRPr="00F414EA" w:rsidRDefault="00766435" w:rsidP="0074441E">
      <w:pPr>
        <w:spacing w:line="360" w:lineRule="auto"/>
        <w:jc w:val="both"/>
        <w:rPr>
          <w:rFonts w:ascii="Century" w:hAnsi="Century"/>
          <w:sz w:val="22"/>
          <w:szCs w:val="22"/>
          <w:lang w:val="en-US"/>
        </w:rPr>
      </w:pPr>
      <w:r w:rsidRPr="00F414EA">
        <w:rPr>
          <w:rFonts w:ascii="Century" w:hAnsi="Century"/>
          <w:noProof/>
          <w:sz w:val="22"/>
          <w:szCs w:val="22"/>
          <w:lang w:val="en-US"/>
          <w14:ligatures w14:val="standardContextual"/>
        </w:rPr>
        <mc:AlternateContent>
          <mc:Choice Requires="wps">
            <w:drawing>
              <wp:anchor distT="0" distB="0" distL="114300" distR="114300" simplePos="0" relativeHeight="251673600" behindDoc="0" locked="0" layoutInCell="1" allowOverlap="1" wp14:anchorId="1048C3BE" wp14:editId="26812FE3">
                <wp:simplePos x="0" y="0"/>
                <wp:positionH relativeFrom="column">
                  <wp:posOffset>1545590</wp:posOffset>
                </wp:positionH>
                <wp:positionV relativeFrom="page">
                  <wp:posOffset>859155</wp:posOffset>
                </wp:positionV>
                <wp:extent cx="414655" cy="295910"/>
                <wp:effectExtent l="0" t="0" r="4445" b="0"/>
                <wp:wrapNone/>
                <wp:docPr id="1502982845" name="Caixa de texto 3"/>
                <wp:cNvGraphicFramePr/>
                <a:graphic xmlns:a="http://schemas.openxmlformats.org/drawingml/2006/main">
                  <a:graphicData uri="http://schemas.microsoft.com/office/word/2010/wordprocessingShape">
                    <wps:wsp>
                      <wps:cNvSpPr txBox="1"/>
                      <wps:spPr>
                        <a:xfrm>
                          <a:off x="0" y="0"/>
                          <a:ext cx="414655" cy="295910"/>
                        </a:xfrm>
                        <a:prstGeom prst="rect">
                          <a:avLst/>
                        </a:prstGeom>
                        <a:solidFill>
                          <a:schemeClr val="lt1"/>
                        </a:solidFill>
                        <a:ln w="6350">
                          <a:noFill/>
                        </a:ln>
                      </wps:spPr>
                      <wps:txbx>
                        <w:txbxContent>
                          <w:p w14:paraId="2EBA2ED4" w14:textId="0177C3B2" w:rsidR="00645EE5" w:rsidRPr="003A6DD7" w:rsidRDefault="00645EE5" w:rsidP="00645EE5">
                            <w:pPr>
                              <w:rPr>
                                <w:rFonts w:ascii="Century" w:hAnsi="Century"/>
                                <w:sz w:val="20"/>
                                <w:szCs w:val="20"/>
                              </w:rPr>
                            </w:pPr>
                            <w:r w:rsidRPr="003A6DD7">
                              <w:rPr>
                                <w:rFonts w:ascii="Aptos" w:hAnsi="Aptos"/>
                                <w:sz w:val="20"/>
                                <w:szCs w:val="20"/>
                              </w:rPr>
                              <w:t>(</w:t>
                            </w:r>
                            <w:r>
                              <w:rPr>
                                <w:rFonts w:ascii="Century" w:hAnsi="Century"/>
                                <w:sz w:val="20"/>
                                <w:szCs w:val="20"/>
                              </w:rPr>
                              <w:t>5</w:t>
                            </w:r>
                            <w:r w:rsidRPr="003A6DD7">
                              <w:rPr>
                                <w:rFonts w:ascii="Aptos" w:hAnsi="Apto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8C3BE" id="_x0000_s1030" type="#_x0000_t202" style="position:absolute;left:0;text-align:left;margin-left:121.7pt;margin-top:67.65pt;width:32.65pt;height:2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" fillcolor="white [3201]" stroked="f" strokeweight=".5pt">
                <v:textbox>
                  <w:txbxContent>
                    <w:p w14:paraId="2EBA2ED4" w14:textId="0177C3B2" w:rsidR="00645EE5" w:rsidRPr="003A6DD7" w:rsidRDefault="00645EE5" w:rsidP="00645EE5">
                      <w:pPr>
                        <w:rPr>
                          <w:rFonts w:ascii="Century" w:hAnsi="Century"/>
                          <w:sz w:val="20"/>
                          <w:szCs w:val="20"/>
                        </w:rPr>
                      </w:pPr>
                      <w:r w:rsidRPr="003A6DD7">
                        <w:rPr>
                          <w:rFonts w:ascii="Aptos" w:hAnsi="Aptos"/>
                          <w:sz w:val="20"/>
                          <w:szCs w:val="20"/>
                        </w:rPr>
                        <w:t>(</w:t>
                      </w:r>
                      <w:r>
                        <w:rPr>
                          <w:rFonts w:ascii="Century" w:hAnsi="Century"/>
                          <w:sz w:val="20"/>
                          <w:szCs w:val="20"/>
                        </w:rPr>
                        <w:t>5</w:t>
                      </w:r>
                      <w:r w:rsidRPr="003A6DD7">
                        <w:rPr>
                          <w:rFonts w:ascii="Aptos" w:hAnsi="Aptos"/>
                          <w:sz w:val="20"/>
                          <w:szCs w:val="20"/>
                        </w:rPr>
                        <w:t>)</w:t>
                      </w:r>
                    </w:p>
                  </w:txbxContent>
                </v:textbox>
                <w10:wrap anchory="page"/>
              </v:shape>
            </w:pict>
          </mc:Fallback>
        </mc:AlternateContent>
      </w:r>
      <w:r w:rsidR="0074441E" w:rsidRPr="00F414EA">
        <w:rPr>
          <w:rFonts w:ascii="Century" w:hAnsi="Century"/>
          <w:sz w:val="22"/>
          <w:szCs w:val="22"/>
          <w:lang w:val="en-US"/>
        </w:rPr>
        <w:t xml:space="preserve">If </w:t>
      </w:r>
      <m:oMath>
        <m:r>
          <w:rPr>
            <w:rFonts w:ascii="Cambria Math" w:hAnsi="Cambria Math"/>
            <w:sz w:val="22"/>
            <w:szCs w:val="22"/>
            <w:lang w:val="en-US"/>
          </w:rPr>
          <m:t>Δβ</m:t>
        </m:r>
      </m:oMath>
      <w:r w:rsidR="0074441E" w:rsidRPr="00F414EA">
        <w:rPr>
          <w:rFonts w:ascii="Century" w:hAnsi="Century"/>
          <w:sz w:val="22"/>
          <w:szCs w:val="22"/>
          <w:lang w:val="en-US"/>
        </w:rPr>
        <w:t xml:space="preserve"> is small and statistically indistinguishable from zero, the </w:t>
      </w:r>
      <w:r w:rsidR="0074441E" w:rsidRPr="00F414EA">
        <w:rPr>
          <w:rFonts w:ascii="Century" w:hAnsi="Century"/>
          <w:sz w:val="18"/>
          <w:szCs w:val="18"/>
          <w:lang w:val="en-US"/>
        </w:rPr>
        <w:t xml:space="preserve">CPI/FOMC </w:t>
      </w:r>
      <w:r w:rsidR="0074441E" w:rsidRPr="00F414EA">
        <w:rPr>
          <w:rFonts w:ascii="Century" w:hAnsi="Century"/>
          <w:sz w:val="22"/>
          <w:szCs w:val="22"/>
          <w:lang w:val="en-US"/>
        </w:rPr>
        <w:t xml:space="preserve">news does not meaningfully drive the headline estimate, and the concern raised in Section 2.2 is not supported. If </w:t>
      </w:r>
      <m:oMath>
        <m:sSub>
          <m:sSubPr>
            <m:ctrlPr>
              <w:rPr>
                <w:rFonts w:ascii="Cambria Math" w:hAnsi="Cambria Math"/>
                <w:i/>
                <w:iCs/>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excl</m:t>
            </m:r>
          </m:sub>
        </m:sSub>
      </m:oMath>
      <w:r w:rsidR="0074441E" w:rsidRPr="00F414EA">
        <w:rPr>
          <w:rFonts w:ascii="Century" w:hAnsi="Century"/>
          <w:sz w:val="22"/>
          <w:szCs w:val="22"/>
          <w:lang w:val="en-US"/>
        </w:rPr>
        <w:t xml:space="preserve">shrinks substantially, loses significance, or changes sign relative to </w:t>
      </w:r>
      <m:oMath>
        <m:sSub>
          <m:sSubPr>
            <m:ctrlPr>
              <w:rPr>
                <w:rFonts w:ascii="Cambria Math" w:hAnsi="Cambria Math"/>
                <w:i/>
                <w:iCs/>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full</m:t>
            </m:r>
          </m:sub>
        </m:sSub>
      </m:oMath>
      <w:r w:rsidR="0074441E" w:rsidRPr="00F414EA">
        <w:rPr>
          <w:rFonts w:ascii="Century" w:hAnsi="Century"/>
          <w:sz w:val="22"/>
          <w:szCs w:val="22"/>
          <w:lang w:val="en-US"/>
        </w:rPr>
        <w:t xml:space="preserve">, i.e., if </w:t>
      </w:r>
      <m:oMath>
        <m:r>
          <w:rPr>
            <w:rFonts w:ascii="Cambria Math" w:hAnsi="Cambria Math"/>
            <w:sz w:val="22"/>
            <w:szCs w:val="22"/>
            <w:lang w:val="en-US"/>
          </w:rPr>
          <m:t>Δβ</m:t>
        </m:r>
      </m:oMath>
      <w:r w:rsidR="0074441E" w:rsidRPr="00F414EA">
        <w:rPr>
          <w:rFonts w:ascii="Century" w:hAnsi="Century"/>
          <w:sz w:val="22"/>
          <w:szCs w:val="22"/>
          <w:lang w:val="en-US"/>
        </w:rPr>
        <w:t xml:space="preserve"> is large and significant, a non-trivial part of the paper's reported exposure–return relation is attributable to those two macroeconomic dates rather than to Generative-AI-specific information. </w:t>
      </w:r>
      <w:r w:rsidR="000F74AC" w:rsidRPr="00F414EA">
        <w:rPr>
          <w:rFonts w:ascii="Century" w:hAnsi="Century"/>
          <w:sz w:val="22"/>
          <w:szCs w:val="22"/>
          <w:lang w:val="en-US"/>
        </w:rPr>
        <w:t xml:space="preserve"> </w:t>
      </w:r>
      <w:r w:rsidR="0074441E" w:rsidRPr="00F414EA">
        <w:rPr>
          <w:rFonts w:ascii="Century" w:hAnsi="Century"/>
          <w:sz w:val="22"/>
          <w:szCs w:val="22"/>
          <w:lang w:val="en-US"/>
        </w:rPr>
        <w:t>The test assumes that whatever correlation exists between Exposure</w:t>
      </w:r>
      <w:r w:rsidR="0074441E" w:rsidRPr="00F414EA">
        <w:rPr>
          <w:sz w:val="22"/>
          <w:szCs w:val="22"/>
          <w:lang w:val="en-US"/>
        </w:rPr>
        <w:t>ᵢ</w:t>
      </w:r>
      <w:r w:rsidR="0074441E" w:rsidRPr="00F414EA">
        <w:rPr>
          <w:rFonts w:ascii="Century" w:hAnsi="Century"/>
          <w:sz w:val="22"/>
          <w:szCs w:val="22"/>
          <w:lang w:val="en-US"/>
        </w:rPr>
        <w:t xml:space="preserve"> and returns on Dec 13–14 specifically reflects a duration/macro channel, not a continued arrival of genuine ChatGPT-related firm news that happened to land on those exact two days. This is needed because otherwise dropping Dec 13–14 would remove real signal along with the noise we are trying to strip out, making a shrinking </w:t>
      </w:r>
      <m:oMath>
        <m:r>
          <w:rPr>
            <w:rFonts w:ascii="Cambria Math" w:hAnsi="Cambria Math"/>
            <w:sz w:val="22"/>
            <w:szCs w:val="22"/>
            <w:lang w:val="en-US"/>
          </w:rPr>
          <m:t>β</m:t>
        </m:r>
      </m:oMath>
      <w:r w:rsidR="0074441E" w:rsidRPr="00F414EA">
        <w:rPr>
          <w:rFonts w:ascii="Century" w:hAnsi="Century"/>
          <w:i/>
          <w:iCs/>
          <w:sz w:val="22"/>
          <w:szCs w:val="22"/>
          <w:lang w:val="en-US"/>
        </w:rPr>
        <w:t xml:space="preserve"> </w:t>
      </w:r>
      <w:r w:rsidR="0074441E" w:rsidRPr="00F414EA">
        <w:rPr>
          <w:rFonts w:ascii="Century" w:hAnsi="Century"/>
          <w:sz w:val="22"/>
          <w:szCs w:val="22"/>
          <w:lang w:val="en-US"/>
        </w:rPr>
        <w:t xml:space="preserve">look like contamination when it is really just a shorter, noisier window. The assumption is plausible because Dec 13–14 are pre-scheduled macroeconomic announcements, exogenous to firm-specific Generative AI news flow. It could fail if Generative-AI-specific news (analyst notes, press coverage, earnings commentary) also happened to cluster on those same two days. As a mitigation, we run a placebo/rotation check: re-estimating β(excl) after excluding other, arbitrary two-day pairs within the window (e.g., Dec 5–6, Dec 7–8) instead of Dec 13–14. If dropping Dec 13–14 produces a distinctly larger shrinkage in </w:t>
      </w:r>
      <m:oMath>
        <m:r>
          <w:rPr>
            <w:rFonts w:ascii="Cambria Math" w:hAnsi="Cambria Math"/>
            <w:sz w:val="22"/>
            <w:szCs w:val="22"/>
            <w:lang w:val="en-US"/>
          </w:rPr>
          <m:t>β</m:t>
        </m:r>
      </m:oMath>
      <w:r w:rsidR="0074441E" w:rsidRPr="00F414EA">
        <w:rPr>
          <w:rFonts w:ascii="Century" w:hAnsi="Century"/>
          <w:sz w:val="22"/>
          <w:szCs w:val="22"/>
          <w:lang w:val="en-US"/>
        </w:rPr>
        <w:t xml:space="preserve"> than dropping a random comparable pair, this supports treating Dec 13–14 as special. If the shrinkage looks similar regardless of which two days are dropped, the identifying assumption is in trouble and is reported as a limitation.</w:t>
      </w:r>
    </w:p>
    <w:p w14:paraId="3323471F" w14:textId="70039B96" w:rsidR="00C569CA" w:rsidRPr="00F414EA" w:rsidRDefault="0074441E" w:rsidP="00512664">
      <w:pPr>
        <w:spacing w:before="320" w:after="160" w:line="360" w:lineRule="auto"/>
        <w:outlineLvl w:val="1"/>
        <w:rPr>
          <w:rFonts w:ascii="Century" w:hAnsi="Century"/>
          <w:sz w:val="22"/>
          <w:szCs w:val="22"/>
          <w:lang w:val="en-US"/>
        </w:rPr>
      </w:pPr>
      <w:r w:rsidRPr="00F414EA">
        <w:rPr>
          <w:rFonts w:ascii="Century" w:hAnsi="Century"/>
          <w:sz w:val="22"/>
          <w:szCs w:val="22"/>
          <w:lang w:val="en-US"/>
        </w:rPr>
        <w:t>3.2 Sample Construction</w:t>
      </w:r>
    </w:p>
    <w:p w14:paraId="6489A93E" w14:textId="052F8E89" w:rsidR="000F74AC" w:rsidRPr="00F414EA" w:rsidRDefault="0074441E" w:rsidP="000F74AC">
      <w:pPr>
        <w:spacing w:line="360" w:lineRule="auto"/>
        <w:ind w:firstLine="708"/>
        <w:jc w:val="both"/>
        <w:rPr>
          <w:rFonts w:ascii="Century" w:hAnsi="Century"/>
          <w:sz w:val="22"/>
          <w:szCs w:val="22"/>
          <w:lang w:val="en-US"/>
        </w:rPr>
      </w:pPr>
      <w:r w:rsidRPr="00F414EA">
        <w:rPr>
          <w:rFonts w:ascii="Century" w:hAnsi="Century"/>
          <w:sz w:val="22"/>
          <w:szCs w:val="22"/>
          <w:lang w:val="en-US"/>
        </w:rPr>
        <w:t xml:space="preserve">The sample is built from daily stock prices in the Compustat Security Daily database. Because the exposure measure of Eisfeldt, Schubert and Zhang (2026) uses the same firm identifier as Compustat (gvkey), the two sources are merged directly on this identifier, and every firm with an exposure measure is matched to its price series. The market excess return and the risk-free rate come from Kenneth French's data library: the market is a value-weighted portfolio of all NYSE, AMEX and NASDAQ stocks, the risk-free rate is the one-month Treasury bill rate, and the same source provides the US trading calendar used to count event days. </w:t>
      </w:r>
      <w:r w:rsidR="00100FEE" w:rsidRPr="00F414EA">
        <w:rPr>
          <w:rFonts w:ascii="Century" w:hAnsi="Century"/>
          <w:sz w:val="22"/>
          <w:szCs w:val="22"/>
          <w:lang w:val="en-US"/>
        </w:rPr>
        <w:t>Similar to the original paper,</w:t>
      </w:r>
      <w:r w:rsidRPr="00F414EA">
        <w:rPr>
          <w:rFonts w:ascii="Century" w:hAnsi="Century"/>
          <w:sz w:val="22"/>
          <w:szCs w:val="22"/>
          <w:lang w:val="en-US"/>
        </w:rPr>
        <w:t xml:space="preserve"> firm's industry is identified by its </w:t>
      </w:r>
      <w:r w:rsidR="00100FEE" w:rsidRPr="00F414EA">
        <w:rPr>
          <w:rFonts w:ascii="Century" w:hAnsi="Century"/>
          <w:sz w:val="22"/>
          <w:szCs w:val="22"/>
          <w:lang w:val="en-US"/>
        </w:rPr>
        <w:t>North American Industry Classification System</w:t>
      </w:r>
      <w:r w:rsidRPr="00F414EA">
        <w:rPr>
          <w:rFonts w:ascii="Century" w:hAnsi="Century"/>
          <w:sz w:val="22"/>
          <w:szCs w:val="22"/>
          <w:lang w:val="en-US"/>
        </w:rPr>
        <w:t xml:space="preserve"> (</w:t>
      </w:r>
      <w:r w:rsidR="00100FEE" w:rsidRPr="00F414EA">
        <w:rPr>
          <w:rFonts w:ascii="Century" w:hAnsi="Century"/>
          <w:sz w:val="22"/>
          <w:szCs w:val="22"/>
          <w:lang w:val="en-US"/>
        </w:rPr>
        <w:t>NAICS</w:t>
      </w:r>
      <w:r w:rsidRPr="00F414EA">
        <w:rPr>
          <w:rFonts w:ascii="Century" w:hAnsi="Century"/>
          <w:sz w:val="22"/>
          <w:szCs w:val="22"/>
          <w:lang w:val="en-US"/>
        </w:rPr>
        <w:t xml:space="preserve">) code, taken from Compustat as the last code available before the release. Book equity and total market capitalization come from a separate Compustat file, but both are merged with the price </w:t>
      </w:r>
      <w:r w:rsidRPr="00F414EA">
        <w:rPr>
          <w:rFonts w:ascii="Century" w:hAnsi="Century"/>
          <w:sz w:val="22"/>
          <w:szCs w:val="22"/>
          <w:lang w:val="en-US"/>
        </w:rPr>
        <w:lastRenderedPageBreak/>
        <w:t>data in the same way.</w:t>
      </w:r>
      <w:r w:rsidR="000F74AC" w:rsidRPr="00F414EA">
        <w:rPr>
          <w:rFonts w:ascii="Century" w:hAnsi="Century"/>
          <w:sz w:val="22"/>
          <w:szCs w:val="22"/>
          <w:lang w:val="en-US"/>
        </w:rPr>
        <w:t xml:space="preserve"> </w:t>
      </w:r>
      <w:r w:rsidRPr="00F414EA">
        <w:rPr>
          <w:rFonts w:ascii="Century" w:hAnsi="Century"/>
          <w:sz w:val="22"/>
          <w:szCs w:val="22"/>
          <w:lang w:val="en-US"/>
        </w:rPr>
        <w:t>Starting from 4,844 firms, we keep firms headquartered in the United States (4,094), as the exposure measure is built on US jobs. We then keep ordinary common shares only, which removes 1,235 exchange-traded funds, 221 closed-end funds and 2 depositary receipts: these investment vehicles carry the workforce exposure of the asset manager that sponsors them rather than that of an operating firm. We require at least 150 daily returns during the one-year estimation period so that each firm's market beta is reliably estimated (2,</w:t>
      </w:r>
      <w:r w:rsidR="005978B4">
        <w:rPr>
          <w:rFonts w:ascii="Century" w:hAnsi="Century"/>
          <w:sz w:val="22"/>
          <w:szCs w:val="22"/>
          <w:lang w:val="en-US"/>
        </w:rPr>
        <w:t>544</w:t>
      </w:r>
      <w:r w:rsidRPr="00F414EA">
        <w:rPr>
          <w:rFonts w:ascii="Century" w:hAnsi="Century"/>
          <w:sz w:val="22"/>
          <w:szCs w:val="22"/>
          <w:lang w:val="en-US"/>
        </w:rPr>
        <w:t xml:space="preserve"> firms), and a return on every day of the event window, which ensures that the three return measures are computed on exactly the same firms (2,</w:t>
      </w:r>
      <w:r w:rsidR="005978B4">
        <w:rPr>
          <w:rFonts w:ascii="Century" w:hAnsi="Century"/>
          <w:sz w:val="22"/>
          <w:szCs w:val="22"/>
          <w:lang w:val="en-US"/>
        </w:rPr>
        <w:t>460</w:t>
      </w:r>
      <w:r w:rsidRPr="00F414EA">
        <w:rPr>
          <w:rFonts w:ascii="Century" w:hAnsi="Century"/>
          <w:sz w:val="22"/>
          <w:szCs w:val="22"/>
          <w:lang w:val="en-US"/>
        </w:rPr>
        <w:t xml:space="preserve"> firms). </w:t>
      </w:r>
      <w:r w:rsidR="00100FEE" w:rsidRPr="00F414EA">
        <w:rPr>
          <w:rFonts w:ascii="Century" w:hAnsi="Century"/>
          <w:sz w:val="22"/>
          <w:szCs w:val="22"/>
          <w:lang w:val="en-US"/>
        </w:rPr>
        <w:t>W</w:t>
      </w:r>
      <w:r w:rsidRPr="00F414EA">
        <w:rPr>
          <w:rFonts w:ascii="Century" w:hAnsi="Century"/>
          <w:sz w:val="22"/>
          <w:szCs w:val="22"/>
          <w:lang w:val="en-US"/>
        </w:rPr>
        <w:t>e drop firms with negative or missing book equity (14</w:t>
      </w:r>
      <w:r w:rsidR="00A4464A">
        <w:rPr>
          <w:rFonts w:ascii="Century" w:hAnsi="Century"/>
          <w:sz w:val="22"/>
          <w:szCs w:val="22"/>
          <w:lang w:val="en-US"/>
        </w:rPr>
        <w:t>1</w:t>
      </w:r>
      <w:r w:rsidRPr="00F414EA">
        <w:rPr>
          <w:rFonts w:ascii="Century" w:hAnsi="Century"/>
          <w:sz w:val="22"/>
          <w:szCs w:val="22"/>
          <w:lang w:val="en-US"/>
        </w:rPr>
        <w:t xml:space="preserve"> and </w:t>
      </w:r>
      <w:r w:rsidR="00A4464A">
        <w:rPr>
          <w:rFonts w:ascii="Century" w:hAnsi="Century"/>
          <w:sz w:val="22"/>
          <w:szCs w:val="22"/>
          <w:lang w:val="en-US"/>
        </w:rPr>
        <w:t>3</w:t>
      </w:r>
      <w:r w:rsidRPr="00F414EA">
        <w:rPr>
          <w:rFonts w:ascii="Century" w:hAnsi="Century"/>
          <w:sz w:val="22"/>
          <w:szCs w:val="22"/>
          <w:lang w:val="en-US"/>
        </w:rPr>
        <w:t xml:space="preserve"> firms respectively), for which the book-to-market ratio is not meaningful.</w:t>
      </w:r>
      <w:r w:rsidR="00417CDD">
        <w:rPr>
          <w:rFonts w:ascii="Century" w:hAnsi="Century"/>
          <w:sz w:val="22"/>
          <w:szCs w:val="22"/>
          <w:lang w:val="en-US"/>
        </w:rPr>
        <w:t xml:space="preserve"> </w:t>
      </w:r>
      <w:r w:rsidR="00100FEE" w:rsidRPr="00F414EA">
        <w:rPr>
          <w:rFonts w:ascii="Century" w:hAnsi="Century"/>
          <w:sz w:val="22"/>
          <w:szCs w:val="22"/>
          <w:lang w:val="en-US"/>
        </w:rPr>
        <w:t>Finally,</w:t>
      </w:r>
      <w:r w:rsidR="00B46678">
        <w:rPr>
          <w:rFonts w:ascii="Century" w:hAnsi="Century"/>
          <w:sz w:val="22"/>
          <w:szCs w:val="22"/>
          <w:lang w:val="en-US"/>
        </w:rPr>
        <w:t xml:space="preserve"> </w:t>
      </w:r>
      <w:r w:rsidR="00100FEE" w:rsidRPr="00F414EA">
        <w:rPr>
          <w:rFonts w:ascii="Century" w:hAnsi="Century"/>
          <w:sz w:val="22"/>
          <w:szCs w:val="22"/>
          <w:lang w:val="en-US"/>
        </w:rPr>
        <w:t xml:space="preserve">we drop firms without a </w:t>
      </w:r>
      <w:r w:rsidR="00B46678">
        <w:rPr>
          <w:rFonts w:ascii="Century" w:hAnsi="Century"/>
          <w:sz w:val="22"/>
          <w:szCs w:val="22"/>
          <w:lang w:val="en-US"/>
        </w:rPr>
        <w:t xml:space="preserve">meaningful 3-digit </w:t>
      </w:r>
      <w:r w:rsidR="00100FEE" w:rsidRPr="00F414EA">
        <w:rPr>
          <w:rFonts w:ascii="Century" w:hAnsi="Century"/>
          <w:sz w:val="22"/>
          <w:szCs w:val="22"/>
          <w:lang w:val="en-US"/>
        </w:rPr>
        <w:t>NAICS code</w:t>
      </w:r>
      <w:r w:rsidR="005978B4">
        <w:rPr>
          <w:rFonts w:ascii="Century" w:hAnsi="Century"/>
          <w:sz w:val="22"/>
          <w:szCs w:val="22"/>
          <w:lang w:val="en-US"/>
        </w:rPr>
        <w:t xml:space="preserve"> (3 firms), </w:t>
      </w:r>
      <w:r w:rsidR="00100FEE" w:rsidRPr="00F414EA">
        <w:rPr>
          <w:rFonts w:ascii="Century" w:hAnsi="Century"/>
          <w:sz w:val="22"/>
          <w:szCs w:val="22"/>
          <w:lang w:val="en-US"/>
        </w:rPr>
        <w:t>and NAICS-grouped firms with less then 10 firms</w:t>
      </w:r>
      <w:r w:rsidR="005978B4">
        <w:rPr>
          <w:rFonts w:ascii="Century" w:hAnsi="Century"/>
          <w:sz w:val="22"/>
          <w:szCs w:val="22"/>
          <w:lang w:val="en-US"/>
        </w:rPr>
        <w:t xml:space="preserve"> when introducing FE to the regressions</w:t>
      </w:r>
      <w:r w:rsidR="00100FEE" w:rsidRPr="00F414EA">
        <w:rPr>
          <w:rFonts w:ascii="Century" w:hAnsi="Century"/>
          <w:sz w:val="22"/>
          <w:szCs w:val="22"/>
          <w:lang w:val="en-US"/>
        </w:rPr>
        <w:t xml:space="preserve">, matching </w:t>
      </w:r>
      <w:r w:rsidR="00CB08CC" w:rsidRPr="00F414EA">
        <w:rPr>
          <w:rFonts w:ascii="Century" w:hAnsi="Century"/>
          <w:sz w:val="22"/>
          <w:szCs w:val="22"/>
          <w:lang w:val="en-US"/>
        </w:rPr>
        <w:t>Eisfeldt</w:t>
      </w:r>
      <w:r w:rsidR="00100FEE" w:rsidRPr="00F414EA">
        <w:rPr>
          <w:rFonts w:ascii="Century" w:hAnsi="Century"/>
          <w:sz w:val="22"/>
          <w:szCs w:val="22"/>
          <w:lang w:val="en-US"/>
        </w:rPr>
        <w:t xml:space="preserve"> et al.</w:t>
      </w:r>
      <w:r w:rsidR="000F74AC" w:rsidRPr="00F414EA">
        <w:rPr>
          <w:rFonts w:ascii="Century" w:hAnsi="Century"/>
          <w:sz w:val="22"/>
          <w:szCs w:val="22"/>
          <w:lang w:val="en-US"/>
        </w:rPr>
        <w:t xml:space="preserve"> </w:t>
      </w:r>
      <w:r w:rsidR="00417CDD" w:rsidRPr="00F414EA">
        <w:rPr>
          <w:rFonts w:ascii="Century" w:hAnsi="Century"/>
          <w:sz w:val="22"/>
          <w:szCs w:val="22"/>
          <w:lang w:val="en-US"/>
        </w:rPr>
        <w:t>Th</w:t>
      </w:r>
      <w:r w:rsidR="00417CDD">
        <w:rPr>
          <w:rFonts w:ascii="Century" w:hAnsi="Century"/>
          <w:sz w:val="22"/>
          <w:szCs w:val="22"/>
          <w:lang w:val="en-US"/>
        </w:rPr>
        <w:t xml:space="preserve">e </w:t>
      </w:r>
      <w:r w:rsidR="00EB376E">
        <w:rPr>
          <w:rFonts w:ascii="Century" w:hAnsi="Century"/>
          <w:sz w:val="22"/>
          <w:szCs w:val="22"/>
          <w:lang w:val="en-US"/>
        </w:rPr>
        <w:t xml:space="preserve">final </w:t>
      </w:r>
      <w:r w:rsidR="00417CDD" w:rsidRPr="00F414EA">
        <w:rPr>
          <w:rFonts w:ascii="Century" w:hAnsi="Century"/>
          <w:sz w:val="22"/>
          <w:szCs w:val="22"/>
          <w:lang w:val="en-US"/>
        </w:rPr>
        <w:t>sample contains 2,3</w:t>
      </w:r>
      <w:r w:rsidR="00417CDD">
        <w:rPr>
          <w:rFonts w:ascii="Century" w:hAnsi="Century"/>
          <w:sz w:val="22"/>
          <w:szCs w:val="22"/>
          <w:lang w:val="en-US"/>
        </w:rPr>
        <w:t>01</w:t>
      </w:r>
      <w:r w:rsidR="00417CDD" w:rsidRPr="00F414EA">
        <w:rPr>
          <w:rFonts w:ascii="Century" w:hAnsi="Century"/>
          <w:sz w:val="22"/>
          <w:szCs w:val="22"/>
          <w:lang w:val="en-US"/>
        </w:rPr>
        <w:t xml:space="preserve"> US common stocks spread over 68 industries</w:t>
      </w:r>
      <w:r w:rsidR="005978B4">
        <w:rPr>
          <w:rFonts w:ascii="Century" w:hAnsi="Century"/>
          <w:sz w:val="22"/>
          <w:szCs w:val="22"/>
          <w:lang w:val="en-US"/>
        </w:rPr>
        <w:t xml:space="preserve"> without FE and 2174 </w:t>
      </w:r>
      <w:r w:rsidR="00B04AE7">
        <w:rPr>
          <w:rFonts w:ascii="Century" w:hAnsi="Century"/>
          <w:sz w:val="22"/>
          <w:szCs w:val="22"/>
          <w:lang w:val="en-US"/>
        </w:rPr>
        <w:t xml:space="preserve">stocks </w:t>
      </w:r>
      <w:r w:rsidR="005978B4">
        <w:rPr>
          <w:rFonts w:ascii="Century" w:hAnsi="Century"/>
          <w:sz w:val="22"/>
          <w:szCs w:val="22"/>
          <w:lang w:val="en-US"/>
        </w:rPr>
        <w:t>with FE.</w:t>
      </w:r>
    </w:p>
    <w:p w14:paraId="5CD43139" w14:textId="7C8D286C" w:rsidR="0023029F" w:rsidRPr="00F414EA" w:rsidRDefault="0074441E" w:rsidP="000F74AC">
      <w:pPr>
        <w:spacing w:line="360" w:lineRule="auto"/>
        <w:ind w:firstLine="708"/>
        <w:jc w:val="both"/>
        <w:rPr>
          <w:rFonts w:ascii="Century" w:hAnsi="Century"/>
          <w:sz w:val="22"/>
          <w:szCs w:val="22"/>
          <w:lang w:val="en-US"/>
        </w:rPr>
      </w:pPr>
      <w:r w:rsidRPr="00F414EA">
        <w:rPr>
          <w:rFonts w:ascii="Century" w:hAnsi="Century"/>
          <w:sz w:val="22"/>
          <w:szCs w:val="22"/>
          <w:lang w:val="en-US"/>
        </w:rPr>
        <w:t xml:space="preserve">Daily returns are computed from prices adjusted for stock splits and dividends: when a firm has no price on the previous trading day, the return would span several days and is discarded. Excess returns are obtained by subtracting the risk-free rate. Each firm's CAPM parameters are estimated over the estimation period and used to compute daily abnormal returns, as described in Section 3.1. Exposure is each firm's most recent total exposure score before the release. The book-to-market ratio divides book equity from the 2021 annual report by this market value and is capped at its 1st and 99th percentiles. Industry fixed effects are based on </w:t>
      </w:r>
      <w:r w:rsidR="00A65256" w:rsidRPr="00F414EA">
        <w:rPr>
          <w:rFonts w:ascii="Century" w:hAnsi="Century"/>
          <w:sz w:val="22"/>
          <w:szCs w:val="22"/>
          <w:lang w:val="en-US"/>
        </w:rPr>
        <w:t>NAICS 3-digit</w:t>
      </w:r>
      <w:r w:rsidRPr="00F414EA">
        <w:rPr>
          <w:rFonts w:ascii="Century" w:hAnsi="Century"/>
          <w:sz w:val="22"/>
          <w:szCs w:val="22"/>
          <w:lang w:val="en-US"/>
        </w:rPr>
        <w:t xml:space="preserve"> codes</w:t>
      </w:r>
      <w:r w:rsidR="00A65256" w:rsidRPr="00F414EA">
        <w:rPr>
          <w:rFonts w:ascii="Century" w:hAnsi="Century"/>
          <w:sz w:val="22"/>
          <w:szCs w:val="22"/>
          <w:lang w:val="en-US"/>
        </w:rPr>
        <w:t xml:space="preserve">. Being categorical </w:t>
      </w:r>
      <w:r w:rsidRPr="00F414EA">
        <w:rPr>
          <w:rFonts w:ascii="Century" w:hAnsi="Century"/>
          <w:sz w:val="22"/>
          <w:szCs w:val="22"/>
          <w:lang w:val="en-US"/>
        </w:rPr>
        <w:t>they are not reported in Table 1.</w:t>
      </w:r>
    </w:p>
    <w:p w14:paraId="05874D5E" w14:textId="6135BD7B" w:rsidR="00D507B9" w:rsidRPr="00F414EA" w:rsidRDefault="0074441E" w:rsidP="00FA7A81">
      <w:pPr>
        <w:spacing w:line="360" w:lineRule="auto"/>
        <w:jc w:val="center"/>
        <w:rPr>
          <w:rFonts w:ascii="Century" w:hAnsi="Century"/>
          <w:sz w:val="22"/>
          <w:szCs w:val="22"/>
          <w:lang w:val="en-US"/>
        </w:rPr>
      </w:pPr>
      <w:r w:rsidRPr="00F414EA">
        <w:rPr>
          <w:rFonts w:ascii="Century" w:hAnsi="Century"/>
          <w:sz w:val="22"/>
          <w:szCs w:val="22"/>
          <w:lang w:val="en-US"/>
        </w:rPr>
        <w:t>Table 1: Summary Statistics</w:t>
      </w:r>
    </w:p>
    <w:tbl>
      <w:tblPr>
        <w:tblW w:w="0" w:type="auto"/>
        <w:tblInd w:w="764" w:type="dxa"/>
        <w:tblCellMar>
          <w:top w:w="15" w:type="dxa"/>
          <w:left w:w="15" w:type="dxa"/>
          <w:bottom w:w="15" w:type="dxa"/>
          <w:right w:w="15" w:type="dxa"/>
        </w:tblCellMar>
        <w:tblLook w:val="04A0" w:firstRow="1" w:lastRow="0" w:firstColumn="1" w:lastColumn="0" w:noHBand="0" w:noVBand="1"/>
      </w:tblPr>
      <w:tblGrid>
        <w:gridCol w:w="2064"/>
        <w:gridCol w:w="521"/>
        <w:gridCol w:w="1071"/>
        <w:gridCol w:w="1071"/>
        <w:gridCol w:w="731"/>
        <w:gridCol w:w="971"/>
        <w:gridCol w:w="1272"/>
      </w:tblGrid>
      <w:tr w:rsidR="0074441E" w:rsidRPr="00F414EA" w14:paraId="39CD8F45" w14:textId="77777777" w:rsidTr="00D507B9">
        <w:trPr>
          <w:trHeight w:val="315"/>
        </w:trPr>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65FA877E"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Variable</w:t>
            </w:r>
          </w:p>
        </w:tc>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572CE662"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N</w:t>
            </w:r>
          </w:p>
        </w:tc>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708F0FDF"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Mean</w:t>
            </w:r>
          </w:p>
        </w:tc>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3B60C8C9"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SD</w:t>
            </w:r>
          </w:p>
        </w:tc>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0B039AB8"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Min</w:t>
            </w:r>
          </w:p>
        </w:tc>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24533433"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Median</w:t>
            </w:r>
          </w:p>
        </w:tc>
        <w:tc>
          <w:tcPr>
            <w:tcW w:w="0" w:type="auto"/>
            <w:tcBorders>
              <w:top w:val="single" w:sz="8" w:space="0" w:color="000000"/>
              <w:left w:val="single" w:sz="8" w:space="0" w:color="FFFFFF"/>
              <w:bottom w:val="single" w:sz="8" w:space="0" w:color="000000"/>
              <w:right w:val="single" w:sz="8" w:space="0" w:color="FFFFFF"/>
            </w:tcBorders>
            <w:tcMar>
              <w:top w:w="40" w:type="dxa"/>
              <w:left w:w="60" w:type="dxa"/>
              <w:bottom w:w="40" w:type="dxa"/>
              <w:right w:w="60" w:type="dxa"/>
            </w:tcMar>
            <w:hideMark/>
          </w:tcPr>
          <w:p w14:paraId="27065A93" w14:textId="77777777" w:rsidR="0074441E" w:rsidRPr="00B20EF9" w:rsidRDefault="0074441E" w:rsidP="0074441E">
            <w:pPr>
              <w:spacing w:line="360" w:lineRule="auto"/>
              <w:jc w:val="both"/>
              <w:rPr>
                <w:rFonts w:ascii="Century" w:hAnsi="Century"/>
                <w:sz w:val="20"/>
                <w:szCs w:val="20"/>
                <w:lang w:val="en-US"/>
              </w:rPr>
            </w:pPr>
            <w:r w:rsidRPr="00B20EF9">
              <w:rPr>
                <w:rFonts w:ascii="Century" w:hAnsi="Century"/>
                <w:sz w:val="20"/>
                <w:szCs w:val="20"/>
                <w:lang w:val="en-US"/>
              </w:rPr>
              <w:t>Max</w:t>
            </w:r>
          </w:p>
        </w:tc>
      </w:tr>
      <w:tr w:rsidR="009B57EB" w:rsidRPr="00EA6F63" w14:paraId="52298505" w14:textId="77777777" w:rsidTr="00D507B9">
        <w:trPr>
          <w:trHeight w:val="315"/>
        </w:trPr>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1DFE2A0D" w14:textId="05C163A2"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“GenAI Exposure”</w:t>
            </w:r>
          </w:p>
        </w:tc>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3AA00259" w14:textId="1E9A3DC8"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2301</w:t>
            </w:r>
          </w:p>
        </w:tc>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2786F111" w14:textId="3B5F46F1"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0.3639</w:t>
            </w:r>
          </w:p>
        </w:tc>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7EDADFC1" w14:textId="6F255DD5"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0.0671</w:t>
            </w:r>
          </w:p>
        </w:tc>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2DC6F35D" w14:textId="62752860"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0.0000</w:t>
            </w:r>
          </w:p>
        </w:tc>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44730130" w14:textId="281C9CBE"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0.3694</w:t>
            </w:r>
          </w:p>
        </w:tc>
        <w:tc>
          <w:tcPr>
            <w:tcW w:w="0" w:type="auto"/>
            <w:tcBorders>
              <w:top w:val="single" w:sz="8" w:space="0" w:color="000000"/>
              <w:left w:val="single" w:sz="8" w:space="0" w:color="FFFFFF"/>
              <w:bottom w:val="single" w:sz="8" w:space="0" w:color="FFFFFF"/>
              <w:right w:val="single" w:sz="8" w:space="0" w:color="FFFFFF"/>
            </w:tcBorders>
            <w:tcMar>
              <w:top w:w="40" w:type="dxa"/>
              <w:left w:w="60" w:type="dxa"/>
              <w:bottom w:w="40" w:type="dxa"/>
              <w:right w:w="60" w:type="dxa"/>
            </w:tcMar>
            <w:hideMark/>
          </w:tcPr>
          <w:p w14:paraId="0B017671" w14:textId="1AD46EE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0.8667</w:t>
            </w:r>
          </w:p>
        </w:tc>
      </w:tr>
      <w:tr w:rsidR="009B57EB" w:rsidRPr="00EA6F63" w14:paraId="46CCF60A" w14:textId="77777777" w:rsidTr="00D507B9">
        <w:trPr>
          <w:trHeight w:val="300"/>
        </w:trPr>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55B5A36A" w14:textId="1536E3E6"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“MktCap (</w:t>
            </w:r>
            <w:r w:rsidR="009D0867">
              <w:rPr>
                <w:rFonts w:ascii="Century" w:hAnsi="Century"/>
                <w:sz w:val="18"/>
                <w:szCs w:val="18"/>
                <w:lang w:val="en-US"/>
              </w:rPr>
              <w:t>M</w:t>
            </w:r>
            <w:r w:rsidRPr="009B57EB">
              <w:rPr>
                <w:rFonts w:ascii="Century" w:hAnsi="Century"/>
                <w:sz w:val="18"/>
                <w:szCs w:val="18"/>
                <w:lang w:val="en-US"/>
              </w:rPr>
              <w:t>$)”</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344B0003" w14:textId="6E6D12DC"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2301</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3C4C3926" w14:textId="73992D5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15378.5070</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53393A46" w14:textId="512EEDA5"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78043.0217</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557D769B" w14:textId="42E155E7"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0.2628</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493BF6B8" w14:textId="52BBA542"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2009.2914</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1C74C597" w14:textId="6B7CFB47"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2245749.0181</w:t>
            </w:r>
          </w:p>
        </w:tc>
      </w:tr>
      <w:tr w:rsidR="009B57EB" w:rsidRPr="00EA6F63" w14:paraId="03264DB1" w14:textId="77777777" w:rsidTr="00D507B9">
        <w:trPr>
          <w:trHeight w:val="300"/>
        </w:trPr>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4007C2B6" w14:textId="60E1DB0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“Book-to-market”</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04C59B3C" w14:textId="500EE2B5"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2301</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2BE0FB7B" w14:textId="61503B8C"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0.7581</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711C5760" w14:textId="2914668C"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0.8541</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6750F8D5" w14:textId="654D296E"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0.0206</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2866E011" w14:textId="6C7E8044"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0.5435</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0DAEBA1B" w14:textId="7341977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5.8663</w:t>
            </w:r>
          </w:p>
        </w:tc>
      </w:tr>
      <w:tr w:rsidR="009B57EB" w:rsidRPr="00EA6F63" w14:paraId="1EF278B0" w14:textId="77777777" w:rsidTr="009B57EB">
        <w:trPr>
          <w:trHeight w:val="300"/>
        </w:trPr>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6F7F3565" w14:textId="34A8F279"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“CAR (full window)”</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7E306970" w14:textId="2ECB029F"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2301</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2249E74C" w14:textId="020992E5"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-0.0169</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083B20F6" w14:textId="0AFE8BE1"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0.1096</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5F6C2261" w14:textId="25842CA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-0.7719</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526FD91A" w14:textId="072B60A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-0.0155</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hideMark/>
          </w:tcPr>
          <w:p w14:paraId="0B1C4405" w14:textId="566A2CE9"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2.3507</w:t>
            </w:r>
          </w:p>
          <w:p w14:paraId="27E88992" w14:textId="7E02484F" w:rsidR="009B57EB" w:rsidRPr="009B57EB" w:rsidRDefault="009B57EB" w:rsidP="009B57EB">
            <w:pPr>
              <w:spacing w:line="360" w:lineRule="auto"/>
              <w:jc w:val="both"/>
              <w:rPr>
                <w:rFonts w:ascii="Century" w:hAnsi="Century"/>
                <w:sz w:val="18"/>
                <w:szCs w:val="18"/>
                <w:lang w:val="en-US"/>
              </w:rPr>
            </w:pPr>
          </w:p>
        </w:tc>
      </w:tr>
      <w:tr w:rsidR="009B57EB" w:rsidRPr="00EA6F63" w14:paraId="0D9D62C4" w14:textId="77777777" w:rsidTr="009B57EB">
        <w:trPr>
          <w:trHeight w:val="300"/>
        </w:trPr>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27857F52" w14:textId="6A585D9E"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“CAR (excl. Dec 13-14)”</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47724428" w14:textId="5B0C76E6"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2301</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05AD846F" w14:textId="083A431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-0.0142</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6CBE37E4" w14:textId="3E2D055A"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0.0973</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58730E0D" w14:textId="60331D6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-0.7475</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50EEFC09" w14:textId="23FC75E7"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-0.0136</w:t>
            </w:r>
          </w:p>
        </w:tc>
        <w:tc>
          <w:tcPr>
            <w:tcW w:w="0" w:type="auto"/>
            <w:tcBorders>
              <w:top w:val="single" w:sz="8" w:space="0" w:color="FFFFFF"/>
              <w:left w:val="single" w:sz="8" w:space="0" w:color="FFFFFF"/>
              <w:bottom w:val="single" w:sz="8" w:space="0" w:color="FFFFFF"/>
              <w:right w:val="single" w:sz="8" w:space="0" w:color="FFFFFF"/>
            </w:tcBorders>
            <w:tcMar>
              <w:top w:w="40" w:type="dxa"/>
              <w:left w:w="60" w:type="dxa"/>
              <w:bottom w:w="40" w:type="dxa"/>
              <w:right w:w="60" w:type="dxa"/>
            </w:tcMar>
          </w:tcPr>
          <w:p w14:paraId="7B47D403" w14:textId="2743E534"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2.1330</w:t>
            </w:r>
          </w:p>
        </w:tc>
      </w:tr>
      <w:tr w:rsidR="009B57EB" w:rsidRPr="00EA6F63" w14:paraId="0872ED02" w14:textId="77777777" w:rsidTr="005C41ED">
        <w:trPr>
          <w:trHeight w:val="300"/>
        </w:trPr>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206ECAEA" w14:textId="0AB00718"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“CAR (Dec 13-14)”</w:t>
            </w:r>
          </w:p>
        </w:tc>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556B27D5" w14:textId="4DCE21BB"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2301</w:t>
            </w:r>
          </w:p>
        </w:tc>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0AE3F265" w14:textId="77F0E277"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-0.0027</w:t>
            </w:r>
          </w:p>
        </w:tc>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65D6C243" w14:textId="6F2CDFC5"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0.0408</w:t>
            </w:r>
          </w:p>
        </w:tc>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7AE77FAB" w14:textId="27918207"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-0.5496</w:t>
            </w:r>
          </w:p>
        </w:tc>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1E19C294" w14:textId="14360AF5"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-0.0014</w:t>
            </w:r>
          </w:p>
        </w:tc>
        <w:tc>
          <w:tcPr>
            <w:tcW w:w="0" w:type="auto"/>
            <w:tcBorders>
              <w:top w:val="single" w:sz="8" w:space="0" w:color="FFFFFF"/>
              <w:left w:val="single" w:sz="8" w:space="0" w:color="FFFFFF"/>
              <w:bottom w:val="single" w:sz="8" w:space="0" w:color="000000"/>
              <w:right w:val="single" w:sz="8" w:space="0" w:color="FFFFFF"/>
            </w:tcBorders>
            <w:tcMar>
              <w:top w:w="40" w:type="dxa"/>
              <w:left w:w="60" w:type="dxa"/>
              <w:bottom w:w="40" w:type="dxa"/>
              <w:right w:w="60" w:type="dxa"/>
            </w:tcMar>
          </w:tcPr>
          <w:p w14:paraId="5D4A5A31" w14:textId="784F0642" w:rsidR="009B57EB" w:rsidRPr="009B57EB" w:rsidRDefault="009B57EB" w:rsidP="009B57EB">
            <w:pPr>
              <w:spacing w:line="360" w:lineRule="auto"/>
              <w:jc w:val="both"/>
              <w:rPr>
                <w:rFonts w:ascii="Century" w:hAnsi="Century"/>
                <w:sz w:val="18"/>
                <w:szCs w:val="18"/>
                <w:lang w:val="en-US"/>
              </w:rPr>
            </w:pPr>
            <w:r w:rsidRPr="009B57EB">
              <w:rPr>
                <w:rFonts w:ascii="Century" w:hAnsi="Century"/>
                <w:sz w:val="18"/>
                <w:szCs w:val="18"/>
                <w:lang w:val="en-US"/>
              </w:rPr>
              <w:t>0.2257</w:t>
            </w:r>
          </w:p>
        </w:tc>
      </w:tr>
    </w:tbl>
    <w:p w14:paraId="04CBA95C" w14:textId="77777777" w:rsidR="00595283" w:rsidRPr="00EA6F63" w:rsidRDefault="00595283" w:rsidP="0074441E">
      <w:pPr>
        <w:spacing w:line="360" w:lineRule="auto"/>
        <w:jc w:val="both"/>
        <w:rPr>
          <w:rFonts w:ascii="Century" w:hAnsi="Century"/>
          <w:sz w:val="22"/>
          <w:szCs w:val="22"/>
          <w:lang w:val="en-US"/>
        </w:rPr>
      </w:pPr>
    </w:p>
    <w:p w14:paraId="292F6109" w14:textId="330DC9F3" w:rsidR="003F4D8E" w:rsidRPr="00F414EA" w:rsidRDefault="0074441E" w:rsidP="00373025">
      <w:pPr>
        <w:spacing w:line="360" w:lineRule="auto"/>
        <w:ind w:firstLine="708"/>
        <w:jc w:val="both"/>
        <w:rPr>
          <w:rFonts w:ascii="Century" w:hAnsi="Century"/>
          <w:sz w:val="22"/>
          <w:szCs w:val="22"/>
          <w:lang w:val="en-US"/>
        </w:rPr>
      </w:pPr>
      <w:r w:rsidRPr="00F414EA">
        <w:rPr>
          <w:rFonts w:ascii="Century" w:hAnsi="Century"/>
          <w:sz w:val="22"/>
          <w:szCs w:val="22"/>
          <w:lang w:val="en-US"/>
        </w:rPr>
        <w:t>Exposure averages 0.364 (SD 0.067), and the median firm is worth about $</w:t>
      </w:r>
      <w:r w:rsidR="00373025">
        <w:rPr>
          <w:rFonts w:ascii="Century" w:hAnsi="Century"/>
          <w:sz w:val="22"/>
          <w:szCs w:val="22"/>
          <w:lang w:val="en-US"/>
        </w:rPr>
        <w:t>1.5</w:t>
      </w:r>
      <w:r w:rsidRPr="00F414EA">
        <w:rPr>
          <w:rFonts w:ascii="Century" w:hAnsi="Century"/>
          <w:sz w:val="22"/>
          <w:szCs w:val="22"/>
          <w:lang w:val="en-US"/>
        </w:rPr>
        <w:t xml:space="preserve"> billion. Average abnormal returns are slightly negative (−1.</w:t>
      </w:r>
      <w:r w:rsidR="00373025">
        <w:rPr>
          <w:rFonts w:ascii="Century" w:hAnsi="Century"/>
          <w:sz w:val="22"/>
          <w:szCs w:val="22"/>
          <w:lang w:val="en-US"/>
        </w:rPr>
        <w:t>69</w:t>
      </w:r>
      <w:r w:rsidRPr="00F414EA">
        <w:rPr>
          <w:rFonts w:ascii="Century" w:hAnsi="Century"/>
          <w:sz w:val="22"/>
          <w:szCs w:val="22"/>
          <w:lang w:val="en-US"/>
        </w:rPr>
        <w:t xml:space="preserve">% over the full window, </w:t>
      </w:r>
      <w:r w:rsidRPr="00F414EA">
        <w:rPr>
          <w:rFonts w:ascii="Century" w:hAnsi="Century"/>
          <w:sz w:val="22"/>
          <w:szCs w:val="22"/>
          <w:lang w:val="en-US"/>
        </w:rPr>
        <w:lastRenderedPageBreak/>
        <w:t>−1.</w:t>
      </w:r>
      <w:r w:rsidR="00373025">
        <w:rPr>
          <w:rFonts w:ascii="Century" w:hAnsi="Century"/>
          <w:sz w:val="22"/>
          <w:szCs w:val="22"/>
          <w:lang w:val="en-US"/>
        </w:rPr>
        <w:t>42</w:t>
      </w:r>
      <w:r w:rsidRPr="00F414EA">
        <w:rPr>
          <w:rFonts w:ascii="Century" w:hAnsi="Century"/>
          <w:sz w:val="22"/>
          <w:szCs w:val="22"/>
          <w:lang w:val="en-US"/>
        </w:rPr>
        <w:t>% excluding December 13–14); the two macroeconomic days contribute only −0.2</w:t>
      </w:r>
      <w:r w:rsidR="00972139" w:rsidRPr="00F414EA">
        <w:rPr>
          <w:rFonts w:ascii="Century" w:hAnsi="Century"/>
          <w:sz w:val="22"/>
          <w:szCs w:val="22"/>
          <w:lang w:val="en-US"/>
        </w:rPr>
        <w:t>7</w:t>
      </w:r>
      <w:r w:rsidRPr="00F414EA">
        <w:rPr>
          <w:rFonts w:ascii="Century" w:hAnsi="Century"/>
          <w:sz w:val="22"/>
          <w:szCs w:val="22"/>
          <w:lang w:val="en-US"/>
        </w:rPr>
        <w:t>% on average, but their dispersion (SD 4.0</w:t>
      </w:r>
      <w:r w:rsidR="00373025">
        <w:rPr>
          <w:rFonts w:ascii="Century" w:hAnsi="Century"/>
          <w:sz w:val="22"/>
          <w:szCs w:val="22"/>
          <w:lang w:val="en-US"/>
        </w:rPr>
        <w:t>8</w:t>
      </w:r>
      <w:r w:rsidRPr="00F414EA">
        <w:rPr>
          <w:rFonts w:ascii="Century" w:hAnsi="Century"/>
          <w:sz w:val="22"/>
          <w:szCs w:val="22"/>
          <w:lang w:val="en-US"/>
        </w:rPr>
        <w:t>%) is sizeable for two trading days, and this variation across firms is what our test exploits. Since abnormal returns are not capped, the tails are wide (from −</w:t>
      </w:r>
      <w:r w:rsidR="00373025">
        <w:rPr>
          <w:rFonts w:ascii="Century" w:hAnsi="Century"/>
          <w:sz w:val="22"/>
          <w:szCs w:val="22"/>
          <w:lang w:val="en-US"/>
        </w:rPr>
        <w:t>77</w:t>
      </w:r>
      <w:r w:rsidRPr="00F414EA">
        <w:rPr>
          <w:rFonts w:ascii="Century" w:hAnsi="Century"/>
          <w:sz w:val="22"/>
          <w:szCs w:val="22"/>
          <w:lang w:val="en-US"/>
        </w:rPr>
        <w:t>% to +2</w:t>
      </w:r>
      <w:r w:rsidR="00972139" w:rsidRPr="00F414EA">
        <w:rPr>
          <w:rFonts w:ascii="Century" w:hAnsi="Century"/>
          <w:sz w:val="22"/>
          <w:szCs w:val="22"/>
          <w:lang w:val="en-US"/>
        </w:rPr>
        <w:t>3</w:t>
      </w:r>
      <w:r w:rsidR="00373025">
        <w:rPr>
          <w:rFonts w:ascii="Century" w:hAnsi="Century"/>
          <w:sz w:val="22"/>
          <w:szCs w:val="22"/>
          <w:lang w:val="en-US"/>
        </w:rPr>
        <w:t>5</w:t>
      </w:r>
      <w:r w:rsidRPr="00F414EA">
        <w:rPr>
          <w:rFonts w:ascii="Century" w:hAnsi="Century"/>
          <w:sz w:val="22"/>
          <w:szCs w:val="22"/>
          <w:lang w:val="en-US"/>
        </w:rPr>
        <w:t>% over the full window).</w:t>
      </w:r>
      <w:r w:rsidR="00FC485B" w:rsidRPr="00F414EA">
        <w:rPr>
          <w:rFonts w:ascii="Century" w:hAnsi="Century"/>
          <w:sz w:val="22"/>
          <w:szCs w:val="22"/>
          <w:lang w:val="en-US"/>
        </w:rPr>
        <w:t xml:space="preserve"> </w:t>
      </w:r>
      <w:r w:rsidRPr="00F414EA">
        <w:rPr>
          <w:rFonts w:ascii="Century" w:hAnsi="Century"/>
          <w:sz w:val="22"/>
          <w:szCs w:val="22"/>
          <w:lang w:val="en-US"/>
        </w:rPr>
        <w:t xml:space="preserve">This construction has limitations: the industry classification is the firm's current one rather than the one in force in 2022, book equity from the 2021 annual report can be up to eleven months old at the release date, the data requirements </w:t>
      </w:r>
      <w:r w:rsidR="003270CA" w:rsidRPr="00F414EA">
        <w:rPr>
          <w:rFonts w:ascii="Century" w:hAnsi="Century"/>
          <w:sz w:val="22"/>
          <w:szCs w:val="22"/>
          <w:lang w:val="en-US"/>
        </w:rPr>
        <w:t>favor</w:t>
      </w:r>
      <w:r w:rsidRPr="00F414EA">
        <w:rPr>
          <w:rFonts w:ascii="Century" w:hAnsi="Century"/>
          <w:sz w:val="22"/>
          <w:szCs w:val="22"/>
          <w:lang w:val="en-US"/>
        </w:rPr>
        <w:t xml:space="preserve"> liquid, continuously traded firms, and the paper's measure of AI exposure through firms' products was not available to us, so it is omitted from our controls.</w:t>
      </w:r>
    </w:p>
    <w:p w14:paraId="0237D2C6" w14:textId="37BDF23A" w:rsidR="008B517D" w:rsidRDefault="008B517D" w:rsidP="00DD10AD">
      <w:pPr>
        <w:spacing w:before="320" w:after="160" w:line="360" w:lineRule="auto"/>
        <w:outlineLvl w:val="1"/>
        <w:rPr>
          <w:rFonts w:ascii="Century" w:hAnsi="Century"/>
          <w:sz w:val="22"/>
          <w:szCs w:val="22"/>
          <w:lang w:val="en-US"/>
        </w:rPr>
      </w:pPr>
      <w:r w:rsidRPr="00F414EA">
        <w:rPr>
          <w:rFonts w:ascii="Century" w:hAnsi="Century"/>
          <w:sz w:val="22"/>
          <w:szCs w:val="22"/>
          <w:lang w:val="en-US"/>
        </w:rPr>
        <w:t>4.1 Reproducing the Paper's Central Estimate</w:t>
      </w:r>
    </w:p>
    <w:p w14:paraId="534CBB61" w14:textId="3F72FA6D" w:rsidR="00E45F67" w:rsidRPr="00F414EA" w:rsidRDefault="00261529" w:rsidP="00261529">
      <w:pPr>
        <w:spacing w:before="320" w:after="160" w:line="360" w:lineRule="auto"/>
        <w:jc w:val="center"/>
        <w:outlineLvl w:val="1"/>
        <w:rPr>
          <w:rFonts w:ascii="Century" w:hAnsi="Century"/>
          <w:sz w:val="22"/>
          <w:szCs w:val="22"/>
          <w:lang w:val="en-US"/>
        </w:rPr>
      </w:pPr>
      <w:r>
        <w:rPr>
          <w:rFonts w:ascii="Century" w:hAnsi="Century"/>
          <w:noProof/>
          <w:sz w:val="22"/>
          <w:szCs w:val="22"/>
          <w:lang w:val="en-US"/>
          <w14:ligatures w14:val="standardContextual"/>
        </w:rPr>
        <w:drawing>
          <wp:anchor distT="0" distB="0" distL="114300" distR="114300" simplePos="0" relativeHeight="251676672" behindDoc="0" locked="0" layoutInCell="1" allowOverlap="1" wp14:anchorId="5AECB0C2" wp14:editId="37ADF59A">
            <wp:simplePos x="0" y="0"/>
            <wp:positionH relativeFrom="margin">
              <wp:align>center</wp:align>
            </wp:positionH>
            <wp:positionV relativeFrom="paragraph">
              <wp:posOffset>538236</wp:posOffset>
            </wp:positionV>
            <wp:extent cx="6873875" cy="3138805"/>
            <wp:effectExtent l="0" t="0" r="2540" b="1270"/>
            <wp:wrapThrough wrapText="bothSides">
              <wp:wrapPolygon edited="0">
                <wp:start x="0" y="0"/>
                <wp:lineTo x="0" y="21512"/>
                <wp:lineTo x="21564" y="21512"/>
                <wp:lineTo x="21564" y="0"/>
                <wp:lineTo x="0" y="0"/>
              </wp:wrapPolygon>
            </wp:wrapThrough>
            <wp:docPr id="9547879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8796" name="Imagem 95478796"/>
                    <pic:cNvPicPr/>
                  </pic:nvPicPr>
                  <pic:blipFill rotWithShape="1">
                    <a:blip r:embed="rId8" cstate="print">
                      <a:extLst>
                        <a:ext uri="{28A0092B-C50C-407E-A947-70E740481C1C}">
                          <a14:useLocalDpi xmlns:a14="http://schemas.microsoft.com/office/drawing/2010/main" val="0"/>
                        </a:ext>
                      </a:extLst>
                    </a:blip>
                    <a:srcRect t="6603"/>
                    <a:stretch>
                      <a:fillRect/>
                    </a:stretch>
                  </pic:blipFill>
                  <pic:spPr bwMode="auto">
                    <a:xfrm>
                      <a:off x="0" y="0"/>
                      <a:ext cx="6873875" cy="3138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w:hAnsi="Century"/>
          <w:sz w:val="22"/>
          <w:szCs w:val="22"/>
          <w:lang w:val="en-US"/>
        </w:rPr>
        <w:t xml:space="preserve">Figure 1: AMH, Artificial and Human portfolio </w:t>
      </w:r>
      <w:r w:rsidR="008F696E">
        <w:rPr>
          <w:rFonts w:ascii="Century" w:hAnsi="Century"/>
          <w:sz w:val="22"/>
          <w:szCs w:val="22"/>
          <w:lang w:val="en-US"/>
        </w:rPr>
        <w:t>CAR</w:t>
      </w:r>
      <w:r w:rsidR="007A0036">
        <w:rPr>
          <w:rFonts w:ascii="Century" w:hAnsi="Century"/>
          <w:sz w:val="22"/>
          <w:szCs w:val="22"/>
          <w:lang w:val="en-US"/>
        </w:rPr>
        <w:t xml:space="preserve"> from CAPM</w:t>
      </w:r>
    </w:p>
    <w:p w14:paraId="68F4364E" w14:textId="61A25974" w:rsidR="008B517D" w:rsidRPr="00F414EA" w:rsidRDefault="008B517D" w:rsidP="000F74AC">
      <w:pPr>
        <w:spacing w:line="360" w:lineRule="auto"/>
        <w:ind w:firstLine="360"/>
        <w:jc w:val="both"/>
        <w:rPr>
          <w:rFonts w:ascii="Century" w:hAnsi="Century"/>
          <w:sz w:val="22"/>
          <w:szCs w:val="22"/>
          <w:lang w:val="en-US"/>
        </w:rPr>
      </w:pPr>
      <w:r w:rsidRPr="00F414EA">
        <w:rPr>
          <w:rFonts w:ascii="Century" w:hAnsi="Century"/>
          <w:sz w:val="22"/>
          <w:szCs w:val="22"/>
          <w:lang w:val="en-US"/>
        </w:rPr>
        <w:t xml:space="preserve">In order to replicate the paper’s central estimate, we followed the original portfolio sorting methodology applied to data collected in Section 3 : raw excess returns, CAPM and FF5 adjusted abnormal returns. As on the paper, firms are sorted into value weighted quintiles based on their GenAI score, </w:t>
      </w:r>
      <w:r w:rsidRPr="009068C5">
        <w:rPr>
          <w:rFonts w:ascii="Century" w:hAnsi="Century"/>
          <w:sz w:val="22"/>
          <w:szCs w:val="22"/>
          <w:lang w:val="en-US"/>
        </w:rPr>
        <w:t>which correspond to 5 groups of approximately 46</w:t>
      </w:r>
      <w:r w:rsidR="007E4732" w:rsidRPr="009068C5">
        <w:rPr>
          <w:rFonts w:ascii="Century" w:hAnsi="Century"/>
          <w:sz w:val="22"/>
          <w:szCs w:val="22"/>
          <w:lang w:val="en-US"/>
        </w:rPr>
        <w:t>1</w:t>
      </w:r>
      <w:r w:rsidRPr="009068C5">
        <w:rPr>
          <w:rFonts w:ascii="Century" w:hAnsi="Century"/>
          <w:sz w:val="22"/>
          <w:szCs w:val="22"/>
          <w:lang w:val="en-US"/>
        </w:rPr>
        <w:t xml:space="preserve"> firms each, which means exposure rise from 0.267 in the lowest quintile to 0.449 in the highest. As in the paper, we construct the long-short Artificial-Minus-Huma</w:t>
      </w:r>
      <w:r w:rsidR="003C0269" w:rsidRPr="009068C5">
        <w:rPr>
          <w:rFonts w:ascii="Century" w:hAnsi="Century"/>
          <w:sz w:val="22"/>
          <w:szCs w:val="22"/>
          <w:lang w:val="en-US"/>
        </w:rPr>
        <w:t>n</w:t>
      </w:r>
      <w:r w:rsidRPr="009068C5">
        <w:rPr>
          <w:rFonts w:ascii="Century" w:hAnsi="Century"/>
          <w:sz w:val="22"/>
          <w:szCs w:val="22"/>
          <w:lang w:val="en-US"/>
        </w:rPr>
        <w:t xml:space="preserve"> portfolio, long the highest exposure quintile and short the lowest one and cumulate its daily value-weighted abnormal return over the ChatGPT eleven day event window [0, 10].</w:t>
      </w:r>
      <w:r w:rsidRPr="00F414EA">
        <w:rPr>
          <w:rFonts w:ascii="Century" w:hAnsi="Century"/>
          <w:sz w:val="22"/>
          <w:szCs w:val="22"/>
          <w:lang w:val="en-US"/>
        </w:rPr>
        <w:t> </w:t>
      </w:r>
    </w:p>
    <w:p w14:paraId="1ABBF6F9" w14:textId="662C551A" w:rsidR="008B517D" w:rsidRPr="00F414EA" w:rsidRDefault="00365C66" w:rsidP="000F74AC">
      <w:pPr>
        <w:spacing w:line="360" w:lineRule="auto"/>
        <w:ind w:firstLine="360"/>
        <w:jc w:val="both"/>
        <w:rPr>
          <w:rFonts w:ascii="Century" w:hAnsi="Century"/>
          <w:sz w:val="22"/>
          <w:szCs w:val="22"/>
          <w:lang w:val="en-US"/>
        </w:rPr>
      </w:pPr>
      <w:r w:rsidRPr="00F414EA">
        <w:rPr>
          <w:rFonts w:ascii="Century" w:hAnsi="Century"/>
          <w:sz w:val="22"/>
          <w:szCs w:val="22"/>
          <w:lang w:val="en-US"/>
        </w:rPr>
        <w:lastRenderedPageBreak/>
        <w:t>On</w:t>
      </w:r>
      <w:r w:rsidR="008B517D" w:rsidRPr="00F414EA">
        <w:rPr>
          <w:rFonts w:ascii="Century" w:hAnsi="Century"/>
          <w:sz w:val="22"/>
          <w:szCs w:val="22"/>
          <w:lang w:val="en-US"/>
        </w:rPr>
        <w:t xml:space="preserve"> results, AMH portfolio fed with our own data earns a raw excess return of </w:t>
      </w:r>
      <w:r w:rsidR="0020304C" w:rsidRPr="00F414EA">
        <w:rPr>
          <w:rFonts w:ascii="Century" w:hAnsi="Century"/>
          <w:sz w:val="22"/>
          <w:szCs w:val="22"/>
          <w:lang w:val="en-US"/>
        </w:rPr>
        <w:t>0.51</w:t>
      </w:r>
      <w:r w:rsidR="001703B7">
        <w:rPr>
          <w:rFonts w:ascii="Century" w:hAnsi="Century"/>
          <w:sz w:val="22"/>
          <w:szCs w:val="22"/>
          <w:lang w:val="en-US"/>
        </w:rPr>
        <w:t>4</w:t>
      </w:r>
      <w:r w:rsidR="0020304C" w:rsidRPr="00F414EA">
        <w:rPr>
          <w:rFonts w:ascii="Century" w:hAnsi="Century"/>
          <w:sz w:val="22"/>
          <w:szCs w:val="22"/>
          <w:lang w:val="en-US"/>
        </w:rPr>
        <w:t>% per day (t = 2.1</w:t>
      </w:r>
      <w:r w:rsidR="001703B7">
        <w:rPr>
          <w:rFonts w:ascii="Century" w:hAnsi="Century"/>
          <w:sz w:val="22"/>
          <w:szCs w:val="22"/>
          <w:lang w:val="en-US"/>
        </w:rPr>
        <w:t>9</w:t>
      </w:r>
      <w:r w:rsidR="0020304C" w:rsidRPr="00F414EA">
        <w:rPr>
          <w:rFonts w:ascii="Century" w:hAnsi="Century"/>
          <w:sz w:val="22"/>
          <w:szCs w:val="22"/>
          <w:lang w:val="en-US"/>
        </w:rPr>
        <w:t>)</w:t>
      </w:r>
      <w:r w:rsidR="008B517D" w:rsidRPr="00F414EA">
        <w:rPr>
          <w:rFonts w:ascii="Century" w:hAnsi="Century"/>
          <w:sz w:val="22"/>
          <w:szCs w:val="22"/>
          <w:lang w:val="en-US"/>
        </w:rPr>
        <w:t>, a CAPM adjusted return of 0.5</w:t>
      </w:r>
      <w:r w:rsidR="001703B7">
        <w:rPr>
          <w:rFonts w:ascii="Century" w:hAnsi="Century"/>
          <w:sz w:val="22"/>
          <w:szCs w:val="22"/>
          <w:lang w:val="en-US"/>
        </w:rPr>
        <w:t>26</w:t>
      </w:r>
      <w:r w:rsidR="008B517D" w:rsidRPr="00F414EA">
        <w:rPr>
          <w:rFonts w:ascii="Century" w:hAnsi="Century"/>
          <w:sz w:val="22"/>
          <w:szCs w:val="22"/>
          <w:lang w:val="en-US"/>
        </w:rPr>
        <w:t>% per day (t= 3.</w:t>
      </w:r>
      <w:r w:rsidR="001703B7">
        <w:rPr>
          <w:rFonts w:ascii="Century" w:hAnsi="Century"/>
          <w:sz w:val="22"/>
          <w:szCs w:val="22"/>
          <w:lang w:val="en-US"/>
        </w:rPr>
        <w:t>11</w:t>
      </w:r>
      <w:r w:rsidR="008B517D" w:rsidRPr="00F414EA">
        <w:rPr>
          <w:rFonts w:ascii="Century" w:hAnsi="Century"/>
          <w:sz w:val="22"/>
          <w:szCs w:val="22"/>
          <w:lang w:val="en-US"/>
        </w:rPr>
        <w:t>) and a FF5 adjusted return of 0.</w:t>
      </w:r>
      <w:r w:rsidR="00D25819" w:rsidRPr="00F414EA">
        <w:rPr>
          <w:rFonts w:ascii="Century" w:hAnsi="Century"/>
          <w:sz w:val="22"/>
          <w:szCs w:val="22"/>
          <w:lang w:val="en-US"/>
        </w:rPr>
        <w:t>2</w:t>
      </w:r>
      <w:r w:rsidR="001F7289">
        <w:rPr>
          <w:rFonts w:ascii="Century" w:hAnsi="Century"/>
          <w:sz w:val="22"/>
          <w:szCs w:val="22"/>
          <w:lang w:val="en-US"/>
        </w:rPr>
        <w:t>93</w:t>
      </w:r>
      <w:r w:rsidR="008B517D" w:rsidRPr="00F414EA">
        <w:rPr>
          <w:rFonts w:ascii="Century" w:hAnsi="Century"/>
          <w:sz w:val="22"/>
          <w:szCs w:val="22"/>
          <w:lang w:val="en-US"/>
        </w:rPr>
        <w:t xml:space="preserve">% per day (t= </w:t>
      </w:r>
      <w:r w:rsidR="00D25819" w:rsidRPr="00F414EA">
        <w:rPr>
          <w:rFonts w:ascii="Century" w:hAnsi="Century"/>
          <w:sz w:val="22"/>
          <w:szCs w:val="22"/>
          <w:lang w:val="en-US"/>
        </w:rPr>
        <w:t>2.0</w:t>
      </w:r>
      <w:r w:rsidR="001F7289">
        <w:rPr>
          <w:rFonts w:ascii="Century" w:hAnsi="Century"/>
          <w:sz w:val="22"/>
          <w:szCs w:val="22"/>
          <w:lang w:val="en-US"/>
        </w:rPr>
        <w:t>5</w:t>
      </w:r>
      <w:r w:rsidR="008B517D" w:rsidRPr="00F414EA">
        <w:rPr>
          <w:rFonts w:ascii="Century" w:hAnsi="Century"/>
          <w:sz w:val="22"/>
          <w:szCs w:val="22"/>
          <w:lang w:val="en-US"/>
        </w:rPr>
        <w:t xml:space="preserve">). The paper presents the following results for observed criteria: 0.45%, 0.44% and 0.35% per day for raw excess return, CAPM and FF5 respectively. We can conclude that outcomes between the paper's central estimate and our own estimate are positive, consistent with the paper. </w:t>
      </w:r>
    </w:p>
    <w:p w14:paraId="34C0A258" w14:textId="3F4F4440" w:rsidR="008B517D" w:rsidRPr="001703B7" w:rsidRDefault="008B517D" w:rsidP="00A24170">
      <w:pPr>
        <w:spacing w:line="360" w:lineRule="auto"/>
        <w:ind w:firstLine="360"/>
        <w:jc w:val="both"/>
        <w:rPr>
          <w:rFonts w:ascii="Century" w:hAnsi="Century"/>
          <w:sz w:val="22"/>
          <w:szCs w:val="22"/>
          <w:lang w:val="en-US"/>
        </w:rPr>
      </w:pPr>
      <w:r w:rsidRPr="001703B7">
        <w:rPr>
          <w:rFonts w:ascii="Century" w:hAnsi="Century"/>
          <w:sz w:val="22"/>
          <w:szCs w:val="22"/>
          <w:lang w:val="en-US"/>
        </w:rPr>
        <w:t xml:space="preserve">To handle the concern about CAPM </w:t>
      </w:r>
      <w:r w:rsidR="001F7289">
        <w:rPr>
          <w:rFonts w:ascii="Century" w:hAnsi="Century"/>
          <w:sz w:val="22"/>
          <w:szCs w:val="22"/>
          <w:lang w:val="en-US"/>
        </w:rPr>
        <w:t>overshoot and FF undershoot</w:t>
      </w:r>
      <w:r w:rsidRPr="001703B7">
        <w:rPr>
          <w:rFonts w:ascii="Century" w:hAnsi="Century"/>
          <w:sz w:val="22"/>
          <w:szCs w:val="22"/>
          <w:lang w:val="en-US"/>
        </w:rPr>
        <w:t>, we applied the winsorization at the 1st and at 99th percentiles to abnormal return directly.  Winsorization moves the estimates only marginally:  CAPM from 0.5</w:t>
      </w:r>
      <w:r w:rsidR="001F7289">
        <w:rPr>
          <w:rFonts w:ascii="Century" w:hAnsi="Century"/>
          <w:sz w:val="22"/>
          <w:szCs w:val="22"/>
          <w:lang w:val="en-US"/>
        </w:rPr>
        <w:t>26</w:t>
      </w:r>
      <w:r w:rsidRPr="001703B7">
        <w:rPr>
          <w:rFonts w:ascii="Century" w:hAnsi="Century"/>
          <w:sz w:val="22"/>
          <w:szCs w:val="22"/>
          <w:lang w:val="en-US"/>
        </w:rPr>
        <w:t>% per day (t = 3.</w:t>
      </w:r>
      <w:r w:rsidR="001F7289">
        <w:rPr>
          <w:rFonts w:ascii="Century" w:hAnsi="Century"/>
          <w:sz w:val="22"/>
          <w:szCs w:val="22"/>
          <w:lang w:val="en-US"/>
        </w:rPr>
        <w:t>11</w:t>
      </w:r>
      <w:r w:rsidRPr="001703B7">
        <w:rPr>
          <w:rFonts w:ascii="Century" w:hAnsi="Century"/>
          <w:sz w:val="22"/>
          <w:szCs w:val="22"/>
          <w:lang w:val="en-US"/>
        </w:rPr>
        <w:t>) to 0.5</w:t>
      </w:r>
      <w:r w:rsidR="001F7289">
        <w:rPr>
          <w:rFonts w:ascii="Century" w:hAnsi="Century"/>
          <w:sz w:val="22"/>
          <w:szCs w:val="22"/>
          <w:lang w:val="en-US"/>
        </w:rPr>
        <w:t>24</w:t>
      </w:r>
      <w:r w:rsidRPr="001703B7">
        <w:rPr>
          <w:rFonts w:ascii="Century" w:hAnsi="Century"/>
          <w:sz w:val="22"/>
          <w:szCs w:val="22"/>
          <w:lang w:val="en-US"/>
        </w:rPr>
        <w:t>% per day (t = 3.</w:t>
      </w:r>
      <w:r w:rsidR="001F7289">
        <w:rPr>
          <w:rFonts w:ascii="Century" w:hAnsi="Century"/>
          <w:sz w:val="22"/>
          <w:szCs w:val="22"/>
          <w:lang w:val="en-US"/>
        </w:rPr>
        <w:t>12)</w:t>
      </w:r>
      <w:r w:rsidRPr="001703B7">
        <w:rPr>
          <w:rFonts w:ascii="Century" w:hAnsi="Century"/>
          <w:sz w:val="22"/>
          <w:szCs w:val="22"/>
          <w:lang w:val="en-US"/>
        </w:rPr>
        <w:t>, and FF5 from 0.</w:t>
      </w:r>
      <w:r w:rsidR="00A24170" w:rsidRPr="001703B7">
        <w:rPr>
          <w:rFonts w:ascii="Century" w:hAnsi="Century"/>
          <w:sz w:val="22"/>
          <w:szCs w:val="22"/>
          <w:lang w:val="en-US"/>
        </w:rPr>
        <w:t>2</w:t>
      </w:r>
      <w:r w:rsidR="00082CFD">
        <w:rPr>
          <w:rFonts w:ascii="Century" w:hAnsi="Century"/>
          <w:sz w:val="22"/>
          <w:szCs w:val="22"/>
          <w:lang w:val="en-US"/>
        </w:rPr>
        <w:t>93</w:t>
      </w:r>
      <w:r w:rsidR="00A24170" w:rsidRPr="001703B7">
        <w:rPr>
          <w:rFonts w:ascii="Century" w:hAnsi="Century"/>
          <w:sz w:val="22"/>
          <w:szCs w:val="22"/>
          <w:lang w:val="en-US"/>
        </w:rPr>
        <w:t>%</w:t>
      </w:r>
      <w:r w:rsidRPr="001703B7">
        <w:rPr>
          <w:rFonts w:ascii="Century" w:hAnsi="Century"/>
          <w:sz w:val="22"/>
          <w:szCs w:val="22"/>
          <w:lang w:val="en-US"/>
        </w:rPr>
        <w:t xml:space="preserve"> per day (t = </w:t>
      </w:r>
      <w:r w:rsidR="00A24170" w:rsidRPr="001703B7">
        <w:rPr>
          <w:rFonts w:ascii="Century" w:hAnsi="Century"/>
          <w:sz w:val="22"/>
          <w:szCs w:val="22"/>
          <w:lang w:val="en-US"/>
        </w:rPr>
        <w:t>2</w:t>
      </w:r>
      <w:r w:rsidRPr="001703B7">
        <w:rPr>
          <w:rFonts w:ascii="Century" w:hAnsi="Century"/>
          <w:sz w:val="22"/>
          <w:szCs w:val="22"/>
          <w:lang w:val="en-US"/>
        </w:rPr>
        <w:t>.0</w:t>
      </w:r>
      <w:r w:rsidR="00082CFD">
        <w:rPr>
          <w:rFonts w:ascii="Century" w:hAnsi="Century"/>
          <w:sz w:val="22"/>
          <w:szCs w:val="22"/>
          <w:lang w:val="en-US"/>
        </w:rPr>
        <w:t>5</w:t>
      </w:r>
      <w:r w:rsidRPr="001703B7">
        <w:rPr>
          <w:rFonts w:ascii="Century" w:hAnsi="Century"/>
          <w:sz w:val="22"/>
          <w:szCs w:val="22"/>
          <w:lang w:val="en-US"/>
        </w:rPr>
        <w:t>) to 0.</w:t>
      </w:r>
      <w:r w:rsidR="00A24170" w:rsidRPr="001703B7">
        <w:rPr>
          <w:rFonts w:ascii="Century" w:hAnsi="Century"/>
          <w:sz w:val="22"/>
          <w:szCs w:val="22"/>
          <w:lang w:val="en-US"/>
        </w:rPr>
        <w:t>2</w:t>
      </w:r>
      <w:r w:rsidR="00082CFD">
        <w:rPr>
          <w:rFonts w:ascii="Century" w:hAnsi="Century"/>
          <w:sz w:val="22"/>
          <w:szCs w:val="22"/>
          <w:lang w:val="en-US"/>
        </w:rPr>
        <w:t>92</w:t>
      </w:r>
      <w:r w:rsidRPr="001703B7">
        <w:rPr>
          <w:rFonts w:ascii="Century" w:hAnsi="Century"/>
          <w:sz w:val="22"/>
          <w:szCs w:val="22"/>
          <w:lang w:val="en-US"/>
        </w:rPr>
        <w:t xml:space="preserve">% per day (t = </w:t>
      </w:r>
      <w:r w:rsidR="00A24170" w:rsidRPr="001703B7">
        <w:rPr>
          <w:rFonts w:ascii="Century" w:hAnsi="Century"/>
          <w:sz w:val="22"/>
          <w:szCs w:val="22"/>
          <w:lang w:val="en-US"/>
        </w:rPr>
        <w:t>2.0</w:t>
      </w:r>
      <w:r w:rsidR="00082CFD">
        <w:rPr>
          <w:rFonts w:ascii="Century" w:hAnsi="Century"/>
          <w:sz w:val="22"/>
          <w:szCs w:val="22"/>
          <w:lang w:val="en-US"/>
        </w:rPr>
        <w:t>6</w:t>
      </w:r>
      <w:r w:rsidRPr="001703B7">
        <w:rPr>
          <w:rFonts w:ascii="Century" w:hAnsi="Century"/>
          <w:sz w:val="22"/>
          <w:szCs w:val="22"/>
          <w:lang w:val="en-US"/>
        </w:rPr>
        <w:t>).</w:t>
      </w:r>
      <w:r w:rsidR="00A24170" w:rsidRPr="001703B7">
        <w:rPr>
          <w:rFonts w:ascii="Century" w:hAnsi="Century"/>
          <w:sz w:val="22"/>
          <w:szCs w:val="22"/>
          <w:lang w:val="en-US"/>
        </w:rPr>
        <w:t xml:space="preserve"> </w:t>
      </w:r>
      <w:r w:rsidRPr="001703B7">
        <w:rPr>
          <w:rFonts w:ascii="Century" w:hAnsi="Century"/>
          <w:sz w:val="22"/>
          <w:szCs w:val="22"/>
          <w:lang w:val="en-US"/>
        </w:rPr>
        <w:t xml:space="preserve">We conclude our choice to not be winsorized does not explain the gap to the paper’s </w:t>
      </w:r>
      <w:r w:rsidR="00FF5940">
        <w:rPr>
          <w:rFonts w:ascii="Century" w:hAnsi="Century"/>
          <w:sz w:val="22"/>
          <w:szCs w:val="22"/>
          <w:lang w:val="en-US"/>
        </w:rPr>
        <w:t xml:space="preserve">CAPM and FF </w:t>
      </w:r>
      <w:r w:rsidRPr="001703B7">
        <w:rPr>
          <w:rFonts w:ascii="Century" w:hAnsi="Century"/>
          <w:sz w:val="22"/>
          <w:szCs w:val="22"/>
          <w:lang w:val="en-US"/>
        </w:rPr>
        <w:t>alpha. Instead, the gap more likely reflects two documented simplifications in our reproduction</w:t>
      </w:r>
    </w:p>
    <w:p w14:paraId="5D20CAEE" w14:textId="77777777" w:rsidR="008B517D" w:rsidRPr="00C80F05" w:rsidRDefault="008B517D" w:rsidP="008B517D">
      <w:pPr>
        <w:numPr>
          <w:ilvl w:val="0"/>
          <w:numId w:val="5"/>
        </w:numPr>
        <w:spacing w:line="360" w:lineRule="auto"/>
        <w:jc w:val="both"/>
        <w:rPr>
          <w:rFonts w:ascii="Century" w:hAnsi="Century"/>
          <w:sz w:val="22"/>
          <w:szCs w:val="22"/>
          <w:lang w:val="en-US"/>
        </w:rPr>
      </w:pPr>
      <w:r w:rsidRPr="00C80F05">
        <w:rPr>
          <w:rFonts w:ascii="Century" w:hAnsi="Century"/>
          <w:sz w:val="22"/>
          <w:szCs w:val="22"/>
          <w:lang w:val="en-US"/>
        </w:rPr>
        <w:t> Quintile breakpoints are formed from the full sample rather than from NYSE only breakpoints as in the original paper</w:t>
      </w:r>
    </w:p>
    <w:p w14:paraId="4D1ECA98" w14:textId="34833174" w:rsidR="007E4732" w:rsidRPr="00C80F05" w:rsidRDefault="008B517D" w:rsidP="007E4732">
      <w:pPr>
        <w:numPr>
          <w:ilvl w:val="0"/>
          <w:numId w:val="5"/>
        </w:numPr>
        <w:spacing w:line="360" w:lineRule="auto"/>
        <w:jc w:val="both"/>
        <w:rPr>
          <w:rFonts w:ascii="Century" w:hAnsi="Century"/>
          <w:sz w:val="22"/>
          <w:szCs w:val="22"/>
          <w:lang w:val="en-US"/>
        </w:rPr>
      </w:pPr>
      <w:r w:rsidRPr="00C80F05">
        <w:rPr>
          <w:rFonts w:ascii="Century" w:hAnsi="Century"/>
          <w:sz w:val="22"/>
          <w:szCs w:val="22"/>
          <w:lang w:val="en-US"/>
        </w:rPr>
        <w:t>Portfolio weights use fixed, pre-event (November 29) market capitalizations rather than the paper's daily updated weights</w:t>
      </w:r>
    </w:p>
    <w:p w14:paraId="70DDB902" w14:textId="53021B03" w:rsidR="008A48C6" w:rsidRDefault="008B517D" w:rsidP="00412F5E">
      <w:pPr>
        <w:spacing w:line="360" w:lineRule="auto"/>
        <w:ind w:firstLine="360"/>
        <w:jc w:val="both"/>
        <w:rPr>
          <w:rFonts w:ascii="Century" w:hAnsi="Century"/>
          <w:sz w:val="22"/>
          <w:szCs w:val="22"/>
          <w:lang w:val="en-US"/>
        </w:rPr>
      </w:pPr>
      <w:r w:rsidRPr="00AF2699">
        <w:rPr>
          <w:rFonts w:ascii="Century" w:hAnsi="Century"/>
          <w:sz w:val="22"/>
          <w:szCs w:val="22"/>
          <w:lang w:val="en-US"/>
        </w:rPr>
        <w:t xml:space="preserve">To conclude, </w:t>
      </w:r>
      <w:r w:rsidR="00AF2699" w:rsidRPr="00AF2699">
        <w:rPr>
          <w:rFonts w:ascii="Century" w:hAnsi="Century"/>
          <w:sz w:val="22"/>
          <w:szCs w:val="22"/>
          <w:lang w:val="en-US"/>
        </w:rPr>
        <w:t xml:space="preserve">both </w:t>
      </w:r>
      <w:r w:rsidRPr="00AF2699">
        <w:rPr>
          <w:rFonts w:ascii="Century" w:hAnsi="Century"/>
          <w:sz w:val="22"/>
          <w:szCs w:val="22"/>
          <w:lang w:val="en-US"/>
        </w:rPr>
        <w:t xml:space="preserve">the FF5 </w:t>
      </w:r>
      <w:r w:rsidR="00AF2699">
        <w:rPr>
          <w:rFonts w:ascii="Century" w:hAnsi="Century"/>
          <w:sz w:val="22"/>
          <w:szCs w:val="22"/>
          <w:lang w:val="en-US"/>
        </w:rPr>
        <w:t>and</w:t>
      </w:r>
      <w:r w:rsidRPr="00AF2699">
        <w:rPr>
          <w:rFonts w:ascii="Century" w:hAnsi="Century"/>
          <w:sz w:val="22"/>
          <w:szCs w:val="22"/>
          <w:lang w:val="en-US"/>
        </w:rPr>
        <w:t xml:space="preserve"> CAPM outcome</w:t>
      </w:r>
      <w:r w:rsidR="00AF2699">
        <w:rPr>
          <w:rFonts w:ascii="Century" w:hAnsi="Century"/>
          <w:sz w:val="22"/>
          <w:szCs w:val="22"/>
          <w:lang w:val="en-US"/>
        </w:rPr>
        <w:t>s</w:t>
      </w:r>
      <w:r w:rsidRPr="00AF2699">
        <w:rPr>
          <w:rFonts w:ascii="Century" w:hAnsi="Century"/>
          <w:sz w:val="22"/>
          <w:szCs w:val="22"/>
          <w:lang w:val="en-US"/>
        </w:rPr>
        <w:t xml:space="preserve"> show a</w:t>
      </w:r>
      <w:r w:rsidR="00536B7B">
        <w:rPr>
          <w:rFonts w:ascii="Century" w:hAnsi="Century"/>
          <w:sz w:val="22"/>
          <w:szCs w:val="22"/>
          <w:lang w:val="en-US"/>
        </w:rPr>
        <w:t xml:space="preserve"> not statistically</w:t>
      </w:r>
      <w:r w:rsidR="00EF64E3">
        <w:rPr>
          <w:rFonts w:ascii="Century" w:hAnsi="Century"/>
          <w:sz w:val="22"/>
          <w:szCs w:val="22"/>
          <w:lang w:val="en-US"/>
        </w:rPr>
        <w:t xml:space="preserve"> large</w:t>
      </w:r>
      <w:r w:rsidR="00361272">
        <w:rPr>
          <w:rFonts w:ascii="Century" w:hAnsi="Century"/>
          <w:sz w:val="22"/>
          <w:szCs w:val="22"/>
          <w:lang w:val="en-US"/>
        </w:rPr>
        <w:t xml:space="preserve"> difference</w:t>
      </w:r>
      <w:r w:rsidR="005B1F35" w:rsidRPr="00AF2699">
        <w:rPr>
          <w:rFonts w:ascii="Century" w:hAnsi="Century"/>
          <w:sz w:val="22"/>
          <w:szCs w:val="22"/>
          <w:lang w:val="en-US"/>
        </w:rPr>
        <w:t xml:space="preserve"> </w:t>
      </w:r>
      <w:r w:rsidR="00AA1AEF">
        <w:rPr>
          <w:rFonts w:ascii="Century" w:hAnsi="Century"/>
          <w:sz w:val="22"/>
          <w:szCs w:val="22"/>
          <w:lang w:val="en-US"/>
        </w:rPr>
        <w:t>(</w:t>
      </w:r>
      <w:r w:rsidR="001802E6">
        <w:rPr>
          <w:rFonts w:ascii="Century" w:hAnsi="Century"/>
          <w:sz w:val="22"/>
          <w:szCs w:val="22"/>
          <w:lang w:val="en-US"/>
        </w:rPr>
        <w:t>Appendix Table</w:t>
      </w:r>
      <w:r w:rsidR="00AA1AEF">
        <w:rPr>
          <w:rFonts w:ascii="Century" w:hAnsi="Century"/>
          <w:sz w:val="22"/>
          <w:szCs w:val="22"/>
          <w:lang w:val="en-US"/>
        </w:rPr>
        <w:t xml:space="preserve"> A</w:t>
      </w:r>
      <w:r w:rsidR="00A9332D">
        <w:rPr>
          <w:rFonts w:ascii="Century" w:hAnsi="Century"/>
          <w:sz w:val="22"/>
          <w:szCs w:val="22"/>
          <w:lang w:val="en-US"/>
        </w:rPr>
        <w:t>1</w:t>
      </w:r>
      <w:r w:rsidR="00AA1AEF">
        <w:rPr>
          <w:rFonts w:ascii="Century" w:hAnsi="Century"/>
          <w:sz w:val="22"/>
          <w:szCs w:val="22"/>
          <w:lang w:val="en-US"/>
        </w:rPr>
        <w:t xml:space="preserve">) </w:t>
      </w:r>
      <w:r w:rsidR="00361272">
        <w:rPr>
          <w:rFonts w:ascii="Century" w:hAnsi="Century"/>
          <w:sz w:val="22"/>
          <w:szCs w:val="22"/>
          <w:lang w:val="en-US"/>
        </w:rPr>
        <w:t>which may</w:t>
      </w:r>
      <w:r w:rsidRPr="00AF2699">
        <w:rPr>
          <w:rFonts w:ascii="Century" w:hAnsi="Century"/>
          <w:sz w:val="22"/>
          <w:szCs w:val="22"/>
          <w:lang w:val="en-US"/>
        </w:rPr>
        <w:t xml:space="preserve"> reflect two methodological simplifications. Therefore, the matching sign and significance between three observed variables validate the data pipelines </w:t>
      </w:r>
      <w:r w:rsidR="00F025D4">
        <w:rPr>
          <w:rFonts w:ascii="Century" w:hAnsi="Century"/>
          <w:sz w:val="22"/>
          <w:szCs w:val="22"/>
          <w:lang w:val="en-US"/>
        </w:rPr>
        <w:t xml:space="preserve">used </w:t>
      </w:r>
      <w:r w:rsidRPr="00AF2699">
        <w:rPr>
          <w:rFonts w:ascii="Century" w:hAnsi="Century"/>
          <w:sz w:val="22"/>
          <w:szCs w:val="22"/>
          <w:lang w:val="en-US"/>
        </w:rPr>
        <w:t xml:space="preserve">in order to proceed </w:t>
      </w:r>
      <w:r w:rsidR="00F025D4">
        <w:rPr>
          <w:rFonts w:ascii="Century" w:hAnsi="Century"/>
          <w:sz w:val="22"/>
          <w:szCs w:val="22"/>
          <w:lang w:val="en-US"/>
        </w:rPr>
        <w:t>with the</w:t>
      </w:r>
      <w:r w:rsidRPr="00AF2699">
        <w:rPr>
          <w:rFonts w:ascii="Century" w:hAnsi="Century"/>
          <w:sz w:val="22"/>
          <w:szCs w:val="22"/>
          <w:lang w:val="en-US"/>
        </w:rPr>
        <w:t xml:space="preserve"> </w:t>
      </w:r>
      <w:r w:rsidR="00F025D4">
        <w:rPr>
          <w:rFonts w:ascii="Century" w:hAnsi="Century"/>
          <w:sz w:val="22"/>
          <w:szCs w:val="22"/>
          <w:lang w:val="en-US"/>
        </w:rPr>
        <w:t>methods described</w:t>
      </w:r>
      <w:r w:rsidRPr="00AF2699">
        <w:rPr>
          <w:rFonts w:ascii="Century" w:hAnsi="Century"/>
          <w:sz w:val="22"/>
          <w:szCs w:val="22"/>
          <w:lang w:val="en-US"/>
        </w:rPr>
        <w:t xml:space="preserve"> for Section 4.2</w:t>
      </w:r>
    </w:p>
    <w:p w14:paraId="053075AC" w14:textId="0AD4E61E" w:rsidR="001703B7" w:rsidRDefault="00EF4BF8" w:rsidP="00222455">
      <w:pPr>
        <w:spacing w:before="320" w:after="160" w:line="360" w:lineRule="auto"/>
        <w:outlineLvl w:val="1"/>
        <w:rPr>
          <w:rFonts w:ascii="Century" w:hAnsi="Century"/>
          <w:sz w:val="22"/>
          <w:szCs w:val="22"/>
          <w:lang w:val="en-US"/>
        </w:rPr>
      </w:pPr>
      <w:r>
        <w:rPr>
          <w:rFonts w:ascii="Century" w:hAnsi="Century"/>
          <w:noProof/>
          <w:sz w:val="22"/>
          <w:szCs w:val="22"/>
          <w:lang w:val="en-US"/>
          <w14:ligatures w14:val="standardContextual"/>
        </w:rPr>
        <w:drawing>
          <wp:anchor distT="0" distB="0" distL="114300" distR="114300" simplePos="0" relativeHeight="251675648" behindDoc="0" locked="0" layoutInCell="1" allowOverlap="1" wp14:anchorId="2927D579" wp14:editId="2D4B4089">
            <wp:simplePos x="0" y="0"/>
            <wp:positionH relativeFrom="column">
              <wp:posOffset>-592455</wp:posOffset>
            </wp:positionH>
            <wp:positionV relativeFrom="paragraph">
              <wp:posOffset>462280</wp:posOffset>
            </wp:positionV>
            <wp:extent cx="6946661" cy="3076261"/>
            <wp:effectExtent l="0" t="0" r="635" b="0"/>
            <wp:wrapNone/>
            <wp:docPr id="12793917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1768" name="Imagem 1279391768"/>
                    <pic:cNvPicPr/>
                  </pic:nvPicPr>
                  <pic:blipFill rotWithShape="1">
                    <a:blip r:embed="rId9" cstate="print">
                      <a:extLst>
                        <a:ext uri="{28A0092B-C50C-407E-A947-70E740481C1C}">
                          <a14:useLocalDpi xmlns:a14="http://schemas.microsoft.com/office/drawing/2010/main" val="0"/>
                        </a:ext>
                      </a:extLst>
                    </a:blip>
                    <a:srcRect t="2464" b="23635"/>
                    <a:stretch>
                      <a:fillRect/>
                    </a:stretch>
                  </pic:blipFill>
                  <pic:spPr bwMode="auto">
                    <a:xfrm>
                      <a:off x="0" y="0"/>
                      <a:ext cx="6946661" cy="30762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517D" w:rsidRPr="00F414EA">
        <w:rPr>
          <w:rFonts w:ascii="Century" w:hAnsi="Century"/>
          <w:sz w:val="22"/>
          <w:szCs w:val="22"/>
          <w:lang w:val="en-US"/>
        </w:rPr>
        <w:t>4.2 Tests and Findings</w:t>
      </w:r>
    </w:p>
    <w:tbl>
      <w:tblPr>
        <w:tblW w:w="9070" w:type="dxa"/>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9070"/>
      </w:tblGrid>
      <w:tr w:rsidR="00E92837" w:rsidRPr="00E92837" w14:paraId="28001D81" w14:textId="77777777" w:rsidTr="00E92837">
        <w:tc>
          <w:tcPr>
            <w:tcW w:w="0" w:type="auto"/>
            <w:tcBorders>
              <w:top w:val="nil"/>
              <w:left w:val="nil"/>
              <w:bottom w:val="nil"/>
              <w:right w:val="nil"/>
            </w:tcBorders>
            <w:shd w:val="clear" w:color="auto" w:fill="FFFFFF"/>
            <w:tcMar>
              <w:top w:w="60" w:type="dxa"/>
              <w:left w:w="75" w:type="dxa"/>
              <w:bottom w:w="60" w:type="dxa"/>
              <w:right w:w="75" w:type="dxa"/>
            </w:tcMar>
            <w:vAlign w:val="center"/>
            <w:hideMark/>
          </w:tcPr>
          <w:p w14:paraId="6754FB36" w14:textId="088BDB71" w:rsidR="000C69CA" w:rsidRDefault="000C69CA" w:rsidP="00EF4BF8">
            <w:pPr>
              <w:spacing w:line="360" w:lineRule="auto"/>
              <w:jc w:val="both"/>
              <w:rPr>
                <w:rFonts w:ascii="Century" w:hAnsi="Century"/>
                <w:sz w:val="22"/>
                <w:szCs w:val="22"/>
                <w:lang w:val="en-US"/>
              </w:rPr>
            </w:pPr>
          </w:p>
          <w:p w14:paraId="5C223398" w14:textId="77777777" w:rsidR="00E91543" w:rsidRDefault="00E91543" w:rsidP="00E92837">
            <w:pPr>
              <w:spacing w:line="360" w:lineRule="auto"/>
              <w:ind w:firstLine="360"/>
              <w:jc w:val="both"/>
              <w:rPr>
                <w:rFonts w:ascii="Century" w:hAnsi="Century"/>
                <w:sz w:val="22"/>
                <w:szCs w:val="22"/>
                <w:lang w:val="en-US"/>
              </w:rPr>
            </w:pPr>
          </w:p>
          <w:p w14:paraId="0CA3F228" w14:textId="30485341" w:rsidR="00E91543" w:rsidRDefault="00E91543" w:rsidP="00E91543">
            <w:pPr>
              <w:keepNext/>
              <w:spacing w:after="60"/>
            </w:pPr>
          </w:p>
          <w:p w14:paraId="14980B8F" w14:textId="0ECDB0C9" w:rsidR="000A0148" w:rsidRPr="00222455" w:rsidRDefault="000A0148" w:rsidP="00E92837">
            <w:pPr>
              <w:spacing w:line="360" w:lineRule="auto"/>
              <w:ind w:firstLine="360"/>
              <w:jc w:val="both"/>
              <w:rPr>
                <w:rFonts w:ascii="Century" w:hAnsi="Century"/>
                <w:sz w:val="22"/>
                <w:szCs w:val="22"/>
                <w:lang w:val="en-US"/>
              </w:rPr>
            </w:pPr>
          </w:p>
        </w:tc>
      </w:tr>
    </w:tbl>
    <w:p w14:paraId="07B4F19A" w14:textId="1BD30E36" w:rsidR="00E92837" w:rsidRDefault="00E92837" w:rsidP="0076539A">
      <w:pPr>
        <w:spacing w:line="360" w:lineRule="auto"/>
        <w:ind w:firstLine="360"/>
        <w:jc w:val="both"/>
        <w:rPr>
          <w:rFonts w:ascii="Century" w:hAnsi="Century"/>
          <w:sz w:val="22"/>
          <w:szCs w:val="22"/>
          <w:lang w:val="en-US"/>
        </w:rPr>
      </w:pPr>
    </w:p>
    <w:p w14:paraId="39737B98" w14:textId="416812E9" w:rsidR="00E92837" w:rsidRDefault="00E92837" w:rsidP="0076539A">
      <w:pPr>
        <w:spacing w:line="360" w:lineRule="auto"/>
        <w:ind w:firstLine="360"/>
        <w:jc w:val="both"/>
        <w:rPr>
          <w:rFonts w:ascii="Century" w:hAnsi="Century"/>
          <w:sz w:val="22"/>
          <w:szCs w:val="22"/>
          <w:lang w:val="en-US"/>
        </w:rPr>
      </w:pPr>
    </w:p>
    <w:p w14:paraId="64D6D04F" w14:textId="02501879" w:rsidR="00E92837" w:rsidRDefault="00E92837" w:rsidP="0076539A">
      <w:pPr>
        <w:spacing w:line="360" w:lineRule="auto"/>
        <w:ind w:firstLine="360"/>
        <w:jc w:val="both"/>
        <w:rPr>
          <w:rFonts w:ascii="Century" w:hAnsi="Century"/>
          <w:sz w:val="22"/>
          <w:szCs w:val="22"/>
          <w:lang w:val="en-US"/>
        </w:rPr>
      </w:pPr>
    </w:p>
    <w:p w14:paraId="11953E42" w14:textId="725BA934" w:rsidR="00E92837" w:rsidRDefault="00E92837" w:rsidP="0076539A">
      <w:pPr>
        <w:spacing w:line="360" w:lineRule="auto"/>
        <w:ind w:firstLine="360"/>
        <w:jc w:val="both"/>
        <w:rPr>
          <w:rFonts w:ascii="Century" w:hAnsi="Century"/>
          <w:sz w:val="22"/>
          <w:szCs w:val="22"/>
          <w:lang w:val="en-US"/>
        </w:rPr>
      </w:pPr>
    </w:p>
    <w:p w14:paraId="09F610BB" w14:textId="73D78671" w:rsidR="00E92837" w:rsidRDefault="00E92837" w:rsidP="0076539A">
      <w:pPr>
        <w:spacing w:line="360" w:lineRule="auto"/>
        <w:ind w:firstLine="360"/>
        <w:jc w:val="both"/>
        <w:rPr>
          <w:rFonts w:ascii="Century" w:hAnsi="Century"/>
          <w:sz w:val="22"/>
          <w:szCs w:val="22"/>
          <w:lang w:val="en-US"/>
        </w:rPr>
      </w:pPr>
    </w:p>
    <w:p w14:paraId="736E2FA3" w14:textId="55AFB14C" w:rsidR="00E92837" w:rsidRDefault="00E92837" w:rsidP="0076539A">
      <w:pPr>
        <w:spacing w:line="360" w:lineRule="auto"/>
        <w:ind w:firstLine="360"/>
        <w:jc w:val="both"/>
        <w:rPr>
          <w:rFonts w:ascii="Century" w:hAnsi="Century"/>
          <w:sz w:val="22"/>
          <w:szCs w:val="22"/>
          <w:lang w:val="en-US"/>
        </w:rPr>
      </w:pPr>
    </w:p>
    <w:p w14:paraId="0FC629E2" w14:textId="1F950F55" w:rsidR="00E92837" w:rsidRDefault="00E92837" w:rsidP="0076539A">
      <w:pPr>
        <w:spacing w:line="360" w:lineRule="auto"/>
        <w:ind w:firstLine="360"/>
        <w:jc w:val="both"/>
        <w:rPr>
          <w:rFonts w:ascii="Century" w:hAnsi="Century"/>
          <w:sz w:val="22"/>
          <w:szCs w:val="22"/>
          <w:lang w:val="en-US"/>
        </w:rPr>
      </w:pPr>
    </w:p>
    <w:p w14:paraId="298BC7A8" w14:textId="37ACF58F" w:rsidR="00E92837" w:rsidRDefault="00E92837" w:rsidP="0076539A">
      <w:pPr>
        <w:spacing w:line="360" w:lineRule="auto"/>
        <w:ind w:firstLine="360"/>
        <w:jc w:val="both"/>
        <w:rPr>
          <w:rFonts w:ascii="Century" w:hAnsi="Century"/>
          <w:sz w:val="22"/>
          <w:szCs w:val="22"/>
          <w:lang w:val="en-US"/>
        </w:rPr>
      </w:pPr>
    </w:p>
    <w:p w14:paraId="1AEC879A" w14:textId="11EABEEA" w:rsidR="00E92837" w:rsidRDefault="00E92837" w:rsidP="0026207B">
      <w:pPr>
        <w:spacing w:line="360" w:lineRule="auto"/>
        <w:jc w:val="both"/>
        <w:rPr>
          <w:rFonts w:ascii="Century" w:hAnsi="Century"/>
          <w:sz w:val="22"/>
          <w:szCs w:val="22"/>
          <w:lang w:val="en-US"/>
        </w:rPr>
      </w:pPr>
    </w:p>
    <w:p w14:paraId="264C830C" w14:textId="07B7D864" w:rsidR="00E91543" w:rsidRDefault="00EF4BF8" w:rsidP="00EF4BF8">
      <w:pPr>
        <w:spacing w:line="360" w:lineRule="auto"/>
        <w:ind w:firstLine="360"/>
        <w:jc w:val="both"/>
        <w:rPr>
          <w:rFonts w:ascii="Century" w:hAnsi="Century"/>
          <w:sz w:val="20"/>
          <w:szCs w:val="20"/>
          <w:lang w:val="en-US"/>
        </w:rPr>
      </w:pPr>
      <w:r w:rsidRPr="00766435">
        <w:rPr>
          <w:rFonts w:ascii="Century" w:hAnsi="Century"/>
          <w:sz w:val="18"/>
          <w:szCs w:val="18"/>
          <w:lang w:val="en-US"/>
        </w:rPr>
        <w:lastRenderedPageBreak/>
        <w:t>t-statistics based on heteroskedasticity-robust (HC1) standard errors; CAR are portfolio cumulative abnormal returns as described in Section 4.1 (top vs. bottom Exposure quintile, weighted on Nov 29, 2022, market-cap weights), summed over t=0...10; Baseline AR = daily excess return minus French's Mkt-RF; CAPM and FF firm CARs use loadings estimated May 18 - Nov 14, 2022; Regressions are WLS (weights = Nov 29, 2022, market cap) and introduce Book-to-market as a control; FE is 3-digit NAICS where marked and applies to the Exposure regression only (categories with &gt;=10 firms); Significance: * p&lt;0.10, ** p&lt;0.05, *** p&lt;0.01.</w:t>
      </w:r>
    </w:p>
    <w:p w14:paraId="7FCE94FB" w14:textId="77777777" w:rsidR="00EF4BF8" w:rsidRPr="00EF4BF8" w:rsidRDefault="00EF4BF8" w:rsidP="00EF4BF8">
      <w:pPr>
        <w:spacing w:line="360" w:lineRule="auto"/>
        <w:ind w:firstLine="360"/>
        <w:jc w:val="both"/>
        <w:rPr>
          <w:rFonts w:ascii="Century" w:hAnsi="Century"/>
          <w:sz w:val="20"/>
          <w:szCs w:val="20"/>
          <w:lang w:val="en-US"/>
        </w:rPr>
      </w:pPr>
    </w:p>
    <w:p w14:paraId="720F1EDE" w14:textId="54D06ECE" w:rsidR="00205711" w:rsidRPr="00F414EA" w:rsidRDefault="000D6E60" w:rsidP="0076539A">
      <w:pPr>
        <w:spacing w:line="360" w:lineRule="auto"/>
        <w:ind w:firstLine="360"/>
        <w:jc w:val="both"/>
        <w:rPr>
          <w:rFonts w:ascii="Century" w:hAnsi="Century"/>
          <w:sz w:val="22"/>
          <w:szCs w:val="22"/>
          <w:lang w:val="en-US"/>
        </w:rPr>
      </w:pPr>
      <w:r w:rsidRPr="00F414EA">
        <w:rPr>
          <w:rFonts w:ascii="Century" w:hAnsi="Century"/>
          <w:sz w:val="22"/>
          <w:szCs w:val="22"/>
          <w:lang w:val="en-US"/>
        </w:rPr>
        <w:t xml:space="preserve">Table 2 reports the paper’s reproduction and </w:t>
      </w:r>
      <w:r w:rsidR="00B93403" w:rsidRPr="00F414EA">
        <w:rPr>
          <w:rFonts w:ascii="Century" w:hAnsi="Century"/>
          <w:sz w:val="22"/>
          <w:szCs w:val="22"/>
          <w:lang w:val="en-US"/>
        </w:rPr>
        <w:t>our</w:t>
      </w:r>
      <w:r w:rsidRPr="00F414EA">
        <w:rPr>
          <w:rFonts w:ascii="Century" w:hAnsi="Century"/>
          <w:sz w:val="22"/>
          <w:szCs w:val="22"/>
          <w:lang w:val="en-US"/>
        </w:rPr>
        <w:t xml:space="preserve"> original test’s results.</w:t>
      </w:r>
      <w:r w:rsidR="00A77831">
        <w:rPr>
          <w:rFonts w:ascii="Century" w:hAnsi="Century"/>
          <w:sz w:val="22"/>
          <w:szCs w:val="22"/>
          <w:lang w:val="en-US"/>
        </w:rPr>
        <w:t xml:space="preserve"> The AMH portfolio’s CARs are already discussed in the previous section.</w:t>
      </w:r>
      <w:r w:rsidR="00205711" w:rsidRPr="00F414EA">
        <w:rPr>
          <w:rFonts w:ascii="Century" w:hAnsi="Century"/>
          <w:sz w:val="22"/>
          <w:szCs w:val="22"/>
          <w:lang w:val="en-US"/>
        </w:rPr>
        <w:t xml:space="preserve"> </w:t>
      </w:r>
      <w:r w:rsidR="005B1F35" w:rsidRPr="00F414EA">
        <w:rPr>
          <w:rFonts w:ascii="Century" w:hAnsi="Century"/>
          <w:sz w:val="22"/>
          <w:szCs w:val="22"/>
          <w:lang w:val="en-US"/>
        </w:rPr>
        <w:t>We conduct similar robustness checks to the paper’s</w:t>
      </w:r>
      <w:r w:rsidR="008D5431" w:rsidRPr="00F414EA">
        <w:rPr>
          <w:rFonts w:ascii="Century" w:hAnsi="Century"/>
          <w:sz w:val="22"/>
          <w:szCs w:val="22"/>
          <w:lang w:val="en-US"/>
        </w:rPr>
        <w:t xml:space="preserve"> model horserace</w:t>
      </w:r>
      <w:r w:rsidR="00FB7D9D" w:rsidRPr="00F414EA">
        <w:rPr>
          <w:rFonts w:ascii="Century" w:hAnsi="Century"/>
          <w:sz w:val="22"/>
          <w:szCs w:val="22"/>
          <w:lang w:val="en-US"/>
        </w:rPr>
        <w:t xml:space="preserve"> between the baseline estimation and CAPM </w:t>
      </w:r>
      <w:r w:rsidR="008D5431" w:rsidRPr="00F414EA">
        <w:rPr>
          <w:rFonts w:ascii="Century" w:hAnsi="Century"/>
          <w:sz w:val="22"/>
          <w:szCs w:val="22"/>
          <w:lang w:val="en-US"/>
        </w:rPr>
        <w:t>(Table IA.10)</w:t>
      </w:r>
      <w:r w:rsidR="00D85924" w:rsidRPr="00F414EA">
        <w:rPr>
          <w:rFonts w:ascii="Century" w:hAnsi="Century"/>
          <w:sz w:val="22"/>
          <w:szCs w:val="22"/>
          <w:lang w:val="en-US"/>
        </w:rPr>
        <w:t>,</w:t>
      </w:r>
      <w:r w:rsidR="005B1F35" w:rsidRPr="00F414EA">
        <w:rPr>
          <w:rFonts w:ascii="Century" w:hAnsi="Century"/>
          <w:sz w:val="22"/>
          <w:szCs w:val="22"/>
          <w:lang w:val="en-US"/>
        </w:rPr>
        <w:t xml:space="preserve"> controlling for </w:t>
      </w:r>
      <w:r w:rsidR="003164E5" w:rsidRPr="00F414EA">
        <w:rPr>
          <w:rFonts w:ascii="Century" w:hAnsi="Century"/>
          <w:sz w:val="22"/>
          <w:szCs w:val="22"/>
          <w:lang w:val="en-US"/>
        </w:rPr>
        <w:t xml:space="preserve">the </w:t>
      </w:r>
      <w:r w:rsidR="005B1F35" w:rsidRPr="00F414EA">
        <w:rPr>
          <w:rFonts w:ascii="Century" w:hAnsi="Century"/>
          <w:sz w:val="22"/>
          <w:szCs w:val="22"/>
          <w:lang w:val="en-US"/>
        </w:rPr>
        <w:t>market</w:t>
      </w:r>
      <w:r w:rsidR="003164E5" w:rsidRPr="00F414EA">
        <w:rPr>
          <w:rFonts w:ascii="Century" w:hAnsi="Century"/>
          <w:sz w:val="22"/>
          <w:szCs w:val="22"/>
          <w:lang w:val="en-US"/>
        </w:rPr>
        <w:t xml:space="preserve"> factor</w:t>
      </w:r>
      <w:r w:rsidR="005B1F35" w:rsidRPr="00F414EA">
        <w:rPr>
          <w:rFonts w:ascii="Century" w:hAnsi="Century"/>
          <w:sz w:val="22"/>
          <w:szCs w:val="22"/>
          <w:lang w:val="en-US"/>
        </w:rPr>
        <w:t xml:space="preserve"> </w:t>
      </w:r>
      <w:r w:rsidR="00385C77" w:rsidRPr="00F414EA">
        <w:rPr>
          <w:rFonts w:ascii="Century" w:hAnsi="Century"/>
          <w:sz w:val="22"/>
          <w:szCs w:val="22"/>
          <w:lang w:val="en-US"/>
        </w:rPr>
        <w:t>using</w:t>
      </w:r>
      <w:r w:rsidR="005B1F35" w:rsidRPr="00F414EA">
        <w:rPr>
          <w:rFonts w:ascii="Century" w:hAnsi="Century"/>
          <w:sz w:val="22"/>
          <w:szCs w:val="22"/>
          <w:lang w:val="en-US"/>
        </w:rPr>
        <w:t xml:space="preserve"> CAPM-generated abnormal returns</w:t>
      </w:r>
      <w:r w:rsidR="00385C77" w:rsidRPr="00F414EA">
        <w:rPr>
          <w:rFonts w:ascii="Century" w:hAnsi="Century"/>
          <w:sz w:val="22"/>
          <w:szCs w:val="22"/>
          <w:lang w:val="en-US"/>
        </w:rPr>
        <w:t xml:space="preserve"> and</w:t>
      </w:r>
      <w:r w:rsidR="0016317F" w:rsidRPr="00F414EA">
        <w:rPr>
          <w:rFonts w:ascii="Century" w:hAnsi="Century"/>
          <w:sz w:val="22"/>
          <w:szCs w:val="22"/>
          <w:lang w:val="en-US"/>
        </w:rPr>
        <w:t xml:space="preserve"> for</w:t>
      </w:r>
      <w:r w:rsidR="00385C77" w:rsidRPr="00F414EA">
        <w:rPr>
          <w:rFonts w:ascii="Century" w:hAnsi="Century"/>
          <w:sz w:val="22"/>
          <w:szCs w:val="22"/>
          <w:lang w:val="en-US"/>
        </w:rPr>
        <w:t xml:space="preserve"> between-industry variation using </w:t>
      </w:r>
      <w:r w:rsidR="00D85924" w:rsidRPr="00F414EA">
        <w:rPr>
          <w:rFonts w:ascii="Century" w:hAnsi="Century"/>
          <w:sz w:val="22"/>
          <w:szCs w:val="22"/>
          <w:lang w:val="en-US"/>
        </w:rPr>
        <w:t xml:space="preserve">the </w:t>
      </w:r>
      <w:r w:rsidR="00385C77" w:rsidRPr="00F414EA">
        <w:rPr>
          <w:rFonts w:ascii="Century" w:hAnsi="Century"/>
          <w:sz w:val="22"/>
          <w:szCs w:val="22"/>
          <w:lang w:val="en-US"/>
        </w:rPr>
        <w:t>NAICS 3-digit FE</w:t>
      </w:r>
      <w:r w:rsidR="00E738AD" w:rsidRPr="00F414EA">
        <w:rPr>
          <w:rFonts w:ascii="Century" w:hAnsi="Century"/>
          <w:sz w:val="22"/>
          <w:szCs w:val="22"/>
          <w:lang w:val="en-US"/>
        </w:rPr>
        <w:t>. The</w:t>
      </w:r>
      <w:r w:rsidR="00586515">
        <w:rPr>
          <w:rFonts w:ascii="Century" w:hAnsi="Century"/>
          <w:sz w:val="22"/>
          <w:szCs w:val="22"/>
          <w:lang w:val="en-US"/>
        </w:rPr>
        <w:t xml:space="preserve"> WLS</w:t>
      </w:r>
      <w:r w:rsidR="00E738AD" w:rsidRPr="00F414EA">
        <w:rPr>
          <w:rFonts w:ascii="Century" w:hAnsi="Century"/>
          <w:sz w:val="22"/>
          <w:szCs w:val="22"/>
          <w:lang w:val="en-US"/>
        </w:rPr>
        <w:t xml:space="preserve"> regression specified in equation</w:t>
      </w:r>
      <w:r w:rsidR="0030168A" w:rsidRPr="00F414EA">
        <w:rPr>
          <w:rFonts w:ascii="Century" w:hAnsi="Century"/>
          <w:sz w:val="22"/>
          <w:szCs w:val="22"/>
          <w:lang w:val="en-US"/>
        </w:rPr>
        <w:t xml:space="preserve"> (5) adds </w:t>
      </w:r>
      <w:r w:rsidR="000C6555" w:rsidRPr="00F414EA">
        <w:rPr>
          <w:rFonts w:ascii="Century" w:hAnsi="Century"/>
          <w:sz w:val="22"/>
          <w:szCs w:val="22"/>
          <w:lang w:val="en-US"/>
        </w:rPr>
        <w:t xml:space="preserve">the </w:t>
      </w:r>
      <w:r w:rsidR="0030168A" w:rsidRPr="00F414EA">
        <w:rPr>
          <w:rFonts w:ascii="Century" w:hAnsi="Century"/>
          <w:sz w:val="22"/>
          <w:szCs w:val="22"/>
          <w:lang w:val="en-US"/>
        </w:rPr>
        <w:t xml:space="preserve">book-to-market ratio as </w:t>
      </w:r>
      <w:r w:rsidR="000C6555" w:rsidRPr="00F414EA">
        <w:rPr>
          <w:rFonts w:ascii="Century" w:hAnsi="Century"/>
          <w:sz w:val="22"/>
          <w:szCs w:val="22"/>
          <w:lang w:val="en-US"/>
        </w:rPr>
        <w:t xml:space="preserve">a </w:t>
      </w:r>
      <w:r w:rsidR="0030168A" w:rsidRPr="00F414EA">
        <w:rPr>
          <w:rFonts w:ascii="Century" w:hAnsi="Century"/>
          <w:sz w:val="22"/>
          <w:szCs w:val="22"/>
          <w:lang w:val="en-US"/>
        </w:rPr>
        <w:t>control</w:t>
      </w:r>
      <w:r w:rsidR="00586515">
        <w:rPr>
          <w:rFonts w:ascii="Century" w:hAnsi="Century"/>
          <w:sz w:val="22"/>
          <w:szCs w:val="22"/>
          <w:lang w:val="en-US"/>
        </w:rPr>
        <w:t>, which gives larger firms more weight</w:t>
      </w:r>
      <w:r w:rsidR="005B1F35" w:rsidRPr="00F414EA">
        <w:rPr>
          <w:rFonts w:ascii="Century" w:hAnsi="Century"/>
          <w:sz w:val="22"/>
          <w:szCs w:val="22"/>
          <w:lang w:val="en-US"/>
        </w:rPr>
        <w:t>.</w:t>
      </w:r>
      <w:r w:rsidR="0030168A" w:rsidRPr="00F414EA">
        <w:rPr>
          <w:rFonts w:ascii="Century" w:hAnsi="Century"/>
          <w:sz w:val="22"/>
          <w:szCs w:val="22"/>
          <w:lang w:val="en-US"/>
        </w:rPr>
        <w:t xml:space="preserve"> We stress that </w:t>
      </w:r>
      <w:r w:rsidR="00DE6FCC" w:rsidRPr="00F414EA">
        <w:rPr>
          <w:rFonts w:ascii="Century" w:hAnsi="Century"/>
          <w:sz w:val="22"/>
          <w:szCs w:val="22"/>
          <w:lang w:val="en-US"/>
        </w:rPr>
        <w:t>this</w:t>
      </w:r>
      <w:r w:rsidR="0030168A" w:rsidRPr="00F414EA">
        <w:rPr>
          <w:rFonts w:ascii="Century" w:hAnsi="Century"/>
          <w:sz w:val="22"/>
          <w:szCs w:val="22"/>
          <w:lang w:val="en-US"/>
        </w:rPr>
        <w:t xml:space="preserve"> set-up is founded in the paper</w:t>
      </w:r>
      <w:r w:rsidR="002B7DE3">
        <w:rPr>
          <w:rFonts w:ascii="Century" w:hAnsi="Century"/>
          <w:sz w:val="22"/>
          <w:szCs w:val="22"/>
          <w:lang w:val="en-US"/>
        </w:rPr>
        <w:t>’s (also, equation number 5)</w:t>
      </w:r>
      <w:r w:rsidR="0030168A" w:rsidRPr="00F414EA">
        <w:rPr>
          <w:rFonts w:ascii="Century" w:hAnsi="Century"/>
          <w:sz w:val="22"/>
          <w:szCs w:val="22"/>
          <w:lang w:val="en-US"/>
        </w:rPr>
        <w:t xml:space="preserve"> but </w:t>
      </w:r>
      <w:r w:rsidR="0035158B" w:rsidRPr="00F414EA">
        <w:rPr>
          <w:rFonts w:ascii="Century" w:hAnsi="Century"/>
          <w:sz w:val="22"/>
          <w:szCs w:val="22"/>
          <w:lang w:val="en-US"/>
        </w:rPr>
        <w:t>not identical</w:t>
      </w:r>
      <w:r w:rsidR="0030168A" w:rsidRPr="00F414EA">
        <w:rPr>
          <w:rFonts w:ascii="Century" w:hAnsi="Century"/>
          <w:sz w:val="22"/>
          <w:szCs w:val="22"/>
          <w:lang w:val="en-US"/>
        </w:rPr>
        <w:t xml:space="preserve"> </w:t>
      </w:r>
      <w:r w:rsidR="002F7900" w:rsidRPr="00F414EA">
        <w:rPr>
          <w:rFonts w:ascii="Century" w:hAnsi="Century"/>
          <w:sz w:val="22"/>
          <w:szCs w:val="22"/>
          <w:lang w:val="en-US"/>
        </w:rPr>
        <w:t>to it</w:t>
      </w:r>
      <w:r w:rsidR="00617CE0" w:rsidRPr="00F414EA">
        <w:rPr>
          <w:rFonts w:ascii="Century" w:hAnsi="Century"/>
          <w:sz w:val="22"/>
          <w:szCs w:val="22"/>
          <w:lang w:val="en-US"/>
        </w:rPr>
        <w:t xml:space="preserve"> </w:t>
      </w:r>
      <w:r w:rsidR="0030168A" w:rsidRPr="00F414EA">
        <w:rPr>
          <w:rFonts w:ascii="Century" w:hAnsi="Century"/>
          <w:sz w:val="22"/>
          <w:szCs w:val="22"/>
          <w:lang w:val="en-US"/>
        </w:rPr>
        <w:t xml:space="preserve">– we specify </w:t>
      </w:r>
      <w:r w:rsidR="00061A1A" w:rsidRPr="00F414EA">
        <w:rPr>
          <w:rFonts w:ascii="Century" w:hAnsi="Century"/>
          <w:sz w:val="22"/>
          <w:szCs w:val="22"/>
          <w:lang w:val="en-US"/>
        </w:rPr>
        <w:t xml:space="preserve">a </w:t>
      </w:r>
      <w:r w:rsidR="0030168A" w:rsidRPr="00F414EA">
        <w:rPr>
          <w:rFonts w:ascii="Century" w:hAnsi="Century"/>
          <w:sz w:val="22"/>
          <w:szCs w:val="22"/>
          <w:lang w:val="en-US"/>
        </w:rPr>
        <w:t>different</w:t>
      </w:r>
      <w:r w:rsidR="00061A1A" w:rsidRPr="00F414EA">
        <w:rPr>
          <w:rFonts w:ascii="Century" w:hAnsi="Century"/>
          <w:sz w:val="22"/>
          <w:szCs w:val="22"/>
          <w:lang w:val="en-US"/>
        </w:rPr>
        <w:t xml:space="preserve"> set of</w:t>
      </w:r>
      <w:r w:rsidR="0030168A" w:rsidRPr="00F414EA">
        <w:rPr>
          <w:rFonts w:ascii="Century" w:hAnsi="Century"/>
          <w:sz w:val="22"/>
          <w:szCs w:val="22"/>
          <w:lang w:val="en-US"/>
        </w:rPr>
        <w:t xml:space="preserve"> controls and</w:t>
      </w:r>
      <w:r w:rsidR="00253DE2" w:rsidRPr="00F414EA">
        <w:rPr>
          <w:rFonts w:ascii="Century" w:hAnsi="Century"/>
          <w:sz w:val="22"/>
          <w:szCs w:val="22"/>
          <w:lang w:val="en-US"/>
        </w:rPr>
        <w:t xml:space="preserve"> a different</w:t>
      </w:r>
      <w:r w:rsidR="0030168A" w:rsidRPr="00F414EA">
        <w:rPr>
          <w:rFonts w:ascii="Century" w:hAnsi="Century"/>
          <w:sz w:val="22"/>
          <w:szCs w:val="22"/>
          <w:lang w:val="en-US"/>
        </w:rPr>
        <w:t xml:space="preserve"> window [0,10], instead of [-1,10].</w:t>
      </w:r>
      <w:r w:rsidR="00801B7F" w:rsidRPr="00F414EA">
        <w:rPr>
          <w:rFonts w:ascii="Century" w:hAnsi="Century"/>
          <w:sz w:val="22"/>
          <w:szCs w:val="22"/>
          <w:lang w:val="en-US"/>
        </w:rPr>
        <w:t xml:space="preserve"> Critically, we do not control for Product Exposure which possibly explains why we obtain an adjusted R</w:t>
      </w:r>
      <w:r w:rsidR="00801B7F" w:rsidRPr="00F414EA">
        <w:rPr>
          <w:rFonts w:ascii="Century" w:hAnsi="Century"/>
          <w:sz w:val="22"/>
          <w:szCs w:val="22"/>
          <w:vertAlign w:val="superscript"/>
          <w:lang w:val="en-US"/>
        </w:rPr>
        <w:t>2</w:t>
      </w:r>
      <w:r w:rsidR="00801B7F" w:rsidRPr="00F414EA">
        <w:rPr>
          <w:rFonts w:ascii="Century" w:hAnsi="Century"/>
          <w:sz w:val="22"/>
          <w:szCs w:val="22"/>
          <w:lang w:val="en-US"/>
        </w:rPr>
        <w:t xml:space="preserve"> an order of magnitude below</w:t>
      </w:r>
      <w:r w:rsidR="0030718C">
        <w:rPr>
          <w:rFonts w:ascii="Century" w:hAnsi="Century"/>
          <w:sz w:val="22"/>
          <w:szCs w:val="22"/>
          <w:lang w:val="en-US"/>
        </w:rPr>
        <w:t xml:space="preserve"> the paper’s</w:t>
      </w:r>
      <w:r w:rsidR="00801B7F" w:rsidRPr="00F414EA">
        <w:rPr>
          <w:rFonts w:ascii="Century" w:hAnsi="Century"/>
          <w:sz w:val="22"/>
          <w:szCs w:val="22"/>
          <w:lang w:val="en-US"/>
        </w:rPr>
        <w:t>.</w:t>
      </w:r>
      <w:r w:rsidR="0076539A" w:rsidRPr="00F414EA">
        <w:rPr>
          <w:rFonts w:ascii="Century" w:hAnsi="Century"/>
          <w:sz w:val="22"/>
          <w:szCs w:val="22"/>
          <w:lang w:val="en-US"/>
        </w:rPr>
        <w:t xml:space="preserve"> </w:t>
      </w:r>
      <w:r w:rsidR="00F900D2" w:rsidRPr="008A48C6">
        <w:rPr>
          <w:rFonts w:ascii="Century" w:hAnsi="Century"/>
          <w:sz w:val="22"/>
          <w:szCs w:val="22"/>
          <w:lang w:val="en-US"/>
        </w:rPr>
        <w:t>The estimated</w:t>
      </w:r>
      <w:r w:rsidR="008A48C6">
        <w:rPr>
          <w:rFonts w:ascii="Century" w:hAnsi="Century"/>
          <w:sz w:val="22"/>
          <w:szCs w:val="22"/>
          <w:lang w:val="en-US"/>
        </w:rPr>
        <w:t xml:space="preserve"> Exposure</w:t>
      </w:r>
      <w:r w:rsidR="00F900D2" w:rsidRPr="008A48C6">
        <w:rPr>
          <w:rFonts w:ascii="Century" w:hAnsi="Century"/>
          <w:sz w:val="22"/>
          <w:szCs w:val="22"/>
          <w:lang w:val="en-US"/>
        </w:rPr>
        <w:t xml:space="preserve"> coefficients are</w:t>
      </w:r>
      <w:r w:rsidR="00F414EA" w:rsidRPr="008A48C6">
        <w:rPr>
          <w:rFonts w:ascii="Century" w:hAnsi="Century"/>
          <w:sz w:val="22"/>
          <w:szCs w:val="22"/>
          <w:lang w:val="en-US"/>
        </w:rPr>
        <w:t xml:space="preserve"> statistically significant across all </w:t>
      </w:r>
      <w:r w:rsidR="008A48C6">
        <w:rPr>
          <w:rFonts w:ascii="Century" w:hAnsi="Century"/>
          <w:sz w:val="22"/>
          <w:szCs w:val="22"/>
          <w:lang w:val="en-US"/>
        </w:rPr>
        <w:t xml:space="preserve">setups at different significance level. For the baseline and CAPM models, Exposure is significant at the highest level, </w:t>
      </w:r>
      <w:r w:rsidR="00586515">
        <w:rPr>
          <w:rFonts w:ascii="Century" w:hAnsi="Century"/>
          <w:sz w:val="22"/>
          <w:szCs w:val="22"/>
          <w:lang w:val="en-US"/>
        </w:rPr>
        <w:t xml:space="preserve">leading to higher estimates </w:t>
      </w:r>
      <w:r w:rsidR="0086402C">
        <w:rPr>
          <w:rFonts w:ascii="Century" w:hAnsi="Century"/>
          <w:sz w:val="22"/>
          <w:szCs w:val="22"/>
          <w:lang w:val="en-US"/>
        </w:rPr>
        <w:t>without FE</w:t>
      </w:r>
      <w:r w:rsidR="0076539A" w:rsidRPr="008A48C6">
        <w:rPr>
          <w:rFonts w:ascii="Century" w:hAnsi="Century"/>
          <w:sz w:val="22"/>
          <w:szCs w:val="22"/>
          <w:lang w:val="en-US"/>
        </w:rPr>
        <w:t>.</w:t>
      </w:r>
      <w:r w:rsidR="0086402C">
        <w:rPr>
          <w:rFonts w:ascii="Century" w:hAnsi="Century"/>
          <w:sz w:val="22"/>
          <w:szCs w:val="22"/>
          <w:lang w:val="en-US"/>
        </w:rPr>
        <w:t xml:space="preserve"> With FE</w:t>
      </w:r>
      <w:r w:rsidR="004C3CB7">
        <w:rPr>
          <w:rFonts w:ascii="Century" w:hAnsi="Century"/>
          <w:sz w:val="22"/>
          <w:szCs w:val="22"/>
          <w:lang w:val="en-US"/>
        </w:rPr>
        <w:t xml:space="preserve"> </w:t>
      </w:r>
      <w:r w:rsidR="0086402C">
        <w:rPr>
          <w:rFonts w:ascii="Century" w:hAnsi="Century"/>
          <w:sz w:val="22"/>
          <w:szCs w:val="22"/>
          <w:lang w:val="en-US"/>
        </w:rPr>
        <w:t>we obtain more precise but lower estimates for the baseline and CAPM. For the Fama-French 5 Factor model, we exclude the value control as it’s already priced out</w:t>
      </w:r>
      <w:r w:rsidR="00357094">
        <w:rPr>
          <w:rFonts w:ascii="Century" w:hAnsi="Century"/>
          <w:sz w:val="22"/>
          <w:szCs w:val="22"/>
          <w:lang w:val="en-US"/>
        </w:rPr>
        <w:t xml:space="preserve"> from</w:t>
      </w:r>
      <w:r w:rsidR="00843F87">
        <w:rPr>
          <w:rFonts w:ascii="Century" w:hAnsi="Century"/>
          <w:sz w:val="22"/>
          <w:szCs w:val="22"/>
          <w:lang w:val="en-US"/>
        </w:rPr>
        <w:t xml:space="preserve"> the</w:t>
      </w:r>
      <w:r w:rsidR="00357094">
        <w:rPr>
          <w:rFonts w:ascii="Century" w:hAnsi="Century"/>
          <w:sz w:val="22"/>
          <w:szCs w:val="22"/>
          <w:lang w:val="en-US"/>
        </w:rPr>
        <w:t xml:space="preserve"> alpha.</w:t>
      </w:r>
      <w:r w:rsidR="00843F87">
        <w:rPr>
          <w:rFonts w:ascii="Century" w:hAnsi="Century"/>
          <w:sz w:val="22"/>
          <w:szCs w:val="22"/>
          <w:lang w:val="en-US"/>
        </w:rPr>
        <w:t xml:space="preserve"> We also obtain significant Exposure from the FF5, only at lower significance levels with and without FE (10% and 5% respectively), and the effect of FE is reversed – the estimate increases</w:t>
      </w:r>
      <w:r w:rsidR="001A3954">
        <w:rPr>
          <w:rFonts w:ascii="Century" w:hAnsi="Century"/>
          <w:sz w:val="22"/>
          <w:szCs w:val="22"/>
          <w:lang w:val="en-US"/>
        </w:rPr>
        <w:t xml:space="preserve"> </w:t>
      </w:r>
      <w:r w:rsidR="00586515">
        <w:rPr>
          <w:rFonts w:ascii="Century" w:hAnsi="Century"/>
          <w:sz w:val="22"/>
          <w:szCs w:val="22"/>
          <w:lang w:val="en-US"/>
        </w:rPr>
        <w:t>when introducing FE</w:t>
      </w:r>
      <w:r w:rsidR="00843F87">
        <w:rPr>
          <w:rFonts w:ascii="Century" w:hAnsi="Century"/>
          <w:sz w:val="22"/>
          <w:szCs w:val="22"/>
          <w:lang w:val="en-US"/>
        </w:rPr>
        <w:t xml:space="preserve"> </w:t>
      </w:r>
      <w:r w:rsidR="00586515">
        <w:rPr>
          <w:rFonts w:ascii="Century" w:hAnsi="Century"/>
          <w:sz w:val="22"/>
          <w:szCs w:val="22"/>
          <w:lang w:val="en-US"/>
        </w:rPr>
        <w:t>while</w:t>
      </w:r>
      <w:r w:rsidR="00843F87">
        <w:rPr>
          <w:rFonts w:ascii="Century" w:hAnsi="Century"/>
          <w:sz w:val="22"/>
          <w:szCs w:val="22"/>
          <w:lang w:val="en-US"/>
        </w:rPr>
        <w:t xml:space="preserve"> also </w:t>
      </w:r>
      <w:r w:rsidR="00586515">
        <w:rPr>
          <w:rFonts w:ascii="Century" w:hAnsi="Century"/>
          <w:sz w:val="22"/>
          <w:szCs w:val="22"/>
          <w:lang w:val="en-US"/>
        </w:rPr>
        <w:t>becoming</w:t>
      </w:r>
      <w:r w:rsidR="00843F87">
        <w:rPr>
          <w:rFonts w:ascii="Century" w:hAnsi="Century"/>
          <w:sz w:val="22"/>
          <w:szCs w:val="22"/>
          <w:lang w:val="en-US"/>
        </w:rPr>
        <w:t xml:space="preserve"> less noisy.</w:t>
      </w:r>
      <w:r w:rsidR="001A3954">
        <w:rPr>
          <w:rFonts w:ascii="Century" w:hAnsi="Century"/>
          <w:sz w:val="22"/>
          <w:szCs w:val="22"/>
          <w:lang w:val="en-US"/>
        </w:rPr>
        <w:t xml:space="preserve"> Overall, we believe that not including the product exposure channel is a gap in our setup</w:t>
      </w:r>
      <w:r w:rsidR="000276B5">
        <w:rPr>
          <w:rFonts w:ascii="Century" w:hAnsi="Century"/>
          <w:sz w:val="22"/>
          <w:szCs w:val="22"/>
          <w:lang w:val="en-US"/>
        </w:rPr>
        <w:t>, explaining the magnitude difference. Eisfeldt highest-level Exposure significance with that specification, even with the FF. Regarding FE, the original paper’s within-industry coefficients are also not always more efficient than without FE, being only true for baseline and FF. The</w:t>
      </w:r>
      <w:r w:rsidR="008C644C">
        <w:rPr>
          <w:rFonts w:ascii="Century" w:hAnsi="Century"/>
          <w:sz w:val="22"/>
          <w:szCs w:val="22"/>
          <w:lang w:val="en-US"/>
        </w:rPr>
        <w:t xml:space="preserve"> paper’s</w:t>
      </w:r>
      <w:r w:rsidR="000276B5">
        <w:rPr>
          <w:rFonts w:ascii="Century" w:hAnsi="Century"/>
          <w:sz w:val="22"/>
          <w:szCs w:val="22"/>
          <w:lang w:val="en-US"/>
        </w:rPr>
        <w:t xml:space="preserve"> </w:t>
      </w:r>
      <w:r w:rsidR="00783BF5">
        <w:rPr>
          <w:rFonts w:ascii="Century" w:hAnsi="Century"/>
          <w:sz w:val="22"/>
          <w:szCs w:val="22"/>
          <w:lang w:val="en-US"/>
        </w:rPr>
        <w:t>estimates of Exposure</w:t>
      </w:r>
      <w:r w:rsidR="000276B5">
        <w:rPr>
          <w:rFonts w:ascii="Century" w:hAnsi="Century"/>
          <w:sz w:val="22"/>
          <w:szCs w:val="22"/>
          <w:lang w:val="en-US"/>
        </w:rPr>
        <w:t xml:space="preserve"> </w:t>
      </w:r>
      <w:r w:rsidR="00783BF5">
        <w:rPr>
          <w:rFonts w:ascii="Century" w:hAnsi="Century"/>
          <w:sz w:val="22"/>
          <w:szCs w:val="22"/>
          <w:lang w:val="en-US"/>
        </w:rPr>
        <w:t>always</w:t>
      </w:r>
      <w:r w:rsidR="000276B5">
        <w:rPr>
          <w:rFonts w:ascii="Century" w:hAnsi="Century"/>
          <w:sz w:val="22"/>
          <w:szCs w:val="22"/>
          <w:lang w:val="en-US"/>
        </w:rPr>
        <w:t xml:space="preserve"> </w:t>
      </w:r>
      <w:r w:rsidR="00783BF5">
        <w:rPr>
          <w:rFonts w:ascii="Century" w:hAnsi="Century"/>
          <w:sz w:val="22"/>
          <w:szCs w:val="22"/>
          <w:lang w:val="en-US"/>
        </w:rPr>
        <w:t>increase</w:t>
      </w:r>
      <w:r w:rsidR="000276B5">
        <w:rPr>
          <w:rFonts w:ascii="Century" w:hAnsi="Century"/>
          <w:sz w:val="22"/>
          <w:szCs w:val="22"/>
          <w:lang w:val="en-US"/>
        </w:rPr>
        <w:t xml:space="preserve"> when introducing FE which we’ve observed to only be true for our FF estimates. </w:t>
      </w:r>
    </w:p>
    <w:p w14:paraId="69884AE9" w14:textId="633E74BA" w:rsidR="008B517D" w:rsidRPr="00F414EA" w:rsidRDefault="008B517D" w:rsidP="00205711">
      <w:pPr>
        <w:spacing w:line="360" w:lineRule="auto"/>
        <w:ind w:firstLine="360"/>
        <w:jc w:val="both"/>
        <w:rPr>
          <w:rFonts w:ascii="Century" w:hAnsi="Century"/>
          <w:sz w:val="22"/>
          <w:szCs w:val="22"/>
          <w:lang w:val="en-US"/>
        </w:rPr>
      </w:pPr>
      <w:r w:rsidRPr="00F414EA">
        <w:rPr>
          <w:rFonts w:ascii="Century" w:hAnsi="Century"/>
          <w:sz w:val="22"/>
          <w:szCs w:val="22"/>
          <w:lang w:val="en-US"/>
        </w:rPr>
        <w:t>We run the test described in 3.</w:t>
      </w:r>
      <w:r w:rsidR="00205711" w:rsidRPr="00F414EA">
        <w:rPr>
          <w:rFonts w:ascii="Century" w:hAnsi="Century"/>
          <w:sz w:val="22"/>
          <w:szCs w:val="22"/>
          <w:lang w:val="en-US"/>
        </w:rPr>
        <w:t xml:space="preserve"> and consider the change in the regressor estimated on</w:t>
      </w:r>
      <w:r w:rsidRPr="00F414EA">
        <w:rPr>
          <w:rFonts w:ascii="Century" w:hAnsi="Century"/>
          <w:sz w:val="22"/>
          <w:szCs w:val="22"/>
          <w:lang w:val="en-US"/>
        </w:rPr>
        <w:t xml:space="preserve"> </w:t>
      </w:r>
      <w:r w:rsidR="00205711" w:rsidRPr="00F414EA">
        <w:rPr>
          <w:rFonts w:ascii="Century" w:hAnsi="Century"/>
          <w:sz w:val="22"/>
          <w:szCs w:val="22"/>
          <w:lang w:val="en-US"/>
        </w:rPr>
        <w:t>CAPM model without fixed effects CAR including and excluding the Dec 13-14 pair.</w:t>
      </w:r>
      <w:r w:rsidRPr="00F414EA">
        <w:rPr>
          <w:rFonts w:ascii="Century" w:hAnsi="Century"/>
          <w:sz w:val="22"/>
          <w:szCs w:val="22"/>
          <w:lang w:val="en-US"/>
        </w:rPr>
        <w:t xml:space="preserve"> </w:t>
      </w:r>
      <w:r w:rsidR="00DD6EE1" w:rsidRPr="00F414EA">
        <w:rPr>
          <w:rFonts w:ascii="Century" w:hAnsi="Century"/>
          <w:sz w:val="22"/>
          <w:szCs w:val="22"/>
          <w:lang w:val="en-US"/>
        </w:rPr>
        <w:t xml:space="preserve">We </w:t>
      </w:r>
      <w:r w:rsidR="00FD2D8B" w:rsidRPr="00F414EA">
        <w:rPr>
          <w:rFonts w:ascii="Century" w:hAnsi="Century"/>
          <w:sz w:val="22"/>
          <w:szCs w:val="22"/>
          <w:lang w:val="en-US"/>
        </w:rPr>
        <w:t>fail to reject</w:t>
      </w:r>
      <w:r w:rsidRPr="00F414EA">
        <w:rPr>
          <w:rFonts w:ascii="Century" w:hAnsi="Century"/>
          <w:sz w:val="22"/>
          <w:szCs w:val="22"/>
          <w:lang w:val="en-US"/>
        </w:rPr>
        <w:t xml:space="preserve"> that </w:t>
      </w:r>
      <m:oMath>
        <m:r>
          <w:rPr>
            <w:rFonts w:ascii="Cambria Math" w:hAnsi="Cambria Math"/>
            <w:sz w:val="22"/>
            <w:szCs w:val="22"/>
            <w:lang w:val="en-US"/>
          </w:rPr>
          <m:t>Δβ</m:t>
        </m:r>
      </m:oMath>
      <w:r w:rsidRPr="00F414EA">
        <w:rPr>
          <w:rFonts w:ascii="Century" w:hAnsi="Century"/>
          <w:sz w:val="22"/>
          <w:szCs w:val="22"/>
          <w:lang w:val="en-US"/>
        </w:rPr>
        <w:t xml:space="preserve"> is statistically different from 0, meaning that the concerns raised in section 2.2. are not empirically supported.</w:t>
      </w:r>
      <w:r w:rsidR="00247F26" w:rsidRPr="00F414EA">
        <w:rPr>
          <w:rFonts w:ascii="Century" w:hAnsi="Century"/>
          <w:sz w:val="22"/>
          <w:szCs w:val="22"/>
          <w:lang w:val="en-US"/>
        </w:rPr>
        <w:t xml:space="preserve"> Given that the days have no effect on Exposure value or significance, we assess that the labor exposure construction is robust</w:t>
      </w:r>
      <w:r w:rsidRPr="00F414EA">
        <w:rPr>
          <w:rFonts w:ascii="Century" w:hAnsi="Century"/>
          <w:sz w:val="22"/>
          <w:szCs w:val="22"/>
          <w:lang w:val="en-US"/>
        </w:rPr>
        <w:t xml:space="preserve"> </w:t>
      </w:r>
      <w:r w:rsidR="00247F26" w:rsidRPr="00F414EA">
        <w:rPr>
          <w:rFonts w:ascii="Century" w:hAnsi="Century"/>
          <w:sz w:val="22"/>
          <w:szCs w:val="22"/>
          <w:lang w:val="en-US"/>
        </w:rPr>
        <w:t xml:space="preserve">to </w:t>
      </w:r>
      <w:r w:rsidR="000D6E60" w:rsidRPr="00F414EA">
        <w:rPr>
          <w:rFonts w:ascii="Century" w:hAnsi="Century"/>
          <w:sz w:val="22"/>
          <w:szCs w:val="22"/>
          <w:lang w:val="en-US"/>
        </w:rPr>
        <w:t xml:space="preserve">risk </w:t>
      </w:r>
      <w:r w:rsidR="000D6E60" w:rsidRPr="00F414EA">
        <w:rPr>
          <w:rFonts w:ascii="Century" w:hAnsi="Century"/>
          <w:sz w:val="22"/>
          <w:szCs w:val="22"/>
          <w:lang w:val="en-US"/>
        </w:rPr>
        <w:lastRenderedPageBreak/>
        <w:t xml:space="preserve">factors, even when considering larger event windows </w:t>
      </w:r>
      <w:r w:rsidR="00202AC2" w:rsidRPr="00F414EA">
        <w:rPr>
          <w:rFonts w:ascii="Century" w:hAnsi="Century"/>
          <w:sz w:val="22"/>
          <w:szCs w:val="22"/>
          <w:lang w:val="en-US"/>
        </w:rPr>
        <w:t xml:space="preserve">that include significant </w:t>
      </w:r>
      <w:r w:rsidR="00726DB7" w:rsidRPr="00F414EA">
        <w:rPr>
          <w:rFonts w:ascii="Century" w:hAnsi="Century"/>
          <w:sz w:val="22"/>
          <w:szCs w:val="22"/>
          <w:lang w:val="en-US"/>
        </w:rPr>
        <w:t>m</w:t>
      </w:r>
      <w:r w:rsidR="00202AC2" w:rsidRPr="00F414EA">
        <w:rPr>
          <w:rFonts w:ascii="Century" w:hAnsi="Century"/>
          <w:sz w:val="22"/>
          <w:szCs w:val="22"/>
          <w:lang w:val="en-US"/>
        </w:rPr>
        <w:t xml:space="preserve">acroeconomic </w:t>
      </w:r>
      <w:r w:rsidR="00726DB7" w:rsidRPr="00F414EA">
        <w:rPr>
          <w:rFonts w:ascii="Century" w:hAnsi="Century"/>
          <w:sz w:val="22"/>
          <w:szCs w:val="22"/>
          <w:lang w:val="en-US"/>
        </w:rPr>
        <w:t>events</w:t>
      </w:r>
      <w:r w:rsidR="00FB363F" w:rsidRPr="00F414EA">
        <w:rPr>
          <w:rFonts w:ascii="Century" w:hAnsi="Century"/>
          <w:sz w:val="22"/>
          <w:szCs w:val="22"/>
          <w:lang w:val="en-US"/>
        </w:rPr>
        <w:t xml:space="preserve">, like the data releases </w:t>
      </w:r>
      <w:r w:rsidR="002738CF" w:rsidRPr="00F414EA">
        <w:rPr>
          <w:rFonts w:ascii="Century" w:hAnsi="Century"/>
          <w:sz w:val="22"/>
          <w:szCs w:val="22"/>
          <w:lang w:val="en-US"/>
        </w:rPr>
        <w:t>we</w:t>
      </w:r>
      <w:r w:rsidR="00FB363F" w:rsidRPr="00F414EA">
        <w:rPr>
          <w:rFonts w:ascii="Century" w:hAnsi="Century"/>
          <w:sz w:val="22"/>
          <w:szCs w:val="22"/>
          <w:lang w:val="en-US"/>
        </w:rPr>
        <w:t xml:space="preserve"> considered</w:t>
      </w:r>
      <w:r w:rsidR="007D0342" w:rsidRPr="00F414EA">
        <w:rPr>
          <w:rFonts w:ascii="Century" w:hAnsi="Century"/>
          <w:sz w:val="22"/>
          <w:szCs w:val="22"/>
          <w:lang w:val="en-US"/>
        </w:rPr>
        <w:t>.</w:t>
      </w:r>
    </w:p>
    <w:p w14:paraId="524275A5" w14:textId="17B8920E" w:rsidR="004E4A30" w:rsidRDefault="00495E5B" w:rsidP="002A3817">
      <w:pPr>
        <w:spacing w:line="360" w:lineRule="auto"/>
        <w:ind w:firstLine="360"/>
        <w:jc w:val="both"/>
        <w:rPr>
          <w:rFonts w:ascii="Century" w:hAnsi="Century"/>
          <w:sz w:val="22"/>
          <w:szCs w:val="22"/>
          <w:lang w:val="en-US"/>
        </w:rPr>
      </w:pPr>
      <w:r w:rsidRPr="000276B5">
        <w:rPr>
          <w:rFonts w:ascii="Century" w:hAnsi="Century"/>
          <w:sz w:val="22"/>
          <w:szCs w:val="22"/>
          <w:lang w:val="en-US"/>
        </w:rPr>
        <w:t>T</w:t>
      </w:r>
      <w:r w:rsidR="00F043B6" w:rsidRPr="000276B5">
        <w:rPr>
          <w:rFonts w:ascii="Century" w:hAnsi="Century"/>
          <w:sz w:val="22"/>
          <w:szCs w:val="22"/>
          <w:lang w:val="en-US"/>
        </w:rPr>
        <w:t xml:space="preserve">he placebo test conducted </w:t>
      </w:r>
      <w:r w:rsidR="00224BBC" w:rsidRPr="000276B5">
        <w:rPr>
          <w:rFonts w:ascii="Century" w:hAnsi="Century"/>
          <w:sz w:val="22"/>
          <w:szCs w:val="22"/>
          <w:lang w:val="en-US"/>
        </w:rPr>
        <w:t xml:space="preserve">fails to reject </w:t>
      </w:r>
      <w:r w:rsidR="00F043B6" w:rsidRPr="000276B5">
        <w:rPr>
          <w:rFonts w:ascii="Century" w:hAnsi="Century"/>
          <w:sz w:val="22"/>
          <w:szCs w:val="22"/>
          <w:lang w:val="en-US"/>
        </w:rPr>
        <w:t xml:space="preserve">that the critical Dec 13-14 pair is as good as random, </w:t>
      </w:r>
      <w:r w:rsidR="00536E82" w:rsidRPr="000276B5">
        <w:rPr>
          <w:rFonts w:ascii="Century" w:hAnsi="Century"/>
          <w:sz w:val="22"/>
          <w:szCs w:val="22"/>
          <w:lang w:val="en-US"/>
        </w:rPr>
        <w:t>meaning that we draw</w:t>
      </w:r>
      <w:r w:rsidR="00F043B6" w:rsidRPr="000276B5">
        <w:rPr>
          <w:rFonts w:ascii="Century" w:hAnsi="Century"/>
          <w:sz w:val="22"/>
          <w:szCs w:val="22"/>
          <w:lang w:val="en-US"/>
        </w:rPr>
        <w:t xml:space="preserve"> </w:t>
      </w:r>
      <w:r w:rsidR="00224BBC" w:rsidRPr="000276B5">
        <w:rPr>
          <w:rFonts w:ascii="Century" w:hAnsi="Century"/>
          <w:sz w:val="22"/>
          <w:szCs w:val="22"/>
          <w:lang w:val="en-US"/>
        </w:rPr>
        <w:t>no</w:t>
      </w:r>
      <w:r w:rsidR="00F043B6" w:rsidRPr="000276B5">
        <w:rPr>
          <w:rFonts w:ascii="Century" w:hAnsi="Century"/>
          <w:sz w:val="22"/>
          <w:szCs w:val="22"/>
          <w:lang w:val="en-US"/>
        </w:rPr>
        <w:t xml:space="preserve"> statistically significant difference </w:t>
      </w:r>
      <w:r w:rsidR="00224BBC" w:rsidRPr="000276B5">
        <w:rPr>
          <w:rFonts w:ascii="Century" w:hAnsi="Century"/>
          <w:sz w:val="22"/>
          <w:szCs w:val="22"/>
          <w:lang w:val="en-US"/>
        </w:rPr>
        <w:t>from the Exposure coefficient</w:t>
      </w:r>
      <w:r w:rsidR="00536E82" w:rsidRPr="000276B5">
        <w:rPr>
          <w:rFonts w:ascii="Century" w:hAnsi="Century"/>
          <w:sz w:val="22"/>
          <w:szCs w:val="22"/>
          <w:lang w:val="en-US"/>
        </w:rPr>
        <w:t xml:space="preserve"> excluding the pair of interest</w:t>
      </w:r>
      <w:r w:rsidR="00C27A77" w:rsidRPr="000276B5">
        <w:rPr>
          <w:rFonts w:ascii="Century" w:hAnsi="Century"/>
          <w:sz w:val="22"/>
          <w:szCs w:val="22"/>
          <w:lang w:val="en-US"/>
        </w:rPr>
        <w:t xml:space="preserve"> and the coefficient</w:t>
      </w:r>
      <w:r w:rsidR="00224BBC" w:rsidRPr="000276B5">
        <w:rPr>
          <w:rFonts w:ascii="Century" w:hAnsi="Century"/>
          <w:sz w:val="22"/>
          <w:szCs w:val="22"/>
          <w:lang w:val="en-US"/>
        </w:rPr>
        <w:t xml:space="preserve"> </w:t>
      </w:r>
      <w:r w:rsidR="00C27A77" w:rsidRPr="000276B5">
        <w:rPr>
          <w:rFonts w:ascii="Century" w:hAnsi="Century"/>
          <w:sz w:val="22"/>
          <w:szCs w:val="22"/>
          <w:lang w:val="en-US"/>
        </w:rPr>
        <w:t>from</w:t>
      </w:r>
      <w:r w:rsidR="00224BBC" w:rsidRPr="000276B5">
        <w:rPr>
          <w:rFonts w:ascii="Century" w:hAnsi="Century"/>
          <w:sz w:val="22"/>
          <w:szCs w:val="22"/>
          <w:lang w:val="en-US"/>
        </w:rPr>
        <w:t xml:space="preserve"> a regression that excludes any other pair of days in the Nov 30 – Dec 12 window except for the Nov 30</w:t>
      </w:r>
      <w:r w:rsidR="006574E2" w:rsidRPr="000276B5">
        <w:rPr>
          <w:rFonts w:ascii="Century" w:hAnsi="Century"/>
          <w:sz w:val="22"/>
          <w:szCs w:val="22"/>
          <w:lang w:val="en-US"/>
        </w:rPr>
        <w:t xml:space="preserve"> </w:t>
      </w:r>
      <w:r w:rsidR="00224BBC" w:rsidRPr="000276B5">
        <w:rPr>
          <w:rFonts w:ascii="Century" w:hAnsi="Century"/>
          <w:sz w:val="22"/>
          <w:szCs w:val="22"/>
          <w:lang w:val="en-US"/>
        </w:rPr>
        <w:t>- Dec 1</w:t>
      </w:r>
      <w:r w:rsidR="00E92837" w:rsidRPr="000276B5">
        <w:rPr>
          <w:rFonts w:ascii="Century" w:hAnsi="Century"/>
          <w:sz w:val="22"/>
          <w:szCs w:val="22"/>
          <w:lang w:val="en-US"/>
        </w:rPr>
        <w:t xml:space="preserve"> and Dec 9-12</w:t>
      </w:r>
      <w:r w:rsidR="00224BBC" w:rsidRPr="000276B5">
        <w:rPr>
          <w:rFonts w:ascii="Century" w:hAnsi="Century"/>
          <w:sz w:val="22"/>
          <w:szCs w:val="22"/>
          <w:lang w:val="en-US"/>
        </w:rPr>
        <w:t xml:space="preserve"> pair</w:t>
      </w:r>
      <w:r w:rsidR="00E92837" w:rsidRPr="000276B5">
        <w:rPr>
          <w:rFonts w:ascii="Century" w:hAnsi="Century"/>
          <w:sz w:val="22"/>
          <w:szCs w:val="22"/>
          <w:lang w:val="en-US"/>
        </w:rPr>
        <w:t>s</w:t>
      </w:r>
      <w:r w:rsidR="00224BBC" w:rsidRPr="000276B5">
        <w:rPr>
          <w:rFonts w:ascii="Century" w:hAnsi="Century"/>
          <w:sz w:val="22"/>
          <w:szCs w:val="22"/>
          <w:lang w:val="en-US"/>
        </w:rPr>
        <w:t>.</w:t>
      </w:r>
      <w:r w:rsidR="00642F98" w:rsidRPr="000276B5">
        <w:rPr>
          <w:rFonts w:ascii="Century" w:hAnsi="Century"/>
          <w:sz w:val="22"/>
          <w:szCs w:val="22"/>
          <w:lang w:val="en-US"/>
        </w:rPr>
        <w:t xml:space="preserve"> </w:t>
      </w:r>
      <w:r w:rsidR="00224BBC" w:rsidRPr="000276B5">
        <w:rPr>
          <w:rFonts w:ascii="Century" w:hAnsi="Century"/>
          <w:sz w:val="22"/>
          <w:szCs w:val="22"/>
          <w:lang w:val="en-US"/>
        </w:rPr>
        <w:t>The test results are</w:t>
      </w:r>
      <w:r w:rsidR="00F043B6" w:rsidRPr="000276B5">
        <w:rPr>
          <w:rFonts w:ascii="Century" w:hAnsi="Century"/>
          <w:sz w:val="22"/>
          <w:szCs w:val="22"/>
          <w:lang w:val="en-US"/>
        </w:rPr>
        <w:t xml:space="preserve"> reported in the Appendix Table </w:t>
      </w:r>
      <w:r w:rsidR="00FA7A81" w:rsidRPr="000276B5">
        <w:rPr>
          <w:rFonts w:ascii="Century" w:hAnsi="Century"/>
          <w:sz w:val="22"/>
          <w:szCs w:val="22"/>
          <w:lang w:val="en-US"/>
        </w:rPr>
        <w:t>A</w:t>
      </w:r>
      <w:r w:rsidR="00A9332D" w:rsidRPr="000276B5">
        <w:rPr>
          <w:rFonts w:ascii="Century" w:hAnsi="Century"/>
          <w:sz w:val="22"/>
          <w:szCs w:val="22"/>
          <w:lang w:val="en-US"/>
        </w:rPr>
        <w:t>2</w:t>
      </w:r>
      <w:r w:rsidR="00F043B6" w:rsidRPr="000276B5">
        <w:rPr>
          <w:rFonts w:ascii="Century" w:hAnsi="Century"/>
          <w:sz w:val="22"/>
          <w:szCs w:val="22"/>
          <w:lang w:val="en-US"/>
        </w:rPr>
        <w:t>.</w:t>
      </w:r>
      <w:r w:rsidR="00986A7D">
        <w:rPr>
          <w:rFonts w:ascii="Century" w:hAnsi="Century"/>
          <w:sz w:val="22"/>
          <w:szCs w:val="22"/>
          <w:lang w:val="en-US"/>
        </w:rPr>
        <w:t xml:space="preserve"> We find that our original test can be limited to spills from other day pairs that are explained by slow incorporation of news. </w:t>
      </w:r>
      <w:r w:rsidR="00847ABC">
        <w:rPr>
          <w:rFonts w:ascii="Century" w:hAnsi="Century"/>
          <w:sz w:val="22"/>
          <w:szCs w:val="22"/>
          <w:lang w:val="en-US"/>
        </w:rPr>
        <w:t xml:space="preserve">It is unclear that news are incorporated within the </w:t>
      </w:r>
      <w:r w:rsidR="000A1D3E">
        <w:rPr>
          <w:rFonts w:ascii="Century" w:hAnsi="Century"/>
          <w:sz w:val="22"/>
          <w:szCs w:val="22"/>
          <w:lang w:val="en-US"/>
        </w:rPr>
        <w:t>two-</w:t>
      </w:r>
      <w:r w:rsidR="00847ABC">
        <w:rPr>
          <w:rFonts w:ascii="Century" w:hAnsi="Century"/>
          <w:sz w:val="22"/>
          <w:szCs w:val="22"/>
          <w:lang w:val="en-US"/>
        </w:rPr>
        <w:t>day</w:t>
      </w:r>
      <w:r w:rsidR="000A1D3E">
        <w:rPr>
          <w:rFonts w:ascii="Century" w:hAnsi="Century"/>
          <w:sz w:val="22"/>
          <w:szCs w:val="22"/>
          <w:lang w:val="en-US"/>
        </w:rPr>
        <w:t xml:space="preserve"> pair</w:t>
      </w:r>
      <w:r w:rsidR="00847ABC">
        <w:rPr>
          <w:rFonts w:ascii="Century" w:hAnsi="Century"/>
          <w:sz w:val="22"/>
          <w:szCs w:val="22"/>
          <w:lang w:val="en-US"/>
        </w:rPr>
        <w:t xml:space="preserve">, that news always arise </w:t>
      </w:r>
      <w:r w:rsidR="00637F12">
        <w:rPr>
          <w:rFonts w:ascii="Century" w:hAnsi="Century"/>
          <w:sz w:val="22"/>
          <w:szCs w:val="22"/>
          <w:lang w:val="en-US"/>
        </w:rPr>
        <w:t>during</w:t>
      </w:r>
      <w:r w:rsidR="00847ABC">
        <w:rPr>
          <w:rFonts w:ascii="Century" w:hAnsi="Century"/>
          <w:sz w:val="22"/>
          <w:szCs w:val="22"/>
          <w:lang w:val="en-US"/>
        </w:rPr>
        <w:t xml:space="preserve"> trading days or that these effects are unreversed by the next pair of days.</w:t>
      </w:r>
      <w:r w:rsidR="007F0DE9">
        <w:rPr>
          <w:rFonts w:ascii="Century" w:hAnsi="Century"/>
          <w:sz w:val="22"/>
          <w:szCs w:val="22"/>
          <w:lang w:val="en-US"/>
        </w:rPr>
        <w:t xml:space="preserve"> Our choice of macro days then becomes ad-hoc without the required statistical support. It is true that the paper’s results are robust to the </w:t>
      </w:r>
      <w:r w:rsidR="00F06B09">
        <w:rPr>
          <w:rFonts w:ascii="Century" w:hAnsi="Century"/>
          <w:sz w:val="22"/>
          <w:szCs w:val="22"/>
          <w:lang w:val="en-US"/>
        </w:rPr>
        <w:t>interest-news</w:t>
      </w:r>
      <w:r w:rsidR="007F0DE9">
        <w:rPr>
          <w:rFonts w:ascii="Century" w:hAnsi="Century"/>
          <w:sz w:val="22"/>
          <w:szCs w:val="22"/>
          <w:lang w:val="en-US"/>
        </w:rPr>
        <w:t xml:space="preserve"> pair</w:t>
      </w:r>
      <w:r w:rsidR="00F06B09">
        <w:rPr>
          <w:rFonts w:ascii="Century" w:hAnsi="Century"/>
          <w:sz w:val="22"/>
          <w:szCs w:val="22"/>
          <w:lang w:val="en-US"/>
        </w:rPr>
        <w:t xml:space="preserve"> (CPI and rate hike)</w:t>
      </w:r>
      <w:r w:rsidR="007F0DE9">
        <w:rPr>
          <w:rFonts w:ascii="Century" w:hAnsi="Century"/>
          <w:sz w:val="22"/>
          <w:szCs w:val="22"/>
          <w:lang w:val="en-US"/>
        </w:rPr>
        <w:t xml:space="preserve">, but it is also robust to </w:t>
      </w:r>
      <w:r w:rsidR="0049791E">
        <w:rPr>
          <w:rFonts w:ascii="Century" w:hAnsi="Century"/>
          <w:sz w:val="22"/>
          <w:szCs w:val="22"/>
          <w:lang w:val="en-US"/>
        </w:rPr>
        <w:t xml:space="preserve">almost </w:t>
      </w:r>
      <w:r w:rsidR="007F0DE9">
        <w:rPr>
          <w:rFonts w:ascii="Century" w:hAnsi="Century"/>
          <w:sz w:val="22"/>
          <w:szCs w:val="22"/>
          <w:lang w:val="en-US"/>
        </w:rPr>
        <w:t>any other pair</w:t>
      </w:r>
      <w:r w:rsidR="00F06B09">
        <w:rPr>
          <w:rFonts w:ascii="Century" w:hAnsi="Century"/>
          <w:sz w:val="22"/>
          <w:szCs w:val="22"/>
          <w:lang w:val="en-US"/>
        </w:rPr>
        <w:t xml:space="preserve"> of days, even days without news that would have a similar expected effect</w:t>
      </w:r>
      <w:r w:rsidR="007F0DE9">
        <w:rPr>
          <w:rFonts w:ascii="Century" w:hAnsi="Century"/>
          <w:sz w:val="22"/>
          <w:szCs w:val="22"/>
          <w:lang w:val="en-US"/>
        </w:rPr>
        <w:t>.</w:t>
      </w:r>
      <w:r w:rsidR="006353D6">
        <w:rPr>
          <w:rFonts w:ascii="Century" w:hAnsi="Century"/>
          <w:sz w:val="22"/>
          <w:szCs w:val="22"/>
          <w:lang w:val="en-US"/>
        </w:rPr>
        <w:t xml:space="preserve"> </w:t>
      </w:r>
    </w:p>
    <w:p w14:paraId="42D7D25B" w14:textId="77777777" w:rsidR="00141B7E" w:rsidRDefault="00141B7E" w:rsidP="008B517D">
      <w:pPr>
        <w:jc w:val="both"/>
        <w:rPr>
          <w:rFonts w:ascii="Century" w:hAnsi="Century"/>
          <w:sz w:val="22"/>
          <w:szCs w:val="22"/>
          <w:lang w:val="en-US"/>
        </w:rPr>
      </w:pPr>
    </w:p>
    <w:p w14:paraId="3F8FD5C6" w14:textId="77777777" w:rsidR="00986A7D" w:rsidRPr="00F414EA" w:rsidRDefault="00986A7D" w:rsidP="008B517D">
      <w:pPr>
        <w:jc w:val="both"/>
        <w:rPr>
          <w:rFonts w:ascii="Century" w:hAnsi="Century"/>
          <w:sz w:val="22"/>
          <w:szCs w:val="22"/>
          <w:lang w:val="en-US"/>
        </w:rPr>
      </w:pPr>
    </w:p>
    <w:p w14:paraId="1C99A403" w14:textId="50E5CD96" w:rsidR="00DB1248" w:rsidRPr="00F414EA" w:rsidRDefault="007E4732" w:rsidP="00DB1248">
      <w:pPr>
        <w:pStyle w:val="PargrafodaLista"/>
        <w:numPr>
          <w:ilvl w:val="0"/>
          <w:numId w:val="6"/>
        </w:numPr>
        <w:jc w:val="center"/>
        <w:rPr>
          <w:rFonts w:ascii="Century" w:hAnsi="Century"/>
          <w:sz w:val="18"/>
          <w:szCs w:val="18"/>
          <w:lang w:val="en-US"/>
        </w:rPr>
      </w:pPr>
      <w:r w:rsidRPr="00F414EA">
        <w:rPr>
          <w:rFonts w:ascii="Century" w:hAnsi="Century"/>
          <w:sz w:val="18"/>
          <w:szCs w:val="18"/>
          <w:lang w:val="en-US"/>
        </w:rPr>
        <w:t>REFERENCES</w:t>
      </w:r>
    </w:p>
    <w:p w14:paraId="0C7EDF69" w14:textId="77777777" w:rsidR="00087CF9" w:rsidRPr="00F414EA" w:rsidRDefault="00087CF9" w:rsidP="00087CF9">
      <w:pPr>
        <w:rPr>
          <w:rFonts w:ascii="Century" w:hAnsi="Century"/>
          <w:sz w:val="18"/>
          <w:szCs w:val="18"/>
          <w:lang w:val="en-US"/>
        </w:rPr>
      </w:pPr>
    </w:p>
    <w:p w14:paraId="4AACAB6F" w14:textId="77777777" w:rsidR="00DB1248" w:rsidRPr="00F414EA" w:rsidRDefault="00DB1248" w:rsidP="00DB1248">
      <w:pPr>
        <w:spacing w:line="264" w:lineRule="auto"/>
        <w:rPr>
          <w:rFonts w:ascii="Century" w:hAnsi="Century" w:cs="Big Caslon Medium"/>
          <w:sz w:val="21"/>
          <w:szCs w:val="21"/>
          <w:lang w:val="en-US"/>
        </w:rPr>
      </w:pPr>
    </w:p>
    <w:p w14:paraId="4A737D6C" w14:textId="71CBE87B" w:rsidR="00840C7B" w:rsidRPr="00F414EA" w:rsidRDefault="00784F47" w:rsidP="00884DE4">
      <w:pPr>
        <w:spacing w:after="240" w:line="360" w:lineRule="auto"/>
        <w:ind w:left="360" w:hanging="360"/>
        <w:jc w:val="both"/>
        <w:rPr>
          <w:rFonts w:ascii="Century" w:hAnsi="Century"/>
          <w:color w:val="000000" w:themeColor="text1"/>
          <w:sz w:val="22"/>
          <w:szCs w:val="22"/>
          <w:lang w:val="en-US"/>
        </w:rPr>
      </w:pPr>
      <w:r w:rsidRPr="00F414EA">
        <w:rPr>
          <w:rFonts w:ascii="Century" w:hAnsi="Century"/>
          <w:color w:val="000000" w:themeColor="text1"/>
          <w:sz w:val="22"/>
          <w:szCs w:val="22"/>
          <w:lang w:val="en-US"/>
        </w:rPr>
        <w:t>Eisfeldt, A. L., Schubert, G., &amp; Zhang, M. B. (2023). Generative AI and firm values (NBER Working Paper No. 31222). National Bureau of Economic Research.) </w:t>
      </w:r>
    </w:p>
    <w:p w14:paraId="444E1221" w14:textId="77777777" w:rsidR="00840C7B" w:rsidRPr="00F414EA" w:rsidRDefault="00840C7B" w:rsidP="00840C7B">
      <w:pPr>
        <w:spacing w:after="240" w:line="360" w:lineRule="auto"/>
        <w:jc w:val="both"/>
        <w:rPr>
          <w:rFonts w:ascii="Century" w:hAnsi="Century"/>
          <w:color w:val="000000" w:themeColor="text1"/>
          <w:sz w:val="22"/>
          <w:szCs w:val="22"/>
          <w:lang w:val="en-US"/>
        </w:rPr>
      </w:pPr>
      <w:r w:rsidRPr="00F414EA">
        <w:rPr>
          <w:rFonts w:ascii="Century" w:hAnsi="Century"/>
          <w:color w:val="000000" w:themeColor="text1"/>
          <w:sz w:val="22"/>
          <w:szCs w:val="22"/>
          <w:lang w:val="en-US"/>
        </w:rPr>
        <w:t xml:space="preserve">French, K. R. (2022). </w:t>
      </w:r>
      <w:r w:rsidRPr="00F414EA">
        <w:rPr>
          <w:rFonts w:ascii="Century" w:hAnsi="Century"/>
          <w:i/>
          <w:iCs/>
          <w:color w:val="000000" w:themeColor="text1"/>
          <w:sz w:val="22"/>
          <w:szCs w:val="22"/>
          <w:lang w:val="en-US"/>
        </w:rPr>
        <w:t>Fama/French 5 factors (daily) &amp; U.S. research returns Data Details</w:t>
      </w:r>
      <w:r w:rsidRPr="00F414EA">
        <w:rPr>
          <w:rFonts w:ascii="Century" w:hAnsi="Century"/>
          <w:color w:val="000000" w:themeColor="text1"/>
          <w:sz w:val="22"/>
          <w:szCs w:val="22"/>
          <w:lang w:val="en-US"/>
        </w:rPr>
        <w:t xml:space="preserve">  </w:t>
      </w:r>
      <w:r w:rsidRPr="00F414EA">
        <w:rPr>
          <w:rFonts w:ascii="Century" w:hAnsi="Century"/>
          <w:color w:val="000000" w:themeColor="text1"/>
          <w:sz w:val="22"/>
          <w:szCs w:val="22"/>
          <w:lang w:val="en-US"/>
        </w:rPr>
        <w:tab/>
        <w:t xml:space="preserve">[Data set]. Kenneth R. French Data Library. </w:t>
      </w:r>
      <w:r w:rsidRPr="00F414EA">
        <w:rPr>
          <w:rFonts w:ascii="Century" w:hAnsi="Century"/>
          <w:color w:val="000000" w:themeColor="text1"/>
          <w:sz w:val="22"/>
          <w:szCs w:val="22"/>
          <w:lang w:val="en-US"/>
        </w:rPr>
        <w:tab/>
      </w:r>
      <w:r w:rsidRPr="00F414EA">
        <w:rPr>
          <w:rFonts w:ascii="Century" w:hAnsi="Century"/>
          <w:color w:val="000000" w:themeColor="text1"/>
          <w:sz w:val="22"/>
          <w:szCs w:val="22"/>
          <w:lang w:val="en-US"/>
        </w:rPr>
        <w:tab/>
      </w:r>
      <w:r w:rsidRPr="00F414EA">
        <w:rPr>
          <w:rFonts w:ascii="Century" w:hAnsi="Century"/>
          <w:color w:val="000000" w:themeColor="text1"/>
          <w:sz w:val="22"/>
          <w:szCs w:val="22"/>
          <w:lang w:val="en-US"/>
        </w:rPr>
        <w:tab/>
      </w:r>
      <w:hyperlink r:id="rId10" w:history="1">
        <w:r w:rsidRPr="00F414EA">
          <w:rPr>
            <w:rStyle w:val="Hiperligao"/>
            <w:rFonts w:ascii="Century" w:hAnsi="Century"/>
            <w:color w:val="000000" w:themeColor="text1"/>
            <w:sz w:val="22"/>
            <w:szCs w:val="22"/>
            <w:lang w:val="en-US"/>
          </w:rPr>
          <w:t>http://mba.tuck.dartmouth.edu/pages/faculty/ken.french/data_library.html</w:t>
        </w:r>
      </w:hyperlink>
    </w:p>
    <w:p w14:paraId="2DB7E3A3" w14:textId="4F03DCD8" w:rsidR="004F0336" w:rsidRPr="00DB0C49" w:rsidRDefault="00840C7B" w:rsidP="00DB0C49">
      <w:pPr>
        <w:spacing w:line="360" w:lineRule="auto"/>
        <w:jc w:val="both"/>
        <w:rPr>
          <w:color w:val="000000" w:themeColor="text1"/>
          <w:lang w:val="en-US"/>
        </w:rPr>
      </w:pPr>
      <w:r w:rsidRPr="00F414EA">
        <w:rPr>
          <w:color w:val="000000" w:themeColor="text1"/>
          <w:lang w:val="en-US"/>
        </w:rPr>
        <w:t xml:space="preserve">S&amp;P Global Market Intelligence. (n.d.). </w:t>
      </w:r>
      <w:r w:rsidRPr="00F414EA">
        <w:rPr>
          <w:rStyle w:val="nfase"/>
          <w:color w:val="000000" w:themeColor="text1"/>
          <w:lang w:val="en-US"/>
        </w:rPr>
        <w:t>Compustat [Data set]</w:t>
      </w:r>
      <w:r w:rsidRPr="00F414EA">
        <w:rPr>
          <w:color w:val="000000" w:themeColor="text1"/>
          <w:lang w:val="en-US"/>
        </w:rPr>
        <w:t xml:space="preserve">. Wharton Research Data </w:t>
      </w:r>
      <w:r w:rsidRPr="00F414EA">
        <w:rPr>
          <w:color w:val="000000" w:themeColor="text1"/>
          <w:lang w:val="en-US"/>
        </w:rPr>
        <w:tab/>
        <w:t xml:space="preserve">Services. Retrieved [access date], from </w:t>
      </w:r>
      <w:hyperlink r:id="rId11" w:history="1">
        <w:r w:rsidRPr="00F414EA">
          <w:rPr>
            <w:rStyle w:val="Hiperligao"/>
            <w:color w:val="000000" w:themeColor="text1"/>
            <w:lang w:val="en-US"/>
          </w:rPr>
          <w:t>https://wrds-www.wharton.upenn.edu/</w:t>
        </w:r>
      </w:hyperlink>
    </w:p>
    <w:p w14:paraId="6CC56EFE" w14:textId="77777777" w:rsidR="00B764CA" w:rsidRDefault="00B764CA" w:rsidP="00FA7A81">
      <w:pPr>
        <w:spacing w:line="360" w:lineRule="auto"/>
        <w:jc w:val="center"/>
        <w:rPr>
          <w:rFonts w:ascii="Century" w:hAnsi="Century"/>
          <w:color w:val="000000" w:themeColor="text1"/>
          <w:sz w:val="18"/>
          <w:szCs w:val="18"/>
          <w:lang w:val="en-US"/>
        </w:rPr>
      </w:pPr>
    </w:p>
    <w:p w14:paraId="6F07A2B0" w14:textId="77777777" w:rsidR="00BB40D1" w:rsidRDefault="00BB40D1" w:rsidP="00FA7A81">
      <w:pPr>
        <w:spacing w:line="360" w:lineRule="auto"/>
        <w:jc w:val="center"/>
        <w:rPr>
          <w:rFonts w:ascii="Century" w:hAnsi="Century"/>
          <w:color w:val="000000" w:themeColor="text1"/>
          <w:sz w:val="18"/>
          <w:szCs w:val="18"/>
          <w:lang w:val="en-US"/>
        </w:rPr>
      </w:pPr>
    </w:p>
    <w:p w14:paraId="313D61F2" w14:textId="77777777" w:rsidR="006E271B" w:rsidRDefault="006E271B" w:rsidP="00FA7A81">
      <w:pPr>
        <w:spacing w:line="360" w:lineRule="auto"/>
        <w:jc w:val="center"/>
        <w:rPr>
          <w:rFonts w:ascii="Century" w:hAnsi="Century"/>
          <w:color w:val="000000" w:themeColor="text1"/>
          <w:sz w:val="18"/>
          <w:szCs w:val="18"/>
          <w:lang w:val="en-US"/>
        </w:rPr>
      </w:pPr>
    </w:p>
    <w:p w14:paraId="1E6B37CE" w14:textId="77777777" w:rsidR="006E271B" w:rsidRDefault="006E271B" w:rsidP="00FA7A81">
      <w:pPr>
        <w:spacing w:line="360" w:lineRule="auto"/>
        <w:jc w:val="center"/>
        <w:rPr>
          <w:rFonts w:ascii="Century" w:hAnsi="Century"/>
          <w:color w:val="000000" w:themeColor="text1"/>
          <w:sz w:val="18"/>
          <w:szCs w:val="18"/>
          <w:lang w:val="en-US"/>
        </w:rPr>
      </w:pPr>
    </w:p>
    <w:p w14:paraId="081C5CCD" w14:textId="77777777" w:rsidR="006E271B" w:rsidRDefault="006E271B" w:rsidP="00FA7A81">
      <w:pPr>
        <w:spacing w:line="360" w:lineRule="auto"/>
        <w:jc w:val="center"/>
        <w:rPr>
          <w:rFonts w:ascii="Century" w:hAnsi="Century"/>
          <w:color w:val="000000" w:themeColor="text1"/>
          <w:sz w:val="18"/>
          <w:szCs w:val="18"/>
          <w:lang w:val="en-US"/>
        </w:rPr>
      </w:pPr>
    </w:p>
    <w:p w14:paraId="5FE6817B" w14:textId="77777777" w:rsidR="006E271B" w:rsidRDefault="006E271B" w:rsidP="00FA7A81">
      <w:pPr>
        <w:spacing w:line="360" w:lineRule="auto"/>
        <w:jc w:val="center"/>
        <w:rPr>
          <w:rFonts w:ascii="Century" w:hAnsi="Century"/>
          <w:color w:val="000000" w:themeColor="text1"/>
          <w:sz w:val="18"/>
          <w:szCs w:val="18"/>
          <w:lang w:val="en-US"/>
        </w:rPr>
      </w:pPr>
    </w:p>
    <w:p w14:paraId="534C4D01" w14:textId="77777777" w:rsidR="006E271B" w:rsidRDefault="006E271B" w:rsidP="00FA7A81">
      <w:pPr>
        <w:spacing w:line="360" w:lineRule="auto"/>
        <w:jc w:val="center"/>
        <w:rPr>
          <w:rFonts w:ascii="Century" w:hAnsi="Century"/>
          <w:color w:val="000000" w:themeColor="text1"/>
          <w:sz w:val="18"/>
          <w:szCs w:val="18"/>
          <w:lang w:val="en-US"/>
        </w:rPr>
      </w:pPr>
    </w:p>
    <w:p w14:paraId="0DD3B771" w14:textId="77777777" w:rsidR="006E271B" w:rsidRDefault="006E271B" w:rsidP="00FA7A81">
      <w:pPr>
        <w:spacing w:line="360" w:lineRule="auto"/>
        <w:jc w:val="center"/>
        <w:rPr>
          <w:rFonts w:ascii="Century" w:hAnsi="Century"/>
          <w:color w:val="000000" w:themeColor="text1"/>
          <w:sz w:val="18"/>
          <w:szCs w:val="18"/>
          <w:lang w:val="en-US"/>
        </w:rPr>
      </w:pPr>
    </w:p>
    <w:p w14:paraId="0EF00294" w14:textId="77777777" w:rsidR="006E271B" w:rsidRDefault="006E271B" w:rsidP="00FA7A81">
      <w:pPr>
        <w:spacing w:line="360" w:lineRule="auto"/>
        <w:jc w:val="center"/>
        <w:rPr>
          <w:rFonts w:ascii="Century" w:hAnsi="Century"/>
          <w:color w:val="000000" w:themeColor="text1"/>
          <w:sz w:val="18"/>
          <w:szCs w:val="18"/>
          <w:lang w:val="en-US"/>
        </w:rPr>
      </w:pPr>
    </w:p>
    <w:p w14:paraId="0E97A540" w14:textId="77777777" w:rsidR="006E271B" w:rsidRDefault="006E271B" w:rsidP="00FA7A81">
      <w:pPr>
        <w:spacing w:line="360" w:lineRule="auto"/>
        <w:jc w:val="center"/>
        <w:rPr>
          <w:rFonts w:ascii="Century" w:hAnsi="Century"/>
          <w:color w:val="000000" w:themeColor="text1"/>
          <w:sz w:val="18"/>
          <w:szCs w:val="18"/>
          <w:lang w:val="en-US"/>
        </w:rPr>
      </w:pPr>
    </w:p>
    <w:p w14:paraId="46641D23" w14:textId="77777777" w:rsidR="006E271B" w:rsidRDefault="006E271B" w:rsidP="00FA7A81">
      <w:pPr>
        <w:spacing w:line="360" w:lineRule="auto"/>
        <w:jc w:val="center"/>
        <w:rPr>
          <w:rFonts w:ascii="Century" w:hAnsi="Century"/>
          <w:color w:val="000000" w:themeColor="text1"/>
          <w:sz w:val="18"/>
          <w:szCs w:val="18"/>
          <w:lang w:val="en-US"/>
        </w:rPr>
      </w:pPr>
    </w:p>
    <w:p w14:paraId="73A43B19" w14:textId="77777777" w:rsidR="006E271B" w:rsidRDefault="006E271B" w:rsidP="00FA7A81">
      <w:pPr>
        <w:spacing w:line="360" w:lineRule="auto"/>
        <w:jc w:val="center"/>
        <w:rPr>
          <w:rFonts w:ascii="Century" w:hAnsi="Century"/>
          <w:color w:val="000000" w:themeColor="text1"/>
          <w:sz w:val="18"/>
          <w:szCs w:val="18"/>
          <w:lang w:val="en-US"/>
        </w:rPr>
      </w:pPr>
    </w:p>
    <w:p w14:paraId="57E579A7" w14:textId="46CE2FAC" w:rsidR="00FA7A81" w:rsidRPr="00F414EA" w:rsidRDefault="00FA7A81" w:rsidP="00FA7A81">
      <w:pPr>
        <w:spacing w:line="360" w:lineRule="auto"/>
        <w:jc w:val="center"/>
        <w:rPr>
          <w:rFonts w:ascii="Century" w:hAnsi="Century"/>
          <w:color w:val="000000" w:themeColor="text1"/>
          <w:sz w:val="18"/>
          <w:szCs w:val="18"/>
          <w:lang w:val="en-US"/>
        </w:rPr>
      </w:pPr>
      <w:r w:rsidRPr="00F414EA">
        <w:rPr>
          <w:rFonts w:ascii="Century" w:hAnsi="Century"/>
          <w:color w:val="000000" w:themeColor="text1"/>
          <w:sz w:val="18"/>
          <w:szCs w:val="18"/>
          <w:lang w:val="en-US"/>
        </w:rPr>
        <w:lastRenderedPageBreak/>
        <w:t>APPENDIX</w:t>
      </w:r>
    </w:p>
    <w:p w14:paraId="6EF3B9A7" w14:textId="77777777" w:rsidR="00A716AF" w:rsidRDefault="00A716AF" w:rsidP="00FA7A81">
      <w:pPr>
        <w:spacing w:line="360" w:lineRule="auto"/>
        <w:jc w:val="center"/>
        <w:rPr>
          <w:rFonts w:ascii="Century" w:hAnsi="Century"/>
          <w:color w:val="000000" w:themeColor="text1"/>
          <w:sz w:val="18"/>
          <w:szCs w:val="18"/>
          <w:lang w:val="en-US"/>
        </w:rPr>
      </w:pPr>
    </w:p>
    <w:p w14:paraId="3DC4A5AE" w14:textId="60EC32A3" w:rsidR="005D1AD0" w:rsidRDefault="005D1AD0" w:rsidP="005D1AD0">
      <w:pPr>
        <w:spacing w:line="360" w:lineRule="auto"/>
        <w:jc w:val="center"/>
        <w:rPr>
          <w:rFonts w:ascii="Century" w:hAnsi="Century"/>
          <w:color w:val="000000" w:themeColor="text1"/>
          <w:sz w:val="18"/>
          <w:szCs w:val="18"/>
          <w:lang w:val="en-US"/>
        </w:rPr>
      </w:pPr>
      <w:r w:rsidRPr="00F414EA">
        <w:rPr>
          <w:rFonts w:ascii="Century" w:hAnsi="Century"/>
          <w:color w:val="000000" w:themeColor="text1"/>
          <w:sz w:val="18"/>
          <w:szCs w:val="18"/>
          <w:lang w:val="en-US"/>
        </w:rPr>
        <w:t>TABLE A</w:t>
      </w:r>
      <w:r>
        <w:rPr>
          <w:rFonts w:ascii="Century" w:hAnsi="Century"/>
          <w:color w:val="000000" w:themeColor="text1"/>
          <w:sz w:val="18"/>
          <w:szCs w:val="18"/>
          <w:lang w:val="en-US"/>
        </w:rPr>
        <w:t>1</w:t>
      </w:r>
      <w:r w:rsidRPr="00F414EA">
        <w:rPr>
          <w:rFonts w:ascii="Century" w:hAnsi="Century"/>
          <w:color w:val="000000" w:themeColor="text1"/>
          <w:sz w:val="18"/>
          <w:szCs w:val="18"/>
          <w:lang w:val="en-US"/>
        </w:rPr>
        <w:t xml:space="preserve"> –</w:t>
      </w:r>
      <w:r w:rsidR="008E740F">
        <w:rPr>
          <w:rFonts w:ascii="Century" w:hAnsi="Century"/>
          <w:color w:val="000000" w:themeColor="text1"/>
          <w:sz w:val="18"/>
          <w:szCs w:val="18"/>
          <w:lang w:val="en-US"/>
        </w:rPr>
        <w:t xml:space="preserve"> AR</w:t>
      </w:r>
      <w:r w:rsidRPr="00F414EA">
        <w:rPr>
          <w:rFonts w:ascii="Century" w:hAnsi="Century"/>
          <w:color w:val="000000" w:themeColor="text1"/>
          <w:sz w:val="18"/>
          <w:szCs w:val="18"/>
          <w:lang w:val="en-US"/>
        </w:rPr>
        <w:t xml:space="preserve"> </w:t>
      </w:r>
      <w:r>
        <w:rPr>
          <w:rFonts w:ascii="Century" w:hAnsi="Century"/>
          <w:color w:val="000000" w:themeColor="text1"/>
          <w:sz w:val="18"/>
          <w:szCs w:val="18"/>
          <w:lang w:val="en-US"/>
        </w:rPr>
        <w:t>BENCHMARK TEST</w:t>
      </w:r>
    </w:p>
    <w:p w14:paraId="4ACE9900" w14:textId="77777777" w:rsidR="005D1AD0" w:rsidRDefault="005D1AD0" w:rsidP="005D1AD0">
      <w:pPr>
        <w:spacing w:line="360" w:lineRule="auto"/>
        <w:jc w:val="center"/>
        <w:rPr>
          <w:rFonts w:ascii="Century" w:hAnsi="Century"/>
          <w:color w:val="000000" w:themeColor="text1"/>
          <w:sz w:val="18"/>
          <w:szCs w:val="18"/>
          <w:lang w:val="en-US"/>
        </w:rPr>
      </w:pPr>
    </w:p>
    <w:p w14:paraId="07E8C4E9" w14:textId="34D10255" w:rsidR="005D1AD0" w:rsidRDefault="005D1AD0" w:rsidP="00930298">
      <w:pPr>
        <w:spacing w:line="360" w:lineRule="auto"/>
        <w:ind w:firstLine="708"/>
        <w:jc w:val="both"/>
        <w:rPr>
          <w:rFonts w:ascii="Century" w:hAnsi="Century"/>
          <w:color w:val="000000" w:themeColor="text1"/>
          <w:sz w:val="18"/>
          <w:szCs w:val="18"/>
          <w:lang w:val="en-US"/>
        </w:rPr>
      </w:pPr>
      <w:r>
        <w:rPr>
          <w:rFonts w:ascii="Century" w:hAnsi="Century"/>
          <w:color w:val="000000" w:themeColor="text1"/>
          <w:sz w:val="18"/>
          <w:szCs w:val="18"/>
          <w:lang w:val="en-US"/>
        </w:rPr>
        <w:t>Abnormal returns from own computations and the paper’s reported estimates, per the CAPM and Fama-French 5 Factors model. Paired t-statistics between our computed CAPM and FF5 daily abnormal returns in the [0,10] window and the paper’s benchmark.</w:t>
      </w:r>
    </w:p>
    <w:tbl>
      <w:tblPr>
        <w:tblStyle w:val="SimplesTabela2"/>
        <w:tblpPr w:leftFromText="141" w:rightFromText="141" w:vertAnchor="text" w:horzAnchor="margin" w:tblpXSpec="center" w:tblpY="158"/>
        <w:tblW w:w="0" w:type="auto"/>
        <w:tblLook w:val="04A0" w:firstRow="1" w:lastRow="0" w:firstColumn="1" w:lastColumn="0" w:noHBand="0" w:noVBand="1"/>
      </w:tblPr>
      <w:tblGrid>
        <w:gridCol w:w="1682"/>
        <w:gridCol w:w="1682"/>
        <w:gridCol w:w="1682"/>
        <w:gridCol w:w="1682"/>
      </w:tblGrid>
      <w:tr w:rsidR="005D1AD0" w:rsidRPr="00A9332D" w14:paraId="5F770211" w14:textId="77777777" w:rsidTr="00A06F71">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82" w:type="dxa"/>
          </w:tcPr>
          <w:p w14:paraId="07D6D6FF" w14:textId="77777777" w:rsidR="005D1AD0" w:rsidRPr="00A9332D" w:rsidRDefault="005D1AD0" w:rsidP="00A06F71">
            <w:pPr>
              <w:spacing w:line="360" w:lineRule="auto"/>
              <w:jc w:val="both"/>
              <w:rPr>
                <w:rFonts w:ascii="Century" w:hAnsi="Century"/>
                <w:b w:val="0"/>
                <w:bCs w:val="0"/>
                <w:color w:val="000000" w:themeColor="text1"/>
                <w:sz w:val="18"/>
                <w:szCs w:val="18"/>
                <w:lang w:val="en-US"/>
              </w:rPr>
            </w:pPr>
            <w:r w:rsidRPr="00A9332D">
              <w:rPr>
                <w:rFonts w:ascii="Century" w:hAnsi="Century"/>
                <w:b w:val="0"/>
                <w:bCs w:val="0"/>
                <w:color w:val="000000" w:themeColor="text1"/>
                <w:sz w:val="18"/>
                <w:szCs w:val="18"/>
                <w:lang w:val="en-US"/>
              </w:rPr>
              <w:t>Model</w:t>
            </w:r>
          </w:p>
        </w:tc>
        <w:tc>
          <w:tcPr>
            <w:tcW w:w="1682" w:type="dxa"/>
          </w:tcPr>
          <w:p w14:paraId="58029887" w14:textId="77777777" w:rsidR="005D1AD0" w:rsidRPr="00A9332D" w:rsidRDefault="005D1AD0" w:rsidP="00A06F71">
            <w:pPr>
              <w:spacing w:line="360" w:lineRule="auto"/>
              <w:jc w:val="both"/>
              <w:cnfStyle w:val="100000000000" w:firstRow="1" w:lastRow="0" w:firstColumn="0" w:lastColumn="0" w:oddVBand="0" w:evenVBand="0" w:oddHBand="0" w:evenHBand="0" w:firstRowFirstColumn="0" w:firstRowLastColumn="0" w:lastRowFirstColumn="0" w:lastRowLastColumn="0"/>
              <w:rPr>
                <w:rFonts w:ascii="Century" w:hAnsi="Century"/>
                <w:b w:val="0"/>
                <w:bCs w:val="0"/>
                <w:color w:val="000000" w:themeColor="text1"/>
                <w:sz w:val="18"/>
                <w:szCs w:val="18"/>
                <w:lang w:val="en-US"/>
              </w:rPr>
            </w:pPr>
            <w:r w:rsidRPr="00A9332D">
              <w:rPr>
                <w:rFonts w:ascii="Century" w:hAnsi="Century"/>
                <w:b w:val="0"/>
                <w:bCs w:val="0"/>
                <w:color w:val="000000" w:themeColor="text1"/>
                <w:sz w:val="18"/>
                <w:szCs w:val="18"/>
                <w:lang w:val="en-US"/>
              </w:rPr>
              <w:t>Own</w:t>
            </w:r>
            <w:r>
              <w:rPr>
                <w:rFonts w:ascii="Century" w:hAnsi="Century"/>
                <w:b w:val="0"/>
                <w:bCs w:val="0"/>
                <w:color w:val="000000" w:themeColor="text1"/>
                <w:sz w:val="18"/>
                <w:szCs w:val="18"/>
                <w:lang w:val="en-US"/>
              </w:rPr>
              <w:t>, %</w:t>
            </w:r>
          </w:p>
        </w:tc>
        <w:tc>
          <w:tcPr>
            <w:tcW w:w="1682" w:type="dxa"/>
          </w:tcPr>
          <w:p w14:paraId="76A24D1B" w14:textId="77777777" w:rsidR="005D1AD0" w:rsidRPr="00A9332D" w:rsidRDefault="005D1AD0" w:rsidP="00A06F71">
            <w:pPr>
              <w:spacing w:line="360" w:lineRule="auto"/>
              <w:jc w:val="both"/>
              <w:cnfStyle w:val="100000000000" w:firstRow="1" w:lastRow="0" w:firstColumn="0" w:lastColumn="0" w:oddVBand="0" w:evenVBand="0" w:oddHBand="0" w:evenHBand="0" w:firstRowFirstColumn="0" w:firstRowLastColumn="0" w:lastRowFirstColumn="0" w:lastRowLastColumn="0"/>
              <w:rPr>
                <w:rFonts w:ascii="Century" w:hAnsi="Century"/>
                <w:b w:val="0"/>
                <w:bCs w:val="0"/>
                <w:color w:val="000000" w:themeColor="text1"/>
                <w:sz w:val="18"/>
                <w:szCs w:val="18"/>
                <w:lang w:val="en-US"/>
              </w:rPr>
            </w:pPr>
            <w:r w:rsidRPr="00A9332D">
              <w:rPr>
                <w:rFonts w:ascii="Century" w:hAnsi="Century"/>
                <w:b w:val="0"/>
                <w:bCs w:val="0"/>
                <w:color w:val="000000" w:themeColor="text1"/>
                <w:sz w:val="18"/>
                <w:szCs w:val="18"/>
                <w:lang w:val="en-US"/>
              </w:rPr>
              <w:t>Benchmark</w:t>
            </w:r>
            <w:r>
              <w:rPr>
                <w:rFonts w:ascii="Century" w:hAnsi="Century"/>
                <w:b w:val="0"/>
                <w:bCs w:val="0"/>
                <w:color w:val="000000" w:themeColor="text1"/>
                <w:sz w:val="18"/>
                <w:szCs w:val="18"/>
                <w:lang w:val="en-US"/>
              </w:rPr>
              <w:t>, %</w:t>
            </w:r>
          </w:p>
        </w:tc>
        <w:tc>
          <w:tcPr>
            <w:tcW w:w="1682" w:type="dxa"/>
          </w:tcPr>
          <w:p w14:paraId="4B74EB63" w14:textId="77777777" w:rsidR="005D1AD0" w:rsidRPr="00A9332D" w:rsidRDefault="005D1AD0" w:rsidP="00A06F71">
            <w:pPr>
              <w:spacing w:line="360" w:lineRule="auto"/>
              <w:jc w:val="both"/>
              <w:cnfStyle w:val="100000000000" w:firstRow="1" w:lastRow="0" w:firstColumn="0" w:lastColumn="0" w:oddVBand="0" w:evenVBand="0" w:oddHBand="0" w:evenHBand="0" w:firstRowFirstColumn="0" w:firstRowLastColumn="0" w:lastRowFirstColumn="0" w:lastRowLastColumn="0"/>
              <w:rPr>
                <w:rFonts w:ascii="Century" w:hAnsi="Century"/>
                <w:b w:val="0"/>
                <w:bCs w:val="0"/>
                <w:color w:val="000000" w:themeColor="text1"/>
                <w:sz w:val="18"/>
                <w:szCs w:val="18"/>
                <w:lang w:val="en-US"/>
              </w:rPr>
            </w:pPr>
            <w:r w:rsidRPr="00A9332D">
              <w:rPr>
                <w:rFonts w:ascii="Century" w:hAnsi="Century"/>
                <w:b w:val="0"/>
                <w:bCs w:val="0"/>
                <w:color w:val="000000" w:themeColor="text1"/>
                <w:sz w:val="18"/>
                <w:szCs w:val="18"/>
                <w:lang w:val="en-US"/>
              </w:rPr>
              <w:t>t-stat</w:t>
            </w:r>
          </w:p>
        </w:tc>
      </w:tr>
      <w:tr w:rsidR="005D1AD0" w:rsidRPr="00A9332D" w14:paraId="65D5ED82" w14:textId="77777777" w:rsidTr="00A06F7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82" w:type="dxa"/>
          </w:tcPr>
          <w:p w14:paraId="73971C7E" w14:textId="77777777" w:rsidR="005D1AD0" w:rsidRPr="00A9332D" w:rsidRDefault="005D1AD0" w:rsidP="00A06F71">
            <w:pPr>
              <w:spacing w:line="360" w:lineRule="auto"/>
              <w:jc w:val="both"/>
              <w:rPr>
                <w:rFonts w:ascii="Century" w:hAnsi="Century"/>
                <w:b w:val="0"/>
                <w:bCs w:val="0"/>
                <w:color w:val="000000" w:themeColor="text1"/>
                <w:sz w:val="18"/>
                <w:szCs w:val="18"/>
                <w:lang w:val="en-US"/>
              </w:rPr>
            </w:pPr>
            <w:r>
              <w:rPr>
                <w:rFonts w:ascii="Century" w:hAnsi="Century"/>
                <w:b w:val="0"/>
                <w:bCs w:val="0"/>
                <w:color w:val="000000" w:themeColor="text1"/>
                <w:sz w:val="18"/>
                <w:szCs w:val="18"/>
                <w:lang w:val="en-US"/>
              </w:rPr>
              <w:t>CAPM</w:t>
            </w:r>
          </w:p>
        </w:tc>
        <w:tc>
          <w:tcPr>
            <w:tcW w:w="1682" w:type="dxa"/>
          </w:tcPr>
          <w:p w14:paraId="072CF135" w14:textId="77777777" w:rsidR="005D1AD0" w:rsidRPr="00A9332D" w:rsidRDefault="005D1AD0" w:rsidP="00A06F71">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w:hAnsi="Century"/>
                <w:color w:val="000000" w:themeColor="text1"/>
                <w:sz w:val="18"/>
                <w:szCs w:val="18"/>
                <w:lang w:val="en-US"/>
              </w:rPr>
            </w:pPr>
            <w:r w:rsidRPr="00A9332D">
              <w:rPr>
                <w:rFonts w:ascii="Century" w:hAnsi="Century"/>
                <w:color w:val="000000" w:themeColor="text1"/>
                <w:sz w:val="18"/>
                <w:szCs w:val="18"/>
                <w:lang w:val="en-US"/>
              </w:rPr>
              <w:t>0.5260366</w:t>
            </w:r>
          </w:p>
        </w:tc>
        <w:tc>
          <w:tcPr>
            <w:tcW w:w="1682" w:type="dxa"/>
          </w:tcPr>
          <w:p w14:paraId="622E333A" w14:textId="77777777" w:rsidR="005D1AD0" w:rsidRPr="00A9332D" w:rsidRDefault="005D1AD0" w:rsidP="00A06F71">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w:hAnsi="Century"/>
                <w:color w:val="000000" w:themeColor="text1"/>
                <w:sz w:val="18"/>
                <w:szCs w:val="18"/>
                <w:lang w:val="en-US"/>
              </w:rPr>
            </w:pPr>
            <w:r w:rsidRPr="00A9332D">
              <w:rPr>
                <w:rFonts w:ascii="Century" w:hAnsi="Century"/>
                <w:color w:val="000000" w:themeColor="text1"/>
                <w:sz w:val="18"/>
                <w:szCs w:val="18"/>
                <w:lang w:val="en-US"/>
              </w:rPr>
              <w:t xml:space="preserve">0.44         </w:t>
            </w:r>
          </w:p>
        </w:tc>
        <w:tc>
          <w:tcPr>
            <w:tcW w:w="1682" w:type="dxa"/>
          </w:tcPr>
          <w:p w14:paraId="21702205" w14:textId="77777777" w:rsidR="005D1AD0" w:rsidRPr="00A9332D" w:rsidRDefault="005D1AD0" w:rsidP="00A06F71">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w:hAnsi="Century"/>
                <w:color w:val="000000" w:themeColor="text1"/>
                <w:sz w:val="18"/>
                <w:szCs w:val="18"/>
                <w:lang w:val="en-US"/>
              </w:rPr>
            </w:pPr>
            <w:r w:rsidRPr="00A9332D">
              <w:rPr>
                <w:rFonts w:ascii="Century" w:hAnsi="Century"/>
                <w:color w:val="000000" w:themeColor="text1"/>
                <w:sz w:val="18"/>
                <w:szCs w:val="18"/>
                <w:lang w:val="en-US"/>
              </w:rPr>
              <w:t>0.5090251</w:t>
            </w:r>
          </w:p>
        </w:tc>
      </w:tr>
      <w:tr w:rsidR="005D1AD0" w:rsidRPr="00A9332D" w14:paraId="56CC7935" w14:textId="77777777" w:rsidTr="00A06F71">
        <w:trPr>
          <w:trHeight w:val="386"/>
        </w:trPr>
        <w:tc>
          <w:tcPr>
            <w:cnfStyle w:val="001000000000" w:firstRow="0" w:lastRow="0" w:firstColumn="1" w:lastColumn="0" w:oddVBand="0" w:evenVBand="0" w:oddHBand="0" w:evenHBand="0" w:firstRowFirstColumn="0" w:firstRowLastColumn="0" w:lastRowFirstColumn="0" w:lastRowLastColumn="0"/>
            <w:tcW w:w="1682" w:type="dxa"/>
          </w:tcPr>
          <w:p w14:paraId="5B05904E" w14:textId="300AAB10" w:rsidR="005D1AD0" w:rsidRPr="00A9332D" w:rsidRDefault="005D1AD0" w:rsidP="00A06F71">
            <w:pPr>
              <w:spacing w:line="360" w:lineRule="auto"/>
              <w:jc w:val="both"/>
              <w:rPr>
                <w:rFonts w:ascii="Century" w:hAnsi="Century"/>
                <w:b w:val="0"/>
                <w:bCs w:val="0"/>
                <w:color w:val="000000" w:themeColor="text1"/>
                <w:sz w:val="18"/>
                <w:szCs w:val="18"/>
                <w:lang w:val="en-US"/>
              </w:rPr>
            </w:pPr>
            <w:r>
              <w:rPr>
                <w:rFonts w:ascii="Century" w:hAnsi="Century"/>
                <w:b w:val="0"/>
                <w:bCs w:val="0"/>
                <w:color w:val="000000" w:themeColor="text1"/>
                <w:sz w:val="18"/>
                <w:szCs w:val="18"/>
                <w:lang w:val="en-US"/>
              </w:rPr>
              <w:t>FF5</w:t>
            </w:r>
          </w:p>
        </w:tc>
        <w:tc>
          <w:tcPr>
            <w:tcW w:w="1682" w:type="dxa"/>
          </w:tcPr>
          <w:p w14:paraId="7F7DF8BE" w14:textId="77777777" w:rsidR="005D1AD0" w:rsidRPr="00A9332D" w:rsidRDefault="005D1AD0" w:rsidP="00A06F71">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w:hAnsi="Century"/>
                <w:color w:val="000000" w:themeColor="text1"/>
                <w:sz w:val="18"/>
                <w:szCs w:val="18"/>
                <w:lang w:val="en-US"/>
              </w:rPr>
            </w:pPr>
            <w:r>
              <w:rPr>
                <w:rFonts w:ascii="Century" w:hAnsi="Century"/>
                <w:color w:val="000000" w:themeColor="text1"/>
                <w:sz w:val="18"/>
                <w:szCs w:val="18"/>
                <w:lang w:val="en-US"/>
              </w:rPr>
              <w:t>0.</w:t>
            </w:r>
            <w:r w:rsidRPr="00A9332D">
              <w:rPr>
                <w:rFonts w:ascii="Century" w:hAnsi="Century"/>
                <w:color w:val="000000" w:themeColor="text1"/>
                <w:sz w:val="18"/>
                <w:szCs w:val="18"/>
                <w:lang w:val="en-US"/>
              </w:rPr>
              <w:t xml:space="preserve">2934758          </w:t>
            </w:r>
          </w:p>
        </w:tc>
        <w:tc>
          <w:tcPr>
            <w:tcW w:w="1682" w:type="dxa"/>
          </w:tcPr>
          <w:p w14:paraId="1EBC8D42" w14:textId="77777777" w:rsidR="005D1AD0" w:rsidRPr="00A9332D" w:rsidRDefault="005D1AD0" w:rsidP="00A06F71">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w:hAnsi="Century"/>
                <w:color w:val="000000" w:themeColor="text1"/>
                <w:sz w:val="18"/>
                <w:szCs w:val="18"/>
                <w:lang w:val="en-US"/>
              </w:rPr>
            </w:pPr>
            <w:r w:rsidRPr="00A9332D">
              <w:rPr>
                <w:rFonts w:ascii="Century" w:hAnsi="Century"/>
                <w:color w:val="000000" w:themeColor="text1"/>
                <w:sz w:val="18"/>
                <w:szCs w:val="18"/>
                <w:lang w:val="en-US"/>
              </w:rPr>
              <w:t xml:space="preserve">0.35         </w:t>
            </w:r>
          </w:p>
        </w:tc>
        <w:tc>
          <w:tcPr>
            <w:tcW w:w="1682" w:type="dxa"/>
          </w:tcPr>
          <w:p w14:paraId="4283D699" w14:textId="77777777" w:rsidR="005D1AD0" w:rsidRPr="00A9332D" w:rsidRDefault="005D1AD0" w:rsidP="00A06F71">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w:hAnsi="Century"/>
                <w:color w:val="000000" w:themeColor="text1"/>
                <w:sz w:val="18"/>
                <w:szCs w:val="18"/>
                <w:lang w:val="en-US"/>
              </w:rPr>
            </w:pPr>
            <w:r w:rsidRPr="00A9332D">
              <w:rPr>
                <w:rFonts w:ascii="Century" w:hAnsi="Century"/>
                <w:color w:val="000000" w:themeColor="text1"/>
                <w:sz w:val="18"/>
                <w:szCs w:val="18"/>
                <w:lang w:val="en-US"/>
              </w:rPr>
              <w:t>-0.3956986</w:t>
            </w:r>
          </w:p>
        </w:tc>
      </w:tr>
    </w:tbl>
    <w:p w14:paraId="7D52C6FC" w14:textId="77777777" w:rsidR="005D1AD0" w:rsidRDefault="005D1AD0" w:rsidP="005D1AD0">
      <w:pPr>
        <w:spacing w:line="360" w:lineRule="auto"/>
        <w:ind w:firstLine="708"/>
        <w:jc w:val="both"/>
        <w:rPr>
          <w:rFonts w:ascii="Century" w:hAnsi="Century"/>
          <w:color w:val="000000" w:themeColor="text1"/>
          <w:sz w:val="18"/>
          <w:szCs w:val="18"/>
          <w:lang w:val="en-US"/>
        </w:rPr>
      </w:pPr>
    </w:p>
    <w:p w14:paraId="076F2C35" w14:textId="77777777" w:rsidR="005D1AD0" w:rsidRDefault="005D1AD0" w:rsidP="00FA7A81">
      <w:pPr>
        <w:spacing w:line="360" w:lineRule="auto"/>
        <w:jc w:val="center"/>
        <w:rPr>
          <w:rFonts w:ascii="Century" w:hAnsi="Century"/>
          <w:color w:val="000000" w:themeColor="text1"/>
          <w:sz w:val="18"/>
          <w:szCs w:val="18"/>
          <w:lang w:val="en-US"/>
        </w:rPr>
      </w:pPr>
    </w:p>
    <w:p w14:paraId="429A5704" w14:textId="77777777" w:rsidR="005D1AD0" w:rsidRDefault="005D1AD0" w:rsidP="00FA7A81">
      <w:pPr>
        <w:spacing w:line="360" w:lineRule="auto"/>
        <w:jc w:val="center"/>
        <w:rPr>
          <w:rFonts w:ascii="Century" w:hAnsi="Century"/>
          <w:color w:val="000000" w:themeColor="text1"/>
          <w:sz w:val="18"/>
          <w:szCs w:val="18"/>
          <w:lang w:val="en-US"/>
        </w:rPr>
      </w:pPr>
    </w:p>
    <w:p w14:paraId="13FD6A5A" w14:textId="77777777" w:rsidR="005D1AD0" w:rsidRDefault="005D1AD0" w:rsidP="00FA7A81">
      <w:pPr>
        <w:spacing w:line="360" w:lineRule="auto"/>
        <w:jc w:val="center"/>
        <w:rPr>
          <w:rFonts w:ascii="Century" w:hAnsi="Century"/>
          <w:color w:val="000000" w:themeColor="text1"/>
          <w:sz w:val="18"/>
          <w:szCs w:val="18"/>
          <w:lang w:val="en-US"/>
        </w:rPr>
      </w:pPr>
    </w:p>
    <w:p w14:paraId="474E9415" w14:textId="77777777" w:rsidR="00AF54A4" w:rsidRDefault="00AF54A4" w:rsidP="00930298">
      <w:pPr>
        <w:spacing w:line="360" w:lineRule="auto"/>
        <w:rPr>
          <w:rFonts w:ascii="Century" w:hAnsi="Century"/>
          <w:color w:val="000000" w:themeColor="text1"/>
          <w:sz w:val="18"/>
          <w:szCs w:val="18"/>
          <w:lang w:val="en-US"/>
        </w:rPr>
      </w:pPr>
    </w:p>
    <w:p w14:paraId="7BE80DA2" w14:textId="77777777" w:rsidR="00FD1E02" w:rsidRPr="00F414EA" w:rsidRDefault="00FD1E02" w:rsidP="00930298">
      <w:pPr>
        <w:spacing w:line="360" w:lineRule="auto"/>
        <w:rPr>
          <w:rFonts w:ascii="Century" w:hAnsi="Century"/>
          <w:color w:val="000000" w:themeColor="text1"/>
          <w:sz w:val="18"/>
          <w:szCs w:val="18"/>
          <w:lang w:val="en-US"/>
        </w:rPr>
      </w:pPr>
    </w:p>
    <w:p w14:paraId="3174A484" w14:textId="0F6ECC94" w:rsidR="00A716AF" w:rsidRPr="00F414EA" w:rsidRDefault="00A716AF" w:rsidP="00A716AF">
      <w:pPr>
        <w:spacing w:line="360" w:lineRule="auto"/>
        <w:jc w:val="center"/>
        <w:rPr>
          <w:rFonts w:ascii="Century" w:hAnsi="Century"/>
          <w:color w:val="000000" w:themeColor="text1"/>
          <w:sz w:val="18"/>
          <w:szCs w:val="18"/>
          <w:lang w:val="en-US"/>
        </w:rPr>
      </w:pPr>
      <w:r w:rsidRPr="00F414EA">
        <w:rPr>
          <w:rFonts w:ascii="Century" w:hAnsi="Century"/>
          <w:color w:val="000000" w:themeColor="text1"/>
          <w:sz w:val="18"/>
          <w:szCs w:val="18"/>
          <w:lang w:val="en-US"/>
        </w:rPr>
        <w:t>TABLE A</w:t>
      </w:r>
      <w:r w:rsidR="00A9332D">
        <w:rPr>
          <w:rFonts w:ascii="Century" w:hAnsi="Century"/>
          <w:color w:val="000000" w:themeColor="text1"/>
          <w:sz w:val="18"/>
          <w:szCs w:val="18"/>
          <w:lang w:val="en-US"/>
        </w:rPr>
        <w:t>2</w:t>
      </w:r>
      <w:r w:rsidRPr="00F414EA">
        <w:rPr>
          <w:rFonts w:ascii="Century" w:hAnsi="Century"/>
          <w:color w:val="000000" w:themeColor="text1"/>
          <w:sz w:val="18"/>
          <w:szCs w:val="18"/>
          <w:lang w:val="en-US"/>
        </w:rPr>
        <w:t xml:space="preserve"> – EXCLUDED PAIRS PLACEBO TEST </w:t>
      </w:r>
    </w:p>
    <w:tbl>
      <w:tblPr>
        <w:tblStyle w:val="SimplesTabela2"/>
        <w:tblpPr w:leftFromText="141" w:rightFromText="141" w:vertAnchor="text" w:horzAnchor="margin" w:tblpXSpec="center" w:tblpY="1703"/>
        <w:tblW w:w="0" w:type="auto"/>
        <w:tblLook w:val="04A0" w:firstRow="1" w:lastRow="0" w:firstColumn="1" w:lastColumn="0" w:noHBand="0" w:noVBand="1"/>
      </w:tblPr>
      <w:tblGrid>
        <w:gridCol w:w="1294"/>
        <w:gridCol w:w="1079"/>
        <w:gridCol w:w="767"/>
        <w:gridCol w:w="767"/>
        <w:gridCol w:w="767"/>
        <w:gridCol w:w="827"/>
        <w:gridCol w:w="767"/>
        <w:gridCol w:w="767"/>
        <w:gridCol w:w="767"/>
      </w:tblGrid>
      <w:tr w:rsidR="00F414EA" w:rsidRPr="00F414EA" w14:paraId="3E37A0CA" w14:textId="77777777" w:rsidTr="00066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A5B98" w14:textId="77777777" w:rsidR="00F414EA" w:rsidRPr="00F414EA" w:rsidRDefault="00F414EA" w:rsidP="000660C3">
            <w:pPr>
              <w:rPr>
                <w:rFonts w:ascii="Century" w:hAnsi="Century"/>
                <w:b w:val="0"/>
                <w:bCs w:val="0"/>
                <w:sz w:val="18"/>
                <w:szCs w:val="18"/>
                <w:lang w:val="en-US"/>
              </w:rPr>
            </w:pPr>
          </w:p>
        </w:tc>
        <w:tc>
          <w:tcPr>
            <w:tcW w:w="0" w:type="auto"/>
            <w:hideMark/>
          </w:tcPr>
          <w:p w14:paraId="3DE896E2"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excl. t=0-1</w:t>
            </w:r>
          </w:p>
        </w:tc>
        <w:tc>
          <w:tcPr>
            <w:tcW w:w="0" w:type="auto"/>
            <w:hideMark/>
          </w:tcPr>
          <w:p w14:paraId="1EF12C94"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t=1-2</w:t>
            </w:r>
          </w:p>
        </w:tc>
        <w:tc>
          <w:tcPr>
            <w:tcW w:w="0" w:type="auto"/>
            <w:hideMark/>
          </w:tcPr>
          <w:p w14:paraId="2547E064"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t=2-3</w:t>
            </w:r>
          </w:p>
        </w:tc>
        <w:tc>
          <w:tcPr>
            <w:tcW w:w="0" w:type="auto"/>
            <w:hideMark/>
          </w:tcPr>
          <w:p w14:paraId="51781FC3"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t=3-4</w:t>
            </w:r>
          </w:p>
        </w:tc>
        <w:tc>
          <w:tcPr>
            <w:tcW w:w="0" w:type="auto"/>
            <w:hideMark/>
          </w:tcPr>
          <w:p w14:paraId="086767F7"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t=4-5</w:t>
            </w:r>
          </w:p>
        </w:tc>
        <w:tc>
          <w:tcPr>
            <w:tcW w:w="0" w:type="auto"/>
            <w:hideMark/>
          </w:tcPr>
          <w:p w14:paraId="020C2655"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t=5-6</w:t>
            </w:r>
          </w:p>
        </w:tc>
        <w:tc>
          <w:tcPr>
            <w:tcW w:w="0" w:type="auto"/>
            <w:hideMark/>
          </w:tcPr>
          <w:p w14:paraId="272735D1"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t=6-7</w:t>
            </w:r>
          </w:p>
        </w:tc>
        <w:tc>
          <w:tcPr>
            <w:tcW w:w="0" w:type="auto"/>
            <w:hideMark/>
          </w:tcPr>
          <w:p w14:paraId="2648497A" w14:textId="77777777" w:rsidR="00F414EA" w:rsidRPr="00F414EA" w:rsidRDefault="00F414EA" w:rsidP="000660C3">
            <w:pPr>
              <w:jc w:val="center"/>
              <w:cnfStyle w:val="100000000000" w:firstRow="1" w:lastRow="0" w:firstColumn="0" w:lastColumn="0" w:oddVBand="0" w:evenVBand="0" w:oddHBand="0" w:evenHBand="0" w:firstRowFirstColumn="0" w:firstRowLastColumn="0" w:lastRowFirstColumn="0" w:lastRowLastColumn="0"/>
              <w:rPr>
                <w:rFonts w:ascii="Century" w:hAnsi="Century"/>
                <w:b w:val="0"/>
                <w:bCs w:val="0"/>
                <w:sz w:val="18"/>
                <w:szCs w:val="18"/>
                <w:lang w:val="en-US"/>
              </w:rPr>
            </w:pPr>
            <w:r w:rsidRPr="00F414EA">
              <w:rPr>
                <w:rFonts w:ascii="Century" w:hAnsi="Century"/>
                <w:b w:val="0"/>
                <w:bCs w:val="0"/>
                <w:sz w:val="18"/>
                <w:szCs w:val="18"/>
                <w:lang w:val="en-US"/>
              </w:rPr>
              <w:t>t=7-8</w:t>
            </w:r>
          </w:p>
        </w:tc>
      </w:tr>
      <w:tr w:rsidR="00F414EA" w:rsidRPr="00F414EA" w14:paraId="470F0F80" w14:textId="77777777" w:rsidTr="00066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04C8E" w14:textId="34E77CFD" w:rsidR="00F414EA" w:rsidRPr="00F414EA" w:rsidRDefault="00F414EA" w:rsidP="000660C3">
            <w:pPr>
              <w:rPr>
                <w:rFonts w:ascii="Century" w:hAnsi="Century"/>
                <w:b w:val="0"/>
                <w:bCs w:val="0"/>
                <w:sz w:val="18"/>
                <w:szCs w:val="18"/>
                <w:lang w:val="en-US"/>
              </w:rPr>
            </w:pPr>
            <w:r w:rsidRPr="00F414EA">
              <w:rPr>
                <w:rFonts w:ascii="Century" w:hAnsi="Century"/>
                <w:b w:val="0"/>
                <w:bCs w:val="0"/>
                <w:sz w:val="18"/>
                <w:szCs w:val="18"/>
                <w:lang w:val="en-US"/>
              </w:rPr>
              <w:t>Placebo Beta</w:t>
            </w:r>
          </w:p>
        </w:tc>
        <w:tc>
          <w:tcPr>
            <w:tcW w:w="0" w:type="auto"/>
            <w:hideMark/>
          </w:tcPr>
          <w:p w14:paraId="2D25E85C"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0.1469</w:t>
            </w:r>
          </w:p>
        </w:tc>
        <w:tc>
          <w:tcPr>
            <w:tcW w:w="0" w:type="auto"/>
            <w:hideMark/>
          </w:tcPr>
          <w:p w14:paraId="224FE62B"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0.2523</w:t>
            </w:r>
          </w:p>
        </w:tc>
        <w:tc>
          <w:tcPr>
            <w:tcW w:w="0" w:type="auto"/>
            <w:hideMark/>
          </w:tcPr>
          <w:p w14:paraId="6E3DC3CE"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0.2525</w:t>
            </w:r>
          </w:p>
        </w:tc>
        <w:tc>
          <w:tcPr>
            <w:tcW w:w="0" w:type="auto"/>
            <w:hideMark/>
          </w:tcPr>
          <w:p w14:paraId="528D9AEA"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0.2271</w:t>
            </w:r>
          </w:p>
        </w:tc>
        <w:tc>
          <w:tcPr>
            <w:tcW w:w="0" w:type="auto"/>
            <w:hideMark/>
          </w:tcPr>
          <w:p w14:paraId="1D7CDE33"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0.2538</w:t>
            </w:r>
          </w:p>
        </w:tc>
        <w:tc>
          <w:tcPr>
            <w:tcW w:w="0" w:type="auto"/>
            <w:hideMark/>
          </w:tcPr>
          <w:p w14:paraId="5A65002D"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0.2224</w:t>
            </w:r>
          </w:p>
        </w:tc>
        <w:tc>
          <w:tcPr>
            <w:tcW w:w="0" w:type="auto"/>
            <w:hideMark/>
          </w:tcPr>
          <w:p w14:paraId="6FC49A48"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0.2134</w:t>
            </w:r>
          </w:p>
        </w:tc>
        <w:tc>
          <w:tcPr>
            <w:tcW w:w="0" w:type="auto"/>
            <w:hideMark/>
          </w:tcPr>
          <w:p w14:paraId="645FB77C"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0.2072</w:t>
            </w:r>
          </w:p>
        </w:tc>
      </w:tr>
      <w:tr w:rsidR="00F414EA" w:rsidRPr="00F414EA" w14:paraId="2C3C3B07" w14:textId="77777777" w:rsidTr="000660C3">
        <w:tc>
          <w:tcPr>
            <w:cnfStyle w:val="001000000000" w:firstRow="0" w:lastRow="0" w:firstColumn="1" w:lastColumn="0" w:oddVBand="0" w:evenVBand="0" w:oddHBand="0" w:evenHBand="0" w:firstRowFirstColumn="0" w:firstRowLastColumn="0" w:lastRowFirstColumn="0" w:lastRowLastColumn="0"/>
            <w:tcW w:w="0" w:type="auto"/>
            <w:hideMark/>
          </w:tcPr>
          <w:p w14:paraId="27D27A38" w14:textId="77777777" w:rsidR="00F414EA" w:rsidRPr="00F414EA" w:rsidRDefault="00F414EA" w:rsidP="000660C3">
            <w:pPr>
              <w:rPr>
                <w:rFonts w:ascii="Century" w:hAnsi="Century"/>
                <w:b w:val="0"/>
                <w:bCs w:val="0"/>
                <w:sz w:val="18"/>
                <w:szCs w:val="18"/>
                <w:lang w:val="en-US"/>
              </w:rPr>
            </w:pPr>
            <w:r w:rsidRPr="00F414EA">
              <w:rPr>
                <w:rFonts w:ascii="Century" w:hAnsi="Century"/>
                <w:b w:val="0"/>
                <w:bCs w:val="0"/>
                <w:sz w:val="18"/>
                <w:szCs w:val="18"/>
                <w:lang w:val="en-US"/>
              </w:rPr>
              <w:t>Diff</w:t>
            </w:r>
          </w:p>
        </w:tc>
        <w:tc>
          <w:tcPr>
            <w:tcW w:w="0" w:type="auto"/>
            <w:hideMark/>
          </w:tcPr>
          <w:p w14:paraId="50A76C37"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0.1064</w:t>
            </w:r>
          </w:p>
        </w:tc>
        <w:tc>
          <w:tcPr>
            <w:tcW w:w="0" w:type="auto"/>
            <w:hideMark/>
          </w:tcPr>
          <w:p w14:paraId="41EF6AD3"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0.0010</w:t>
            </w:r>
          </w:p>
        </w:tc>
        <w:tc>
          <w:tcPr>
            <w:tcW w:w="0" w:type="auto"/>
            <w:hideMark/>
          </w:tcPr>
          <w:p w14:paraId="18E1E943"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0.0009</w:t>
            </w:r>
          </w:p>
        </w:tc>
        <w:tc>
          <w:tcPr>
            <w:tcW w:w="0" w:type="auto"/>
            <w:hideMark/>
          </w:tcPr>
          <w:p w14:paraId="2DBE6331"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0.0262</w:t>
            </w:r>
          </w:p>
        </w:tc>
        <w:tc>
          <w:tcPr>
            <w:tcW w:w="0" w:type="auto"/>
            <w:hideMark/>
          </w:tcPr>
          <w:p w14:paraId="7BF01CF3"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-0.0005</w:t>
            </w:r>
          </w:p>
        </w:tc>
        <w:tc>
          <w:tcPr>
            <w:tcW w:w="0" w:type="auto"/>
            <w:hideMark/>
          </w:tcPr>
          <w:p w14:paraId="4593816D"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0.0309</w:t>
            </w:r>
          </w:p>
        </w:tc>
        <w:tc>
          <w:tcPr>
            <w:tcW w:w="0" w:type="auto"/>
            <w:hideMark/>
          </w:tcPr>
          <w:p w14:paraId="46D902B2"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0.0399</w:t>
            </w:r>
          </w:p>
        </w:tc>
        <w:tc>
          <w:tcPr>
            <w:tcW w:w="0" w:type="auto"/>
            <w:hideMark/>
          </w:tcPr>
          <w:p w14:paraId="0E49472D" w14:textId="77777777" w:rsidR="00F414EA" w:rsidRPr="00F414EA" w:rsidRDefault="00F414EA" w:rsidP="000660C3">
            <w:pPr>
              <w:cnfStyle w:val="000000000000" w:firstRow="0" w:lastRow="0" w:firstColumn="0" w:lastColumn="0" w:oddVBand="0" w:evenVBand="0" w:oddHBand="0"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0.0461</w:t>
            </w:r>
          </w:p>
        </w:tc>
      </w:tr>
      <w:tr w:rsidR="00F414EA" w:rsidRPr="00F414EA" w14:paraId="3CF27124" w14:textId="77777777" w:rsidTr="00066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13F6E" w14:textId="76AF7577" w:rsidR="00F414EA" w:rsidRPr="00F414EA" w:rsidRDefault="00F414EA" w:rsidP="000660C3">
            <w:pPr>
              <w:rPr>
                <w:rFonts w:ascii="Century" w:hAnsi="Century"/>
                <w:b w:val="0"/>
                <w:bCs w:val="0"/>
                <w:sz w:val="18"/>
                <w:szCs w:val="18"/>
                <w:lang w:val="en-US"/>
              </w:rPr>
            </w:pPr>
            <w:r w:rsidRPr="00F414EA">
              <w:rPr>
                <w:rFonts w:ascii="Century" w:hAnsi="Century"/>
                <w:b w:val="0"/>
                <w:bCs w:val="0"/>
                <w:sz w:val="18"/>
                <w:szCs w:val="18"/>
                <w:lang w:val="en-US"/>
              </w:rPr>
              <w:t>t</w:t>
            </w:r>
            <w:r>
              <w:rPr>
                <w:rFonts w:ascii="Century" w:hAnsi="Century"/>
                <w:b w:val="0"/>
                <w:bCs w:val="0"/>
                <w:sz w:val="18"/>
                <w:szCs w:val="18"/>
                <w:lang w:val="en-US"/>
              </w:rPr>
              <w:t>-</w:t>
            </w:r>
            <w:r w:rsidRPr="00F414EA">
              <w:rPr>
                <w:rFonts w:ascii="Century" w:hAnsi="Century"/>
                <w:b w:val="0"/>
                <w:bCs w:val="0"/>
                <w:sz w:val="18"/>
                <w:szCs w:val="18"/>
                <w:lang w:val="en-US"/>
              </w:rPr>
              <w:t>stat</w:t>
            </w:r>
          </w:p>
        </w:tc>
        <w:tc>
          <w:tcPr>
            <w:tcW w:w="0" w:type="auto"/>
            <w:hideMark/>
          </w:tcPr>
          <w:p w14:paraId="33DB282B"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color w:val="EE0000"/>
                <w:sz w:val="18"/>
                <w:szCs w:val="18"/>
                <w:lang w:val="en-US"/>
              </w:rPr>
              <w:t>2.47</w:t>
            </w:r>
          </w:p>
        </w:tc>
        <w:tc>
          <w:tcPr>
            <w:tcW w:w="0" w:type="auto"/>
            <w:hideMark/>
          </w:tcPr>
          <w:p w14:paraId="79A0BEDA"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0.03</w:t>
            </w:r>
          </w:p>
        </w:tc>
        <w:tc>
          <w:tcPr>
            <w:tcW w:w="0" w:type="auto"/>
            <w:hideMark/>
          </w:tcPr>
          <w:p w14:paraId="26C6AB1B"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0.03</w:t>
            </w:r>
          </w:p>
        </w:tc>
        <w:tc>
          <w:tcPr>
            <w:tcW w:w="0" w:type="auto"/>
            <w:hideMark/>
          </w:tcPr>
          <w:p w14:paraId="2E9EF2AB"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0.81</w:t>
            </w:r>
          </w:p>
        </w:tc>
        <w:tc>
          <w:tcPr>
            <w:tcW w:w="0" w:type="auto"/>
            <w:hideMark/>
          </w:tcPr>
          <w:p w14:paraId="22D04504"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-0.02</w:t>
            </w:r>
          </w:p>
        </w:tc>
        <w:tc>
          <w:tcPr>
            <w:tcW w:w="0" w:type="auto"/>
            <w:hideMark/>
          </w:tcPr>
          <w:p w14:paraId="2AF47B74"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1.05</w:t>
            </w:r>
          </w:p>
        </w:tc>
        <w:tc>
          <w:tcPr>
            <w:tcW w:w="0" w:type="auto"/>
            <w:hideMark/>
          </w:tcPr>
          <w:p w14:paraId="0030D22F"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sz w:val="18"/>
                <w:szCs w:val="18"/>
                <w:lang w:val="en-US"/>
              </w:rPr>
              <w:t>0.88</w:t>
            </w:r>
          </w:p>
        </w:tc>
        <w:tc>
          <w:tcPr>
            <w:tcW w:w="0" w:type="auto"/>
            <w:hideMark/>
          </w:tcPr>
          <w:p w14:paraId="6BFBFBA9" w14:textId="77777777" w:rsidR="00F414EA" w:rsidRPr="00F414EA" w:rsidRDefault="00F414EA" w:rsidP="000660C3">
            <w:pPr>
              <w:cnfStyle w:val="000000100000" w:firstRow="0" w:lastRow="0" w:firstColumn="0" w:lastColumn="0" w:oddVBand="0" w:evenVBand="0" w:oddHBand="1" w:evenHBand="0" w:firstRowFirstColumn="0" w:firstRowLastColumn="0" w:lastRowFirstColumn="0" w:lastRowLastColumn="0"/>
              <w:rPr>
                <w:rFonts w:ascii="Century" w:hAnsi="Century"/>
                <w:sz w:val="18"/>
                <w:szCs w:val="18"/>
                <w:lang w:val="en-US"/>
              </w:rPr>
            </w:pPr>
            <w:r w:rsidRPr="00F414EA">
              <w:rPr>
                <w:rFonts w:ascii="Century" w:hAnsi="Century"/>
                <w:color w:val="EE0000"/>
                <w:sz w:val="18"/>
                <w:szCs w:val="18"/>
                <w:lang w:val="en-US"/>
              </w:rPr>
              <w:t>2.04</w:t>
            </w:r>
          </w:p>
        </w:tc>
      </w:tr>
    </w:tbl>
    <w:p w14:paraId="5B9C6E14" w14:textId="49A64610" w:rsidR="00FA7A81" w:rsidRDefault="00FA7A81" w:rsidP="000660C3">
      <w:pPr>
        <w:spacing w:line="360" w:lineRule="auto"/>
        <w:rPr>
          <w:rFonts w:ascii="Century" w:hAnsi="Century"/>
          <w:color w:val="000000" w:themeColor="text1"/>
          <w:sz w:val="16"/>
          <w:szCs w:val="16"/>
          <w:lang w:val="en-US"/>
        </w:rPr>
      </w:pPr>
    </w:p>
    <w:p w14:paraId="3E16CA1F" w14:textId="54C748D0" w:rsidR="000660C3" w:rsidRDefault="000660C3" w:rsidP="00406D25">
      <w:pPr>
        <w:spacing w:line="360" w:lineRule="auto"/>
        <w:ind w:firstLine="708"/>
        <w:jc w:val="both"/>
        <w:rPr>
          <w:rFonts w:ascii="Century" w:hAnsi="Century"/>
          <w:color w:val="000000" w:themeColor="text1"/>
          <w:sz w:val="18"/>
          <w:szCs w:val="18"/>
          <w:lang w:val="en-US"/>
        </w:rPr>
      </w:pPr>
      <w:r>
        <w:rPr>
          <w:rFonts w:ascii="Century" w:hAnsi="Century"/>
          <w:color w:val="000000" w:themeColor="text1"/>
          <w:sz w:val="18"/>
          <w:szCs w:val="18"/>
          <w:lang w:val="en-US"/>
        </w:rPr>
        <w:t>Paired t-statistics on the difference between the Placebo coefficients produced by the regressions excluding any two consecutive trading days except the pair of interest (Dec 13-14) and the pair of interest. Differences significant at the 5% level (Nov 30 – Dec 1 and Dec 9-12) highlighted.</w:t>
      </w:r>
    </w:p>
    <w:p w14:paraId="784ECAE1" w14:textId="77777777" w:rsidR="0041271D" w:rsidRDefault="0041271D" w:rsidP="00E45F67">
      <w:pPr>
        <w:spacing w:line="360" w:lineRule="auto"/>
        <w:ind w:firstLine="708"/>
        <w:rPr>
          <w:rFonts w:ascii="Century" w:hAnsi="Century"/>
          <w:color w:val="000000" w:themeColor="text1"/>
          <w:sz w:val="18"/>
          <w:szCs w:val="18"/>
          <w:lang w:val="en-US"/>
        </w:rPr>
      </w:pPr>
    </w:p>
    <w:p w14:paraId="42F5B16B" w14:textId="77777777" w:rsidR="0041271D" w:rsidRDefault="0041271D" w:rsidP="00785182">
      <w:pPr>
        <w:spacing w:line="360" w:lineRule="auto"/>
        <w:ind w:firstLine="708"/>
        <w:jc w:val="center"/>
        <w:rPr>
          <w:rFonts w:ascii="Century" w:hAnsi="Century"/>
          <w:color w:val="000000" w:themeColor="text1"/>
          <w:sz w:val="18"/>
          <w:szCs w:val="18"/>
          <w:lang w:val="en-US"/>
        </w:rPr>
      </w:pPr>
    </w:p>
    <w:p w14:paraId="49174200" w14:textId="77777777" w:rsidR="00BB1A16" w:rsidRDefault="00BB1A16" w:rsidP="00BB1A16">
      <w:pPr>
        <w:spacing w:line="360" w:lineRule="auto"/>
        <w:rPr>
          <w:rFonts w:ascii="Century" w:hAnsi="Century"/>
          <w:color w:val="000000" w:themeColor="text1"/>
          <w:sz w:val="18"/>
          <w:szCs w:val="18"/>
          <w:lang w:val="en-US"/>
        </w:rPr>
      </w:pPr>
    </w:p>
    <w:p w14:paraId="2B42D3B1" w14:textId="77777777" w:rsidR="006042A2" w:rsidRDefault="006042A2" w:rsidP="00BB1A16">
      <w:pPr>
        <w:spacing w:line="360" w:lineRule="auto"/>
        <w:rPr>
          <w:rFonts w:ascii="Century" w:hAnsi="Century"/>
          <w:color w:val="000000" w:themeColor="text1"/>
          <w:sz w:val="18"/>
          <w:szCs w:val="18"/>
          <w:lang w:val="en-US"/>
        </w:rPr>
      </w:pPr>
    </w:p>
    <w:p w14:paraId="05E5720C" w14:textId="77777777" w:rsidR="006042A2" w:rsidRDefault="006042A2" w:rsidP="00BB1A16">
      <w:pPr>
        <w:spacing w:line="360" w:lineRule="auto"/>
        <w:rPr>
          <w:rFonts w:ascii="Century" w:hAnsi="Century"/>
          <w:color w:val="000000" w:themeColor="text1"/>
          <w:sz w:val="18"/>
          <w:szCs w:val="18"/>
          <w:lang w:val="en-US"/>
        </w:rPr>
      </w:pPr>
    </w:p>
    <w:p w14:paraId="2C8FB1EA" w14:textId="77777777" w:rsidR="006042A2" w:rsidRDefault="006042A2" w:rsidP="00BB1A16">
      <w:pPr>
        <w:spacing w:line="360" w:lineRule="auto"/>
        <w:rPr>
          <w:rFonts w:ascii="Century" w:hAnsi="Century"/>
          <w:color w:val="000000" w:themeColor="text1"/>
          <w:sz w:val="18"/>
          <w:szCs w:val="18"/>
          <w:lang w:val="en-US"/>
        </w:rPr>
      </w:pPr>
    </w:p>
    <w:p w14:paraId="35C58010" w14:textId="77777777" w:rsidR="006042A2" w:rsidRDefault="006042A2" w:rsidP="00BB1A16">
      <w:pPr>
        <w:spacing w:line="360" w:lineRule="auto"/>
        <w:rPr>
          <w:rFonts w:ascii="Century" w:hAnsi="Century"/>
          <w:color w:val="000000" w:themeColor="text1"/>
          <w:sz w:val="18"/>
          <w:szCs w:val="18"/>
          <w:lang w:val="en-US"/>
        </w:rPr>
      </w:pPr>
    </w:p>
    <w:p w14:paraId="38A711D8" w14:textId="77777777" w:rsidR="006042A2" w:rsidRDefault="006042A2" w:rsidP="00BB1A16">
      <w:pPr>
        <w:spacing w:line="360" w:lineRule="auto"/>
        <w:rPr>
          <w:rFonts w:ascii="Century" w:hAnsi="Century"/>
          <w:color w:val="000000" w:themeColor="text1"/>
          <w:sz w:val="18"/>
          <w:szCs w:val="18"/>
          <w:lang w:val="en-US"/>
        </w:rPr>
      </w:pPr>
    </w:p>
    <w:p w14:paraId="30B7EE95" w14:textId="77777777" w:rsidR="006042A2" w:rsidRDefault="006042A2" w:rsidP="00BB1A16">
      <w:pPr>
        <w:spacing w:line="360" w:lineRule="auto"/>
        <w:rPr>
          <w:rFonts w:ascii="Century" w:hAnsi="Century"/>
          <w:color w:val="000000" w:themeColor="text1"/>
          <w:sz w:val="18"/>
          <w:szCs w:val="18"/>
          <w:lang w:val="en-US"/>
        </w:rPr>
      </w:pPr>
    </w:p>
    <w:p w14:paraId="142A4CD1" w14:textId="77777777" w:rsidR="006042A2" w:rsidRDefault="006042A2" w:rsidP="00BB1A16">
      <w:pPr>
        <w:spacing w:line="360" w:lineRule="auto"/>
        <w:rPr>
          <w:rFonts w:ascii="Century" w:hAnsi="Century"/>
          <w:color w:val="000000" w:themeColor="text1"/>
          <w:sz w:val="18"/>
          <w:szCs w:val="18"/>
          <w:lang w:val="en-US"/>
        </w:rPr>
      </w:pPr>
    </w:p>
    <w:p w14:paraId="1E89F366" w14:textId="77777777" w:rsidR="00604923" w:rsidRDefault="00604923" w:rsidP="00BB1A16">
      <w:pPr>
        <w:spacing w:line="360" w:lineRule="auto"/>
        <w:rPr>
          <w:rFonts w:ascii="Century" w:hAnsi="Century"/>
          <w:color w:val="000000" w:themeColor="text1"/>
          <w:sz w:val="18"/>
          <w:szCs w:val="18"/>
          <w:lang w:val="en-US"/>
        </w:rPr>
      </w:pPr>
    </w:p>
    <w:p w14:paraId="1301C34E" w14:textId="23FCA32D" w:rsidR="00785182" w:rsidRDefault="00785182" w:rsidP="00CB6D92">
      <w:pPr>
        <w:spacing w:line="360" w:lineRule="auto"/>
        <w:ind w:firstLine="708"/>
        <w:jc w:val="center"/>
        <w:rPr>
          <w:rFonts w:ascii="Century" w:hAnsi="Century"/>
          <w:color w:val="000000" w:themeColor="text1"/>
          <w:sz w:val="18"/>
          <w:szCs w:val="18"/>
          <w:lang w:val="en-US"/>
        </w:rPr>
      </w:pPr>
      <w:r>
        <w:rPr>
          <w:rFonts w:ascii="Century" w:hAnsi="Century"/>
          <w:color w:val="000000" w:themeColor="text1"/>
          <w:sz w:val="18"/>
          <w:szCs w:val="18"/>
          <w:lang w:val="en-US"/>
        </w:rPr>
        <w:t xml:space="preserve">DISCLAIMER </w:t>
      </w:r>
      <w:r w:rsidR="00782502">
        <w:rPr>
          <w:rFonts w:ascii="Century" w:hAnsi="Century"/>
          <w:color w:val="000000" w:themeColor="text1"/>
          <w:sz w:val="18"/>
          <w:szCs w:val="18"/>
          <w:lang w:val="en-US"/>
        </w:rPr>
        <w:t>ON THE</w:t>
      </w:r>
      <w:r>
        <w:rPr>
          <w:rFonts w:ascii="Century" w:hAnsi="Century"/>
          <w:color w:val="000000" w:themeColor="text1"/>
          <w:sz w:val="18"/>
          <w:szCs w:val="18"/>
          <w:lang w:val="en-US"/>
        </w:rPr>
        <w:t xml:space="preserve"> USE</w:t>
      </w:r>
      <w:r w:rsidR="00CB6D92">
        <w:rPr>
          <w:rFonts w:ascii="Century" w:hAnsi="Century"/>
          <w:color w:val="000000" w:themeColor="text1"/>
          <w:sz w:val="18"/>
          <w:szCs w:val="18"/>
          <w:lang w:val="en-US"/>
        </w:rPr>
        <w:t xml:space="preserve"> OF AI</w:t>
      </w:r>
    </w:p>
    <w:p w14:paraId="201790C0" w14:textId="77777777" w:rsidR="005D1AD0" w:rsidRPr="00785182" w:rsidRDefault="005D1AD0" w:rsidP="000660C3">
      <w:pPr>
        <w:spacing w:line="360" w:lineRule="auto"/>
        <w:ind w:firstLine="708"/>
        <w:jc w:val="both"/>
        <w:rPr>
          <w:rFonts w:ascii="Century" w:hAnsi="Century"/>
          <w:color w:val="000000" w:themeColor="text1"/>
          <w:sz w:val="16"/>
          <w:szCs w:val="16"/>
          <w:lang w:val="en-US"/>
        </w:rPr>
      </w:pPr>
    </w:p>
    <w:p w14:paraId="21CAE519" w14:textId="597A9CFA" w:rsidR="00A9332D" w:rsidRPr="000660C3" w:rsidRDefault="00785182" w:rsidP="00604923">
      <w:pPr>
        <w:spacing w:line="360" w:lineRule="auto"/>
        <w:ind w:firstLine="708"/>
        <w:jc w:val="both"/>
        <w:rPr>
          <w:rFonts w:ascii="Century" w:hAnsi="Century"/>
          <w:color w:val="000000" w:themeColor="text1"/>
          <w:sz w:val="18"/>
          <w:szCs w:val="18"/>
          <w:lang w:val="en-US"/>
        </w:rPr>
      </w:pPr>
      <w:r w:rsidRPr="00785182">
        <w:rPr>
          <w:rFonts w:ascii="Century" w:hAnsi="Century"/>
          <w:sz w:val="22"/>
          <w:szCs w:val="22"/>
          <w:lang w:val="en-US"/>
        </w:rPr>
        <w:t xml:space="preserve">Generative AI (Claude, Anthropic) assisted in writing and revising the R code for this paper's empirical pipeline, including sample construction, event-study CAR calculations, portfolio sorts, and regression specifications. It also helped construct </w:t>
      </w:r>
      <w:r w:rsidR="00782502">
        <w:rPr>
          <w:rFonts w:ascii="Century" w:hAnsi="Century"/>
          <w:sz w:val="22"/>
          <w:szCs w:val="22"/>
          <w:lang w:val="en-US"/>
        </w:rPr>
        <w:t xml:space="preserve">the </w:t>
      </w:r>
      <w:r w:rsidRPr="00785182">
        <w:rPr>
          <w:rFonts w:ascii="Century" w:hAnsi="Century"/>
          <w:sz w:val="22"/>
          <w:szCs w:val="22"/>
          <w:lang w:val="en-US"/>
        </w:rPr>
        <w:t xml:space="preserve">placebo and significance tests and cross-check </w:t>
      </w:r>
      <w:r w:rsidR="00782502">
        <w:rPr>
          <w:rFonts w:ascii="Century" w:hAnsi="Century"/>
          <w:sz w:val="22"/>
          <w:szCs w:val="22"/>
          <w:lang w:val="en-US"/>
        </w:rPr>
        <w:t xml:space="preserve">our </w:t>
      </w:r>
      <w:r w:rsidRPr="00785182">
        <w:rPr>
          <w:rFonts w:ascii="Century" w:hAnsi="Century"/>
          <w:sz w:val="22"/>
          <w:szCs w:val="22"/>
          <w:lang w:val="en-US"/>
        </w:rPr>
        <w:t xml:space="preserve">methodological choices against the </w:t>
      </w:r>
      <w:r w:rsidR="006912BC">
        <w:rPr>
          <w:rFonts w:ascii="Century" w:hAnsi="Century"/>
          <w:sz w:val="22"/>
          <w:szCs w:val="22"/>
          <w:lang w:val="en-US"/>
        </w:rPr>
        <w:t>Eisfeldt et al.</w:t>
      </w:r>
      <w:r w:rsidRPr="00785182">
        <w:rPr>
          <w:rFonts w:ascii="Century" w:hAnsi="Century"/>
          <w:sz w:val="22"/>
          <w:szCs w:val="22"/>
          <w:lang w:val="en-US"/>
        </w:rPr>
        <w:t xml:space="preserve"> paper. All research design decisions, code review, and interpretation of results are </w:t>
      </w:r>
      <w:r w:rsidR="006912BC">
        <w:rPr>
          <w:rFonts w:ascii="Century" w:hAnsi="Century"/>
          <w:sz w:val="22"/>
          <w:szCs w:val="22"/>
          <w:lang w:val="en-US"/>
        </w:rPr>
        <w:t>our</w:t>
      </w:r>
      <w:r w:rsidRPr="00785182">
        <w:rPr>
          <w:rFonts w:ascii="Century" w:hAnsi="Century"/>
          <w:sz w:val="22"/>
          <w:szCs w:val="22"/>
          <w:lang w:val="en-US"/>
        </w:rPr>
        <w:t xml:space="preserve"> own. The AI</w:t>
      </w:r>
      <w:r w:rsidR="00A467DE">
        <w:rPr>
          <w:rFonts w:ascii="Century" w:hAnsi="Century"/>
          <w:sz w:val="22"/>
          <w:szCs w:val="22"/>
          <w:lang w:val="en-US"/>
        </w:rPr>
        <w:t xml:space="preserve"> model also</w:t>
      </w:r>
      <w:r w:rsidRPr="00785182">
        <w:rPr>
          <w:rFonts w:ascii="Century" w:hAnsi="Century"/>
          <w:sz w:val="22"/>
          <w:szCs w:val="22"/>
          <w:lang w:val="en-US"/>
        </w:rPr>
        <w:t xml:space="preserve"> had no independent access to the data </w:t>
      </w:r>
      <w:r w:rsidR="00A467DE">
        <w:rPr>
          <w:rFonts w:ascii="Century" w:hAnsi="Century"/>
          <w:sz w:val="22"/>
          <w:szCs w:val="22"/>
          <w:lang w:val="en-US"/>
        </w:rPr>
        <w:t>and</w:t>
      </w:r>
      <w:r w:rsidRPr="00785182">
        <w:rPr>
          <w:rFonts w:ascii="Century" w:hAnsi="Century"/>
          <w:sz w:val="22"/>
          <w:szCs w:val="22"/>
          <w:lang w:val="en-US"/>
        </w:rPr>
        <w:t xml:space="preserve"> did not generate or verify any findings</w:t>
      </w:r>
      <w:r w:rsidR="00A467DE">
        <w:rPr>
          <w:rFonts w:ascii="Century" w:hAnsi="Century"/>
          <w:sz w:val="22"/>
          <w:szCs w:val="22"/>
          <w:lang w:val="en-US"/>
        </w:rPr>
        <w:t xml:space="preserve"> directly</w:t>
      </w:r>
      <w:r w:rsidRPr="00785182">
        <w:rPr>
          <w:lang w:val="en-US"/>
        </w:rPr>
        <w:t>.</w:t>
      </w:r>
    </w:p>
    <w:sectPr w:rsidR="00A9332D" w:rsidRPr="000660C3" w:rsidSect="00860E87">
      <w:headerReference w:type="even" r:id="rId12"/>
      <w:headerReference w:type="default" r:id="rId13"/>
      <w:footerReference w:type="even" r:id="rId14"/>
      <w:footerReference w:type="default" r:id="rId15"/>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513DBC" w14:textId="77777777" w:rsidR="000F7BDE" w:rsidRDefault="000F7BDE" w:rsidP="00933EC9">
      <w:r>
        <w:separator/>
      </w:r>
    </w:p>
  </w:endnote>
  <w:endnote w:type="continuationSeparator" w:id="0">
    <w:p w14:paraId="203388F3" w14:textId="77777777" w:rsidR="000F7BDE" w:rsidRDefault="000F7BDE" w:rsidP="00933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Big Caslon Medium">
    <w:altName w:val="BIG CASLON MEDIUM"/>
    <w:panose1 w:val="02000603090000020003"/>
    <w:charset w:val="B1"/>
    <w:family w:val="auto"/>
    <w:pitch w:val="variable"/>
    <w:sig w:usb0="80000863" w:usb1="00000000" w:usb2="00000000" w:usb3="00000000" w:csb0="000001FB"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100876891"/>
      <w:docPartObj>
        <w:docPartGallery w:val="Page Numbers (Bottom of Page)"/>
        <w:docPartUnique/>
      </w:docPartObj>
    </w:sdtPr>
    <w:sdtContent>
      <w:p w14:paraId="6E716220" w14:textId="1B6DD27F" w:rsidR="00933EC9" w:rsidRDefault="00933EC9" w:rsidP="007E556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0240492" w14:textId="77777777" w:rsidR="00933EC9" w:rsidRDefault="00933EC9" w:rsidP="00933EC9">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F011C" w14:textId="77777777" w:rsidR="00933EC9" w:rsidRDefault="00933EC9" w:rsidP="00933EC9">
    <w:pPr>
      <w:pStyle w:val="Rodap"/>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53080F" w14:textId="77777777" w:rsidR="000F7BDE" w:rsidRDefault="000F7BDE" w:rsidP="00933EC9">
      <w:r>
        <w:separator/>
      </w:r>
    </w:p>
  </w:footnote>
  <w:footnote w:type="continuationSeparator" w:id="0">
    <w:p w14:paraId="027DA6ED" w14:textId="77777777" w:rsidR="000F7BDE" w:rsidRDefault="000F7BDE" w:rsidP="00933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435905770"/>
      <w:docPartObj>
        <w:docPartGallery w:val="Page Numbers (Top of Page)"/>
        <w:docPartUnique/>
      </w:docPartObj>
    </w:sdtPr>
    <w:sdtContent>
      <w:p w14:paraId="65377389" w14:textId="2364F474" w:rsidR="00933EC9" w:rsidRDefault="00933EC9" w:rsidP="007E5566">
        <w:pPr>
          <w:pStyle w:val="Cabealh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82E9BFD" w14:textId="77777777" w:rsidR="00933EC9" w:rsidRDefault="00933EC9" w:rsidP="00933EC9">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Fonts w:ascii="Century" w:hAnsi="Century"/>
        <w:sz w:val="20"/>
        <w:szCs w:val="20"/>
      </w:rPr>
      <w:id w:val="98689731"/>
      <w:docPartObj>
        <w:docPartGallery w:val="Page Numbers (Top of Page)"/>
        <w:docPartUnique/>
      </w:docPartObj>
    </w:sdtPr>
    <w:sdtContent>
      <w:p w14:paraId="033AB940" w14:textId="61630F7C" w:rsidR="00933EC9" w:rsidRPr="00933EC9" w:rsidRDefault="00933EC9" w:rsidP="005F0F1B">
        <w:pPr>
          <w:pStyle w:val="Cabealho"/>
          <w:framePr w:wrap="none" w:vAnchor="text" w:hAnchor="page" w:x="10537" w:y="-15"/>
          <w:rPr>
            <w:rStyle w:val="Nmerodepgina"/>
            <w:rFonts w:ascii="Century" w:hAnsi="Century"/>
            <w:sz w:val="20"/>
            <w:szCs w:val="20"/>
          </w:rPr>
        </w:pPr>
        <w:r w:rsidRPr="005F0F1B">
          <w:rPr>
            <w:rStyle w:val="Nmerodepgina"/>
            <w:rFonts w:ascii="Century" w:hAnsi="Century"/>
            <w:sz w:val="18"/>
            <w:szCs w:val="18"/>
          </w:rPr>
          <w:fldChar w:fldCharType="begin"/>
        </w:r>
        <w:r w:rsidRPr="005F0F1B">
          <w:rPr>
            <w:rStyle w:val="Nmerodepgina"/>
            <w:rFonts w:ascii="Century" w:hAnsi="Century"/>
            <w:sz w:val="18"/>
            <w:szCs w:val="18"/>
          </w:rPr>
          <w:instrText xml:space="preserve"> PAGE </w:instrText>
        </w:r>
        <w:r w:rsidRPr="005F0F1B">
          <w:rPr>
            <w:rStyle w:val="Nmerodepgina"/>
            <w:rFonts w:ascii="Century" w:hAnsi="Century"/>
            <w:sz w:val="18"/>
            <w:szCs w:val="18"/>
          </w:rPr>
          <w:fldChar w:fldCharType="separate"/>
        </w:r>
        <w:r w:rsidRPr="005F0F1B">
          <w:rPr>
            <w:rStyle w:val="Nmerodepgina"/>
            <w:rFonts w:ascii="Century" w:hAnsi="Century"/>
            <w:noProof/>
            <w:sz w:val="18"/>
            <w:szCs w:val="18"/>
          </w:rPr>
          <w:t>2</w:t>
        </w:r>
        <w:r w:rsidRPr="005F0F1B">
          <w:rPr>
            <w:rStyle w:val="Nmerodepgina"/>
            <w:rFonts w:ascii="Century" w:hAnsi="Century"/>
            <w:sz w:val="18"/>
            <w:szCs w:val="18"/>
          </w:rPr>
          <w:fldChar w:fldCharType="end"/>
        </w:r>
      </w:p>
    </w:sdtContent>
  </w:sdt>
  <w:p w14:paraId="2EEC8DC9" w14:textId="524666EB" w:rsidR="00933EC9" w:rsidRPr="00933EC9" w:rsidRDefault="00933EC9" w:rsidP="00933EC9">
    <w:pPr>
      <w:spacing w:line="264" w:lineRule="auto"/>
      <w:ind w:right="360"/>
      <w:jc w:val="center"/>
      <w:rPr>
        <w:rFonts w:ascii="Century" w:hAnsi="Century" w:cs="Big Caslon Medium"/>
        <w:sz w:val="16"/>
        <w:szCs w:val="16"/>
        <w:lang w:val="en-US"/>
      </w:rPr>
    </w:pPr>
    <w:r w:rsidRPr="00933EC9">
      <w:rPr>
        <w:rFonts w:ascii="Century" w:hAnsi="Century" w:cs="Big Caslon Medium"/>
        <w:sz w:val="16"/>
        <w:szCs w:val="16"/>
        <w:lang w:val="en-US"/>
      </w:rPr>
      <w:t>CLÉMENT LEGRAND, CLOÉ DELLAC, LOUIS BLONDEAU, MARGUERITE AYMON, TIAGO</w:t>
    </w:r>
    <w:r w:rsidR="00915FED">
      <w:rPr>
        <w:rFonts w:ascii="Century" w:hAnsi="Century" w:cs="Big Caslon Medium"/>
        <w:sz w:val="16"/>
        <w:szCs w:val="16"/>
        <w:lang w:val="en-US"/>
      </w:rPr>
      <w:t xml:space="preserve"> B. </w:t>
    </w:r>
    <w:r w:rsidRPr="00933EC9">
      <w:rPr>
        <w:rFonts w:ascii="Century" w:hAnsi="Century" w:cs="Big Caslon Medium"/>
        <w:sz w:val="16"/>
        <w:szCs w:val="16"/>
        <w:lang w:val="en-US"/>
      </w:rPr>
      <w:t>LOPES</w:t>
    </w:r>
  </w:p>
  <w:p w14:paraId="320B76CF" w14:textId="77777777" w:rsidR="00933EC9" w:rsidRDefault="00933E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439B6"/>
    <w:multiLevelType w:val="multilevel"/>
    <w:tmpl w:val="C774653A"/>
    <w:lvl w:ilvl="0">
      <w:start w:val="1"/>
      <w:numFmt w:val="decimal"/>
      <w:lvlText w:val="%1."/>
      <w:lvlJc w:val="left"/>
      <w:pPr>
        <w:ind w:left="720" w:hanging="360"/>
      </w:pPr>
      <w:rPr>
        <w:rFonts w:hint="default"/>
        <w:sz w:val="2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4DF31650"/>
    <w:multiLevelType w:val="multilevel"/>
    <w:tmpl w:val="C774653A"/>
    <w:lvl w:ilvl="0">
      <w:start w:val="1"/>
      <w:numFmt w:val="decimal"/>
      <w:lvlText w:val="%1."/>
      <w:lvlJc w:val="left"/>
      <w:pPr>
        <w:ind w:left="720" w:hanging="360"/>
      </w:pPr>
      <w:rPr>
        <w:rFonts w:hint="default"/>
        <w:sz w:val="2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663C4D3E"/>
    <w:multiLevelType w:val="multilevel"/>
    <w:tmpl w:val="C774653A"/>
    <w:lvl w:ilvl="0">
      <w:start w:val="1"/>
      <w:numFmt w:val="decimal"/>
      <w:lvlText w:val="%1."/>
      <w:lvlJc w:val="left"/>
      <w:pPr>
        <w:ind w:left="720" w:hanging="360"/>
      </w:pPr>
      <w:rPr>
        <w:rFonts w:hint="default"/>
        <w:sz w:val="22"/>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E3002B9"/>
    <w:multiLevelType w:val="hybridMultilevel"/>
    <w:tmpl w:val="3A3C6442"/>
    <w:lvl w:ilvl="0" w:tplc="BE5C526A">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4" w15:restartNumberingAfterBreak="0">
    <w:nsid w:val="7CCE4715"/>
    <w:multiLevelType w:val="multilevel"/>
    <w:tmpl w:val="5772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B5522F"/>
    <w:multiLevelType w:val="hybridMultilevel"/>
    <w:tmpl w:val="43E8B22E"/>
    <w:lvl w:ilvl="0" w:tplc="FD380A9C">
      <w:start w:val="5"/>
      <w:numFmt w:val="decimal"/>
      <w:lvlText w:val="%1."/>
      <w:lvlJc w:val="left"/>
      <w:pPr>
        <w:ind w:left="720" w:hanging="360"/>
      </w:pPr>
      <w:rPr>
        <w:rFonts w:hint="default"/>
        <w:sz w:val="22"/>
        <w:szCs w:val="2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4281985">
    <w:abstractNumId w:val="3"/>
  </w:num>
  <w:num w:numId="2" w16cid:durableId="64618619">
    <w:abstractNumId w:val="2"/>
  </w:num>
  <w:num w:numId="3" w16cid:durableId="1019240330">
    <w:abstractNumId w:val="0"/>
  </w:num>
  <w:num w:numId="4" w16cid:durableId="1057512825">
    <w:abstractNumId w:val="1"/>
  </w:num>
  <w:num w:numId="5" w16cid:durableId="119079719">
    <w:abstractNumId w:val="4"/>
  </w:num>
  <w:num w:numId="6" w16cid:durableId="143308953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ED"/>
    <w:rsid w:val="00005935"/>
    <w:rsid w:val="000153ED"/>
    <w:rsid w:val="000276B5"/>
    <w:rsid w:val="0003421E"/>
    <w:rsid w:val="00043A71"/>
    <w:rsid w:val="00046FBB"/>
    <w:rsid w:val="00056838"/>
    <w:rsid w:val="000606A4"/>
    <w:rsid w:val="00061A1A"/>
    <w:rsid w:val="000657C9"/>
    <w:rsid w:val="000660C3"/>
    <w:rsid w:val="00082CFD"/>
    <w:rsid w:val="00084930"/>
    <w:rsid w:val="0008652B"/>
    <w:rsid w:val="00087CF9"/>
    <w:rsid w:val="000A0148"/>
    <w:rsid w:val="000A1D3E"/>
    <w:rsid w:val="000B6917"/>
    <w:rsid w:val="000C6321"/>
    <w:rsid w:val="000C6555"/>
    <w:rsid w:val="000C69CA"/>
    <w:rsid w:val="000D0FA8"/>
    <w:rsid w:val="000D1A03"/>
    <w:rsid w:val="000D6E60"/>
    <w:rsid w:val="000F74AC"/>
    <w:rsid w:val="000F7BDE"/>
    <w:rsid w:val="00100FEE"/>
    <w:rsid w:val="00101DA0"/>
    <w:rsid w:val="00106819"/>
    <w:rsid w:val="0012529E"/>
    <w:rsid w:val="001310F7"/>
    <w:rsid w:val="00131194"/>
    <w:rsid w:val="00141B7E"/>
    <w:rsid w:val="00151520"/>
    <w:rsid w:val="00155DF2"/>
    <w:rsid w:val="001569F7"/>
    <w:rsid w:val="0016039C"/>
    <w:rsid w:val="0016317F"/>
    <w:rsid w:val="001703B7"/>
    <w:rsid w:val="001802E6"/>
    <w:rsid w:val="00190381"/>
    <w:rsid w:val="001A3954"/>
    <w:rsid w:val="001D3EBB"/>
    <w:rsid w:val="001D6475"/>
    <w:rsid w:val="001E6CB5"/>
    <w:rsid w:val="001F7289"/>
    <w:rsid w:val="00202AC2"/>
    <w:rsid w:val="0020304C"/>
    <w:rsid w:val="00205711"/>
    <w:rsid w:val="00211415"/>
    <w:rsid w:val="00222455"/>
    <w:rsid w:val="00224801"/>
    <w:rsid w:val="00224BBC"/>
    <w:rsid w:val="0023029F"/>
    <w:rsid w:val="00235E00"/>
    <w:rsid w:val="00247F26"/>
    <w:rsid w:val="00253DE2"/>
    <w:rsid w:val="002608CA"/>
    <w:rsid w:val="00261529"/>
    <w:rsid w:val="00261B78"/>
    <w:rsid w:val="0026207B"/>
    <w:rsid w:val="00264E62"/>
    <w:rsid w:val="00267342"/>
    <w:rsid w:val="002738CF"/>
    <w:rsid w:val="00277484"/>
    <w:rsid w:val="002A22B9"/>
    <w:rsid w:val="002A3817"/>
    <w:rsid w:val="002B71A6"/>
    <w:rsid w:val="002B7DE3"/>
    <w:rsid w:val="002C3D78"/>
    <w:rsid w:val="002D10A3"/>
    <w:rsid w:val="002F7900"/>
    <w:rsid w:val="00300E93"/>
    <w:rsid w:val="0030168A"/>
    <w:rsid w:val="00305939"/>
    <w:rsid w:val="0030718C"/>
    <w:rsid w:val="003164E5"/>
    <w:rsid w:val="00320D7D"/>
    <w:rsid w:val="003262F5"/>
    <w:rsid w:val="003270CA"/>
    <w:rsid w:val="00330F3E"/>
    <w:rsid w:val="00335281"/>
    <w:rsid w:val="00351031"/>
    <w:rsid w:val="0035158B"/>
    <w:rsid w:val="00352965"/>
    <w:rsid w:val="00357094"/>
    <w:rsid w:val="00361272"/>
    <w:rsid w:val="003630EB"/>
    <w:rsid w:val="00365C66"/>
    <w:rsid w:val="0036785F"/>
    <w:rsid w:val="00367A5F"/>
    <w:rsid w:val="00373025"/>
    <w:rsid w:val="00377ED0"/>
    <w:rsid w:val="003829BD"/>
    <w:rsid w:val="00385C77"/>
    <w:rsid w:val="00394098"/>
    <w:rsid w:val="0039460C"/>
    <w:rsid w:val="00396DFE"/>
    <w:rsid w:val="003A51F5"/>
    <w:rsid w:val="003A6DD7"/>
    <w:rsid w:val="003B18D0"/>
    <w:rsid w:val="003B234B"/>
    <w:rsid w:val="003B6DEC"/>
    <w:rsid w:val="003C0269"/>
    <w:rsid w:val="003C282A"/>
    <w:rsid w:val="003C3C18"/>
    <w:rsid w:val="003C5EF0"/>
    <w:rsid w:val="003C6156"/>
    <w:rsid w:val="003C7BB5"/>
    <w:rsid w:val="003D43C6"/>
    <w:rsid w:val="003F4D8E"/>
    <w:rsid w:val="00406D25"/>
    <w:rsid w:val="0041271D"/>
    <w:rsid w:val="00412F5E"/>
    <w:rsid w:val="00417CDD"/>
    <w:rsid w:val="00421A22"/>
    <w:rsid w:val="00427BDB"/>
    <w:rsid w:val="0047210E"/>
    <w:rsid w:val="004774FE"/>
    <w:rsid w:val="00484F90"/>
    <w:rsid w:val="00486DFC"/>
    <w:rsid w:val="00487875"/>
    <w:rsid w:val="00492ED3"/>
    <w:rsid w:val="00495E5B"/>
    <w:rsid w:val="0049791E"/>
    <w:rsid w:val="004B7C5C"/>
    <w:rsid w:val="004C3CB7"/>
    <w:rsid w:val="004C76FB"/>
    <w:rsid w:val="004C7905"/>
    <w:rsid w:val="004D2907"/>
    <w:rsid w:val="004D2AFD"/>
    <w:rsid w:val="004E1388"/>
    <w:rsid w:val="004E4A30"/>
    <w:rsid w:val="004F0336"/>
    <w:rsid w:val="004F3F21"/>
    <w:rsid w:val="004F4428"/>
    <w:rsid w:val="005008A5"/>
    <w:rsid w:val="00502E9F"/>
    <w:rsid w:val="00511F71"/>
    <w:rsid w:val="00512664"/>
    <w:rsid w:val="00517D52"/>
    <w:rsid w:val="005304C0"/>
    <w:rsid w:val="00531708"/>
    <w:rsid w:val="00532C05"/>
    <w:rsid w:val="005369F8"/>
    <w:rsid w:val="00536B7B"/>
    <w:rsid w:val="00536E82"/>
    <w:rsid w:val="00573925"/>
    <w:rsid w:val="00574848"/>
    <w:rsid w:val="00586515"/>
    <w:rsid w:val="00591AF8"/>
    <w:rsid w:val="00595283"/>
    <w:rsid w:val="005962E9"/>
    <w:rsid w:val="005978B4"/>
    <w:rsid w:val="005B1F35"/>
    <w:rsid w:val="005B3AAA"/>
    <w:rsid w:val="005D1AD0"/>
    <w:rsid w:val="005D2984"/>
    <w:rsid w:val="005D4107"/>
    <w:rsid w:val="005E4DDB"/>
    <w:rsid w:val="005E74AC"/>
    <w:rsid w:val="005F0F1B"/>
    <w:rsid w:val="006006A2"/>
    <w:rsid w:val="006042A2"/>
    <w:rsid w:val="00604923"/>
    <w:rsid w:val="00617CE0"/>
    <w:rsid w:val="00632153"/>
    <w:rsid w:val="00633586"/>
    <w:rsid w:val="006353D6"/>
    <w:rsid w:val="00637F12"/>
    <w:rsid w:val="00642F98"/>
    <w:rsid w:val="0064570C"/>
    <w:rsid w:val="00645EE5"/>
    <w:rsid w:val="006574E2"/>
    <w:rsid w:val="00660755"/>
    <w:rsid w:val="0066634F"/>
    <w:rsid w:val="00690F22"/>
    <w:rsid w:val="006912BC"/>
    <w:rsid w:val="006920EB"/>
    <w:rsid w:val="006964EF"/>
    <w:rsid w:val="006A0619"/>
    <w:rsid w:val="006A6EC1"/>
    <w:rsid w:val="006A728C"/>
    <w:rsid w:val="006C4FD7"/>
    <w:rsid w:val="006C62BF"/>
    <w:rsid w:val="006D2B7E"/>
    <w:rsid w:val="006D2CF9"/>
    <w:rsid w:val="006E0B1A"/>
    <w:rsid w:val="006E271B"/>
    <w:rsid w:val="006E739E"/>
    <w:rsid w:val="00710ACE"/>
    <w:rsid w:val="00711062"/>
    <w:rsid w:val="00711BCD"/>
    <w:rsid w:val="007210CC"/>
    <w:rsid w:val="007228EF"/>
    <w:rsid w:val="00726DB7"/>
    <w:rsid w:val="00735D82"/>
    <w:rsid w:val="0074441E"/>
    <w:rsid w:val="007625D1"/>
    <w:rsid w:val="00763710"/>
    <w:rsid w:val="0076539A"/>
    <w:rsid w:val="00766435"/>
    <w:rsid w:val="00777454"/>
    <w:rsid w:val="007778B4"/>
    <w:rsid w:val="00782502"/>
    <w:rsid w:val="00783BF5"/>
    <w:rsid w:val="00784F47"/>
    <w:rsid w:val="00785182"/>
    <w:rsid w:val="00791736"/>
    <w:rsid w:val="007A0036"/>
    <w:rsid w:val="007A7F31"/>
    <w:rsid w:val="007C0371"/>
    <w:rsid w:val="007C6235"/>
    <w:rsid w:val="007D0342"/>
    <w:rsid w:val="007D5DFC"/>
    <w:rsid w:val="007E4732"/>
    <w:rsid w:val="007F0DE9"/>
    <w:rsid w:val="007F73D4"/>
    <w:rsid w:val="007F7EB4"/>
    <w:rsid w:val="00801B7F"/>
    <w:rsid w:val="0081548B"/>
    <w:rsid w:val="00822131"/>
    <w:rsid w:val="00834EA4"/>
    <w:rsid w:val="00840C7B"/>
    <w:rsid w:val="00843F87"/>
    <w:rsid w:val="00846194"/>
    <w:rsid w:val="00847ABC"/>
    <w:rsid w:val="00860E3F"/>
    <w:rsid w:val="00860E87"/>
    <w:rsid w:val="0086402C"/>
    <w:rsid w:val="0087038F"/>
    <w:rsid w:val="008708D0"/>
    <w:rsid w:val="00884331"/>
    <w:rsid w:val="00884603"/>
    <w:rsid w:val="00884DE4"/>
    <w:rsid w:val="00892269"/>
    <w:rsid w:val="008A48C6"/>
    <w:rsid w:val="008B517D"/>
    <w:rsid w:val="008C644C"/>
    <w:rsid w:val="008D3AA2"/>
    <w:rsid w:val="008D5431"/>
    <w:rsid w:val="008E074F"/>
    <w:rsid w:val="008E740F"/>
    <w:rsid w:val="008F696E"/>
    <w:rsid w:val="009030FF"/>
    <w:rsid w:val="00905B57"/>
    <w:rsid w:val="009068C5"/>
    <w:rsid w:val="00910441"/>
    <w:rsid w:val="00910FB3"/>
    <w:rsid w:val="00915FED"/>
    <w:rsid w:val="00930298"/>
    <w:rsid w:val="00930F01"/>
    <w:rsid w:val="0093294C"/>
    <w:rsid w:val="00933EC9"/>
    <w:rsid w:val="009637AB"/>
    <w:rsid w:val="00965A84"/>
    <w:rsid w:val="00972139"/>
    <w:rsid w:val="00982B84"/>
    <w:rsid w:val="00986A7D"/>
    <w:rsid w:val="0099297B"/>
    <w:rsid w:val="009B232F"/>
    <w:rsid w:val="009B31BE"/>
    <w:rsid w:val="009B57EB"/>
    <w:rsid w:val="009C7696"/>
    <w:rsid w:val="009D0867"/>
    <w:rsid w:val="009D1C42"/>
    <w:rsid w:val="009D493F"/>
    <w:rsid w:val="009E0CC3"/>
    <w:rsid w:val="009E1957"/>
    <w:rsid w:val="009F4583"/>
    <w:rsid w:val="00A1112B"/>
    <w:rsid w:val="00A24170"/>
    <w:rsid w:val="00A27951"/>
    <w:rsid w:val="00A32FE7"/>
    <w:rsid w:val="00A3682F"/>
    <w:rsid w:val="00A37E07"/>
    <w:rsid w:val="00A43FC9"/>
    <w:rsid w:val="00A4464A"/>
    <w:rsid w:val="00A467DE"/>
    <w:rsid w:val="00A60701"/>
    <w:rsid w:val="00A638FE"/>
    <w:rsid w:val="00A65256"/>
    <w:rsid w:val="00A66F6B"/>
    <w:rsid w:val="00A716AF"/>
    <w:rsid w:val="00A77831"/>
    <w:rsid w:val="00A81BDA"/>
    <w:rsid w:val="00A83F10"/>
    <w:rsid w:val="00A84DF4"/>
    <w:rsid w:val="00A858B8"/>
    <w:rsid w:val="00A90B48"/>
    <w:rsid w:val="00A9332D"/>
    <w:rsid w:val="00AA1AEF"/>
    <w:rsid w:val="00AB2309"/>
    <w:rsid w:val="00AC3704"/>
    <w:rsid w:val="00AC4DCE"/>
    <w:rsid w:val="00AC4E2B"/>
    <w:rsid w:val="00AD161C"/>
    <w:rsid w:val="00AF2699"/>
    <w:rsid w:val="00AF54A4"/>
    <w:rsid w:val="00B038C1"/>
    <w:rsid w:val="00B04AE7"/>
    <w:rsid w:val="00B04F3F"/>
    <w:rsid w:val="00B1710D"/>
    <w:rsid w:val="00B20EF9"/>
    <w:rsid w:val="00B23272"/>
    <w:rsid w:val="00B24800"/>
    <w:rsid w:val="00B46678"/>
    <w:rsid w:val="00B5080F"/>
    <w:rsid w:val="00B620B2"/>
    <w:rsid w:val="00B62426"/>
    <w:rsid w:val="00B7621B"/>
    <w:rsid w:val="00B764CA"/>
    <w:rsid w:val="00B76A58"/>
    <w:rsid w:val="00B771FA"/>
    <w:rsid w:val="00B93403"/>
    <w:rsid w:val="00B94162"/>
    <w:rsid w:val="00BA64ED"/>
    <w:rsid w:val="00BB1A16"/>
    <w:rsid w:val="00BB40D1"/>
    <w:rsid w:val="00BE431E"/>
    <w:rsid w:val="00C014C6"/>
    <w:rsid w:val="00C14FFA"/>
    <w:rsid w:val="00C23E9F"/>
    <w:rsid w:val="00C27A77"/>
    <w:rsid w:val="00C3304D"/>
    <w:rsid w:val="00C41480"/>
    <w:rsid w:val="00C417F0"/>
    <w:rsid w:val="00C469F8"/>
    <w:rsid w:val="00C53710"/>
    <w:rsid w:val="00C569CA"/>
    <w:rsid w:val="00C57F90"/>
    <w:rsid w:val="00C700A8"/>
    <w:rsid w:val="00C70C0C"/>
    <w:rsid w:val="00C80F05"/>
    <w:rsid w:val="00C901D2"/>
    <w:rsid w:val="00C95180"/>
    <w:rsid w:val="00CA4573"/>
    <w:rsid w:val="00CB08CC"/>
    <w:rsid w:val="00CB6D92"/>
    <w:rsid w:val="00CC0A30"/>
    <w:rsid w:val="00CD387A"/>
    <w:rsid w:val="00CF1E2D"/>
    <w:rsid w:val="00CF2BC1"/>
    <w:rsid w:val="00D04648"/>
    <w:rsid w:val="00D11C44"/>
    <w:rsid w:val="00D21CA1"/>
    <w:rsid w:val="00D25819"/>
    <w:rsid w:val="00D25CEE"/>
    <w:rsid w:val="00D440B9"/>
    <w:rsid w:val="00D45C3D"/>
    <w:rsid w:val="00D507B9"/>
    <w:rsid w:val="00D714EC"/>
    <w:rsid w:val="00D72915"/>
    <w:rsid w:val="00D77EBA"/>
    <w:rsid w:val="00D85924"/>
    <w:rsid w:val="00DB0C49"/>
    <w:rsid w:val="00DB1248"/>
    <w:rsid w:val="00DC07BB"/>
    <w:rsid w:val="00DC73D9"/>
    <w:rsid w:val="00DD10AD"/>
    <w:rsid w:val="00DD23EB"/>
    <w:rsid w:val="00DD2511"/>
    <w:rsid w:val="00DD3F2B"/>
    <w:rsid w:val="00DD6EE1"/>
    <w:rsid w:val="00DE1564"/>
    <w:rsid w:val="00DE1617"/>
    <w:rsid w:val="00DE6FCC"/>
    <w:rsid w:val="00DF7594"/>
    <w:rsid w:val="00E006F6"/>
    <w:rsid w:val="00E02639"/>
    <w:rsid w:val="00E15641"/>
    <w:rsid w:val="00E33DF3"/>
    <w:rsid w:val="00E34852"/>
    <w:rsid w:val="00E42FA9"/>
    <w:rsid w:val="00E45F67"/>
    <w:rsid w:val="00E46E69"/>
    <w:rsid w:val="00E504C6"/>
    <w:rsid w:val="00E67A1D"/>
    <w:rsid w:val="00E738AD"/>
    <w:rsid w:val="00E8211E"/>
    <w:rsid w:val="00E8750B"/>
    <w:rsid w:val="00E908FA"/>
    <w:rsid w:val="00E91543"/>
    <w:rsid w:val="00E92837"/>
    <w:rsid w:val="00E92F38"/>
    <w:rsid w:val="00EA6F63"/>
    <w:rsid w:val="00EB376E"/>
    <w:rsid w:val="00ED3015"/>
    <w:rsid w:val="00EE10AE"/>
    <w:rsid w:val="00EE148C"/>
    <w:rsid w:val="00EE151F"/>
    <w:rsid w:val="00EE74BB"/>
    <w:rsid w:val="00EF22C7"/>
    <w:rsid w:val="00EF4BF8"/>
    <w:rsid w:val="00EF5094"/>
    <w:rsid w:val="00EF5FEA"/>
    <w:rsid w:val="00EF64E3"/>
    <w:rsid w:val="00F013AD"/>
    <w:rsid w:val="00F025D4"/>
    <w:rsid w:val="00F043B6"/>
    <w:rsid w:val="00F06B09"/>
    <w:rsid w:val="00F147FA"/>
    <w:rsid w:val="00F405F5"/>
    <w:rsid w:val="00F414EA"/>
    <w:rsid w:val="00F57A0A"/>
    <w:rsid w:val="00F63896"/>
    <w:rsid w:val="00F655C8"/>
    <w:rsid w:val="00F65EA3"/>
    <w:rsid w:val="00F70213"/>
    <w:rsid w:val="00F7050B"/>
    <w:rsid w:val="00F779B4"/>
    <w:rsid w:val="00F8130C"/>
    <w:rsid w:val="00F81795"/>
    <w:rsid w:val="00F82154"/>
    <w:rsid w:val="00F900D2"/>
    <w:rsid w:val="00F92FF3"/>
    <w:rsid w:val="00FA093E"/>
    <w:rsid w:val="00FA5027"/>
    <w:rsid w:val="00FA72EB"/>
    <w:rsid w:val="00FA7A81"/>
    <w:rsid w:val="00FB363F"/>
    <w:rsid w:val="00FB6365"/>
    <w:rsid w:val="00FB7D9D"/>
    <w:rsid w:val="00FC0314"/>
    <w:rsid w:val="00FC485B"/>
    <w:rsid w:val="00FD1E02"/>
    <w:rsid w:val="00FD2D8B"/>
    <w:rsid w:val="00FF594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65AB2"/>
  <w15:chartTrackingRefBased/>
  <w15:docId w15:val="{2450B609-96CB-A643-A21B-ABC78EB94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4EF"/>
    <w:pPr>
      <w:spacing w:after="0" w:line="240" w:lineRule="auto"/>
    </w:pPr>
    <w:rPr>
      <w:rFonts w:ascii="Times New Roman" w:eastAsia="Times New Roman" w:hAnsi="Times New Roman" w:cs="Times New Roman"/>
      <w:kern w:val="0"/>
      <w:lang w:eastAsia="pt-PT"/>
      <w14:ligatures w14:val="none"/>
    </w:rPr>
  </w:style>
  <w:style w:type="paragraph" w:styleId="Ttulo1">
    <w:name w:val="heading 1"/>
    <w:basedOn w:val="Normal"/>
    <w:next w:val="Normal"/>
    <w:link w:val="Ttulo1Carter"/>
    <w:uiPriority w:val="9"/>
    <w:qFormat/>
    <w:rsid w:val="0001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01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153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153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153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153E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153E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153E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153ED"/>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153E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0153E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153E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153E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153E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153E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153E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153E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153ED"/>
    <w:rPr>
      <w:rFonts w:eastAsiaTheme="majorEastAsia" w:cstheme="majorBidi"/>
      <w:color w:val="272727" w:themeColor="text1" w:themeTint="D8"/>
    </w:rPr>
  </w:style>
  <w:style w:type="paragraph" w:styleId="Ttulo">
    <w:name w:val="Title"/>
    <w:basedOn w:val="Normal"/>
    <w:next w:val="Normal"/>
    <w:link w:val="TtuloCarter"/>
    <w:uiPriority w:val="10"/>
    <w:qFormat/>
    <w:rsid w:val="000153ED"/>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153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153E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153E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153E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153ED"/>
    <w:rPr>
      <w:i/>
      <w:iCs/>
      <w:color w:val="404040" w:themeColor="text1" w:themeTint="BF"/>
    </w:rPr>
  </w:style>
  <w:style w:type="paragraph" w:styleId="PargrafodaLista">
    <w:name w:val="List Paragraph"/>
    <w:basedOn w:val="Normal"/>
    <w:uiPriority w:val="34"/>
    <w:qFormat/>
    <w:rsid w:val="000153ED"/>
    <w:pPr>
      <w:ind w:left="720"/>
      <w:contextualSpacing/>
    </w:pPr>
  </w:style>
  <w:style w:type="character" w:styleId="nfaseIntensa">
    <w:name w:val="Intense Emphasis"/>
    <w:basedOn w:val="Tipodeletrapredefinidodopargrafo"/>
    <w:uiPriority w:val="21"/>
    <w:qFormat/>
    <w:rsid w:val="000153ED"/>
    <w:rPr>
      <w:i/>
      <w:iCs/>
      <w:color w:val="0F4761" w:themeColor="accent1" w:themeShade="BF"/>
    </w:rPr>
  </w:style>
  <w:style w:type="paragraph" w:styleId="CitaoIntensa">
    <w:name w:val="Intense Quote"/>
    <w:basedOn w:val="Normal"/>
    <w:next w:val="Normal"/>
    <w:link w:val="CitaoIntensaCarter"/>
    <w:uiPriority w:val="30"/>
    <w:qFormat/>
    <w:rsid w:val="0001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153ED"/>
    <w:rPr>
      <w:i/>
      <w:iCs/>
      <w:color w:val="0F4761" w:themeColor="accent1" w:themeShade="BF"/>
    </w:rPr>
  </w:style>
  <w:style w:type="character" w:styleId="RefernciaIntensa">
    <w:name w:val="Intense Reference"/>
    <w:basedOn w:val="Tipodeletrapredefinidodopargrafo"/>
    <w:uiPriority w:val="32"/>
    <w:qFormat/>
    <w:rsid w:val="000153ED"/>
    <w:rPr>
      <w:b/>
      <w:bCs/>
      <w:smallCaps/>
      <w:color w:val="0F4761" w:themeColor="accent1" w:themeShade="BF"/>
      <w:spacing w:val="5"/>
    </w:rPr>
  </w:style>
  <w:style w:type="paragraph" w:styleId="Cabealho">
    <w:name w:val="header"/>
    <w:basedOn w:val="Normal"/>
    <w:link w:val="CabealhoCarter"/>
    <w:uiPriority w:val="99"/>
    <w:unhideWhenUsed/>
    <w:rsid w:val="00933EC9"/>
    <w:pPr>
      <w:tabs>
        <w:tab w:val="center" w:pos="4252"/>
        <w:tab w:val="right" w:pos="8504"/>
      </w:tabs>
    </w:pPr>
  </w:style>
  <w:style w:type="character" w:customStyle="1" w:styleId="CabealhoCarter">
    <w:name w:val="Cabeçalho Caráter"/>
    <w:basedOn w:val="Tipodeletrapredefinidodopargrafo"/>
    <w:link w:val="Cabealho"/>
    <w:uiPriority w:val="99"/>
    <w:rsid w:val="00933EC9"/>
  </w:style>
  <w:style w:type="paragraph" w:styleId="Rodap">
    <w:name w:val="footer"/>
    <w:basedOn w:val="Normal"/>
    <w:link w:val="RodapCarter"/>
    <w:uiPriority w:val="99"/>
    <w:unhideWhenUsed/>
    <w:rsid w:val="00933EC9"/>
    <w:pPr>
      <w:tabs>
        <w:tab w:val="center" w:pos="4252"/>
        <w:tab w:val="right" w:pos="8504"/>
      </w:tabs>
    </w:pPr>
  </w:style>
  <w:style w:type="character" w:customStyle="1" w:styleId="RodapCarter">
    <w:name w:val="Rodapé Caráter"/>
    <w:basedOn w:val="Tipodeletrapredefinidodopargrafo"/>
    <w:link w:val="Rodap"/>
    <w:uiPriority w:val="99"/>
    <w:rsid w:val="00933EC9"/>
  </w:style>
  <w:style w:type="character" w:styleId="Nmerodepgina">
    <w:name w:val="page number"/>
    <w:basedOn w:val="Tipodeletrapredefinidodopargrafo"/>
    <w:uiPriority w:val="99"/>
    <w:semiHidden/>
    <w:unhideWhenUsed/>
    <w:rsid w:val="00933EC9"/>
  </w:style>
  <w:style w:type="paragraph" w:styleId="NormalWeb">
    <w:name w:val="Normal (Web)"/>
    <w:basedOn w:val="Normal"/>
    <w:uiPriority w:val="99"/>
    <w:semiHidden/>
    <w:unhideWhenUsed/>
    <w:rsid w:val="006964EF"/>
    <w:pPr>
      <w:spacing w:before="100" w:beforeAutospacing="1" w:after="100" w:afterAutospacing="1"/>
    </w:pPr>
  </w:style>
  <w:style w:type="character" w:styleId="Hiperligao">
    <w:name w:val="Hyperlink"/>
    <w:basedOn w:val="Tipodeletrapredefinidodopargrafo"/>
    <w:uiPriority w:val="99"/>
    <w:unhideWhenUsed/>
    <w:rsid w:val="00DB1248"/>
    <w:rPr>
      <w:color w:val="0000FF"/>
      <w:u w:val="single"/>
    </w:rPr>
  </w:style>
  <w:style w:type="character" w:styleId="nfase">
    <w:name w:val="Emphasis"/>
    <w:basedOn w:val="Tipodeletrapredefinidodopargrafo"/>
    <w:uiPriority w:val="20"/>
    <w:qFormat/>
    <w:rsid w:val="00784F47"/>
    <w:rPr>
      <w:i/>
      <w:iCs/>
    </w:rPr>
  </w:style>
  <w:style w:type="character" w:customStyle="1" w:styleId="nmq1me">
    <w:name w:val="nmq1me"/>
    <w:basedOn w:val="Tipodeletrapredefinidodopargrafo"/>
    <w:rsid w:val="00784F47"/>
  </w:style>
  <w:style w:type="character" w:styleId="Hiperligaovisitada">
    <w:name w:val="FollowedHyperlink"/>
    <w:basedOn w:val="Tipodeletrapredefinidodopargrafo"/>
    <w:uiPriority w:val="99"/>
    <w:semiHidden/>
    <w:unhideWhenUsed/>
    <w:rsid w:val="00B620B2"/>
    <w:rPr>
      <w:color w:val="96607D" w:themeColor="followedHyperlink"/>
      <w:u w:val="single"/>
    </w:rPr>
  </w:style>
  <w:style w:type="character" w:styleId="MenoNoResolvida">
    <w:name w:val="Unresolved Mention"/>
    <w:basedOn w:val="Tipodeletrapredefinidodopargrafo"/>
    <w:uiPriority w:val="99"/>
    <w:semiHidden/>
    <w:unhideWhenUsed/>
    <w:rsid w:val="00B771FA"/>
    <w:rPr>
      <w:color w:val="605E5C"/>
      <w:shd w:val="clear" w:color="auto" w:fill="E1DFDD"/>
    </w:rPr>
  </w:style>
  <w:style w:type="table" w:styleId="TabelaSimples5">
    <w:name w:val="Plain Table 5"/>
    <w:basedOn w:val="Tabelanormal"/>
    <w:uiPriority w:val="45"/>
    <w:rsid w:val="00FA7A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implesTabela3">
    <w:name w:val="Plain Table 3"/>
    <w:basedOn w:val="Tabelanormal"/>
    <w:uiPriority w:val="43"/>
    <w:rsid w:val="00FA7A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FA7A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1">
    <w:name w:val="Plain Table 1"/>
    <w:basedOn w:val="Tabelanormal"/>
    <w:uiPriority w:val="41"/>
    <w:rsid w:val="00FA7A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FA7A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
    <w:name w:val="Table"/>
    <w:semiHidden/>
    <w:unhideWhenUsed/>
    <w:qFormat/>
    <w:rsid w:val="00E91543"/>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TabelacomGrelhaClara">
    <w:name w:val="Grid Table Light"/>
    <w:basedOn w:val="Tabelanormal"/>
    <w:uiPriority w:val="40"/>
    <w:rsid w:val="00E915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elha1Clara">
    <w:name w:val="Grid Table 1 Light"/>
    <w:basedOn w:val="Tabelanormal"/>
    <w:uiPriority w:val="46"/>
    <w:rsid w:val="00E915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39"/>
    <w:rsid w:val="00A93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rds-www.wharton.upenn.ed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mba.tuck.dartmouth.edu/pages/faculty/ken.french/data_library.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D4446-C07A-6045-A83F-11449DB79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5548</Words>
  <Characters>29960</Characters>
  <Application>Microsoft Office Word</Application>
  <DocSecurity>0</DocSecurity>
  <Lines>249</Lines>
  <Paragraphs>70</Paragraphs>
  <ScaleCrop>false</ScaleCrop>
  <Company/>
  <LinksUpToDate>false</LinksUpToDate>
  <CharactersWithSpaces>35438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Frazão Botelho Baptista Lopes</dc:creator>
  <cp:keywords/>
  <dc:description/>
  <cp:lastModifiedBy>Tiago Frazão Botelho Baptista Lopes</cp:lastModifiedBy>
  <cp:revision>5</cp:revision>
  <cp:lastPrinted>2026-09-29T15:09:00Z</cp:lastPrinted>
  <dcterms:created xsi:type="dcterms:W3CDTF">2026-09-29T15:09:00Z</dcterms:created>
  <dcterms:modified xsi:type="dcterms:W3CDTF">2026-09-29T15:12:00Z</dcterms:modified>
</cp:coreProperties>
</file>