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F11825" w14:textId="2018D982" w:rsidR="00E8750B" w:rsidRPr="00F414EA" w:rsidRDefault="00E8750B"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GENERATIVE AI AND FIRM VALUES – A TESTED SUMMARY</w:t>
      </w:r>
    </w:p>
    <w:p w14:paraId="317D69E1" w14:textId="204A3128" w:rsidR="00E8750B" w:rsidRPr="00F414EA" w:rsidRDefault="00267342" w:rsidP="00930F01">
      <w:pPr>
        <w:spacing w:before="240" w:after="240" w:line="360" w:lineRule="auto"/>
        <w:jc w:val="center"/>
        <w:rPr>
          <w:rFonts w:ascii="Century" w:hAnsi="Century" w:cs="Big Caslon Medium"/>
          <w:sz w:val="21"/>
          <w:szCs w:val="21"/>
          <w:lang w:val="en-US"/>
        </w:rPr>
      </w:pPr>
      <w:r>
        <w:rPr>
          <w:rFonts w:ascii="Century" w:hAnsi="Century" w:cs="Big Caslon Medium"/>
          <w:sz w:val="21"/>
          <w:szCs w:val="21"/>
          <w:lang w:val="en-US"/>
        </w:rPr>
        <w:t>Group 10</w:t>
      </w:r>
    </w:p>
    <w:p w14:paraId="72C6BDCC" w14:textId="0BA9BE2A" w:rsidR="005E74AC" w:rsidRPr="00F414EA" w:rsidRDefault="005E74AC"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 xml:space="preserve">Clément Legrand, Cloé Dellac, Louis Blondeau, Marguerite Aymon, Tiago </w:t>
      </w:r>
      <w:r w:rsidR="00F57A0A" w:rsidRPr="00F414EA">
        <w:rPr>
          <w:rFonts w:ascii="Century" w:hAnsi="Century" w:cs="Big Caslon Medium"/>
          <w:sz w:val="21"/>
          <w:szCs w:val="21"/>
          <w:lang w:val="en-US"/>
        </w:rPr>
        <w:t xml:space="preserve">Baptista </w:t>
      </w:r>
      <w:r w:rsidRPr="00F414EA">
        <w:rPr>
          <w:rFonts w:ascii="Century" w:hAnsi="Century" w:cs="Big Caslon Medium"/>
          <w:sz w:val="21"/>
          <w:szCs w:val="21"/>
          <w:lang w:val="en-US"/>
        </w:rPr>
        <w:t>Lopes</w:t>
      </w:r>
    </w:p>
    <w:p w14:paraId="5A959DF3" w14:textId="254B745B" w:rsidR="00492ED3" w:rsidRPr="00F414EA" w:rsidRDefault="006A728C" w:rsidP="00264E62">
      <w:pPr>
        <w:spacing w:before="240" w:line="264" w:lineRule="auto"/>
        <w:ind w:firstLine="708"/>
        <w:rPr>
          <w:rFonts w:ascii="Century" w:hAnsi="Century" w:cs="Big Caslon Medium"/>
          <w:sz w:val="20"/>
          <w:szCs w:val="20"/>
          <w:lang w:val="en-US"/>
        </w:rPr>
      </w:pP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83909</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Pr="00F414EA">
        <w:rPr>
          <w:rFonts w:ascii="Century" w:hAnsi="Century" w:cs="Big Caslon Medium"/>
          <w:sz w:val="20"/>
          <w:szCs w:val="20"/>
          <w:lang w:val="en-US"/>
        </w:rPr>
        <w:tab/>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79655</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83928</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83927</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 xml:space="preserve"> </w:t>
      </w:r>
      <w:r w:rsidRPr="00F414EA">
        <w:rPr>
          <w:rFonts w:ascii="Century" w:hAnsi="Century" w:cs="Big Caslon Medium"/>
          <w:sz w:val="20"/>
          <w:szCs w:val="20"/>
          <w:lang w:val="en-US"/>
        </w:rPr>
        <w:t xml:space="preserve">    </w:t>
      </w:r>
      <w:r w:rsidR="00EF5094"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62466</w:t>
      </w:r>
      <w:r w:rsidR="00E33DF3" w:rsidRPr="00F414EA">
        <w:rPr>
          <w:rFonts w:ascii="Century" w:hAnsi="Century" w:cs="Big Caslon Medium"/>
          <w:sz w:val="20"/>
          <w:szCs w:val="20"/>
          <w:lang w:val="en-US"/>
        </w:rPr>
        <w:t>)</w:t>
      </w:r>
    </w:p>
    <w:p w14:paraId="7C949F0A" w14:textId="77777777" w:rsidR="00224801" w:rsidRPr="00F414EA" w:rsidRDefault="00224801" w:rsidP="00763710">
      <w:pPr>
        <w:spacing w:line="264" w:lineRule="auto"/>
        <w:rPr>
          <w:rFonts w:ascii="Century" w:hAnsi="Century" w:cs="Big Caslon Medium"/>
          <w:lang w:val="en-US"/>
        </w:rPr>
      </w:pPr>
    </w:p>
    <w:p w14:paraId="0FB05C40" w14:textId="692B571E" w:rsidR="00F63896" w:rsidRPr="00F414EA" w:rsidRDefault="005E74AC" w:rsidP="00264E62">
      <w:pPr>
        <w:spacing w:line="264" w:lineRule="auto"/>
        <w:jc w:val="center"/>
        <w:rPr>
          <w:rFonts w:ascii="Century" w:hAnsi="Century" w:cs="Big Caslon Medium"/>
          <w:sz w:val="13"/>
          <w:szCs w:val="13"/>
          <w:lang w:val="en-US"/>
        </w:rPr>
      </w:pPr>
      <w:r w:rsidRPr="00F414EA">
        <w:rPr>
          <w:rFonts w:ascii="Century" w:hAnsi="Century" w:cs="Big Caslon Medium"/>
          <w:sz w:val="16"/>
          <w:szCs w:val="16"/>
          <w:lang w:val="en-US"/>
        </w:rPr>
        <w:t xml:space="preserve">Research Methods for Finance, </w:t>
      </w:r>
      <w:r w:rsidRPr="00F414EA">
        <w:rPr>
          <w:rFonts w:ascii="Century" w:hAnsi="Century" w:cs="Big Caslon Medium"/>
          <w:sz w:val="13"/>
          <w:szCs w:val="13"/>
          <w:lang w:val="en-US"/>
        </w:rPr>
        <w:t>NOVA SBE</w:t>
      </w:r>
    </w:p>
    <w:p w14:paraId="1CA678F8" w14:textId="77777777" w:rsidR="00377ED0" w:rsidRPr="00F414EA" w:rsidRDefault="00377ED0" w:rsidP="00377ED0">
      <w:pPr>
        <w:spacing w:line="264" w:lineRule="auto"/>
        <w:jc w:val="center"/>
        <w:rPr>
          <w:rFonts w:ascii="Century" w:hAnsi="Century" w:cs="Big Caslon Medium"/>
          <w:sz w:val="13"/>
          <w:szCs w:val="13"/>
          <w:lang w:val="en-US"/>
        </w:rPr>
      </w:pPr>
    </w:p>
    <w:p w14:paraId="48386B55" w14:textId="77777777" w:rsidR="005E74AC" w:rsidRPr="00F414EA" w:rsidRDefault="005E74AC" w:rsidP="005E74AC">
      <w:pPr>
        <w:spacing w:line="264" w:lineRule="auto"/>
        <w:rPr>
          <w:rFonts w:ascii="Century" w:hAnsi="Century" w:cs="Big Caslon Medium"/>
          <w:sz w:val="16"/>
          <w:szCs w:val="16"/>
          <w:lang w:val="en-US"/>
        </w:rPr>
      </w:pPr>
    </w:p>
    <w:p w14:paraId="377A750B" w14:textId="72E74DF0" w:rsidR="005E74AC" w:rsidRPr="00F414EA" w:rsidRDefault="005E74AC" w:rsidP="008E074F">
      <w:pPr>
        <w:spacing w:line="360" w:lineRule="auto"/>
        <w:jc w:val="both"/>
        <w:rPr>
          <w:rFonts w:ascii="Century" w:hAnsi="Century" w:cs="Big Caslon Medium"/>
          <w:sz w:val="22"/>
          <w:szCs w:val="22"/>
          <w:lang w:val="en-US"/>
        </w:rPr>
      </w:pPr>
      <w:r w:rsidRPr="00F414EA">
        <w:rPr>
          <w:rFonts w:ascii="Century" w:hAnsi="Century" w:cs="Big Caslon Medium"/>
          <w:sz w:val="16"/>
          <w:szCs w:val="16"/>
          <w:lang w:val="en-US"/>
        </w:rPr>
        <w:t xml:space="preserve">ABSTRACT. </w:t>
      </w:r>
      <w:r w:rsidRPr="00F414EA">
        <w:rPr>
          <w:rFonts w:ascii="Century" w:hAnsi="Century" w:cs="Big Caslon Medium"/>
          <w:sz w:val="22"/>
          <w:szCs w:val="22"/>
          <w:lang w:val="en-US"/>
        </w:rPr>
        <w:t xml:space="preserve">We follow the </w:t>
      </w:r>
      <w:r w:rsidR="00A1112B" w:rsidRPr="00F414EA">
        <w:rPr>
          <w:rFonts w:ascii="Century" w:hAnsi="Century" w:cs="Big Caslon Medium"/>
          <w:sz w:val="22"/>
          <w:szCs w:val="22"/>
          <w:lang w:val="en-US"/>
        </w:rPr>
        <w:t>Eisfeldt et al</w:t>
      </w:r>
      <w:r w:rsidR="00261B78" w:rsidRPr="00F414EA">
        <w:rPr>
          <w:rFonts w:ascii="Century" w:hAnsi="Century" w:cs="Big Caslon Medium"/>
          <w:sz w:val="22"/>
          <w:szCs w:val="22"/>
          <w:lang w:val="en-US"/>
        </w:rPr>
        <w:t>.</w:t>
      </w:r>
      <w:r w:rsidRPr="00F414EA">
        <w:rPr>
          <w:rFonts w:ascii="Century" w:hAnsi="Century" w:cs="Big Caslon Medium"/>
          <w:sz w:val="22"/>
          <w:szCs w:val="22"/>
          <w:lang w:val="en-US"/>
        </w:rPr>
        <w:t xml:space="preserve"> (</w:t>
      </w:r>
      <w:r w:rsidR="00A1112B" w:rsidRPr="00F414EA">
        <w:rPr>
          <w:rFonts w:ascii="Century" w:hAnsi="Century" w:cs="Big Caslon Medium"/>
          <w:sz w:val="22"/>
          <w:szCs w:val="22"/>
          <w:lang w:val="en-US"/>
        </w:rPr>
        <w:t>2026</w:t>
      </w:r>
      <w:r w:rsidRPr="00F414EA">
        <w:rPr>
          <w:rFonts w:ascii="Century" w:hAnsi="Century" w:cs="Big Caslon Medium"/>
          <w:sz w:val="22"/>
          <w:szCs w:val="22"/>
          <w:lang w:val="en-US"/>
        </w:rPr>
        <w:t xml:space="preserve">) </w:t>
      </w:r>
      <w:r w:rsidR="00B7621B" w:rsidRPr="00F414EA">
        <w:rPr>
          <w:rFonts w:ascii="Century" w:hAnsi="Century" w:cs="Big Caslon Medium"/>
          <w:sz w:val="22"/>
          <w:szCs w:val="22"/>
          <w:lang w:val="en-US"/>
        </w:rPr>
        <w:t>working paper on the effect of Generative AI on firm valuation</w:t>
      </w:r>
      <w:r w:rsidRPr="00F414EA">
        <w:rPr>
          <w:rFonts w:ascii="Century" w:hAnsi="Century" w:cs="Big Caslon Medium"/>
          <w:sz w:val="22"/>
          <w:szCs w:val="22"/>
          <w:lang w:val="en-US"/>
        </w:rPr>
        <w:t>.</w:t>
      </w:r>
      <w:r w:rsidR="00B7621B" w:rsidRPr="00F414EA">
        <w:rPr>
          <w:rFonts w:ascii="Century" w:hAnsi="Century" w:cs="Big Caslon Medium"/>
          <w:sz w:val="22"/>
          <w:szCs w:val="22"/>
          <w:lang w:val="en-US"/>
        </w:rPr>
        <w:t xml:space="preserve"> We reproduce the paper’s main estimates including a market and Fama-French five factor robustness checks.</w:t>
      </w:r>
    </w:p>
    <w:p w14:paraId="6FE906AD" w14:textId="58488CA5" w:rsidR="005E74AC" w:rsidRPr="00F414EA" w:rsidRDefault="005E74AC" w:rsidP="008E074F">
      <w:pPr>
        <w:spacing w:line="360" w:lineRule="auto"/>
        <w:jc w:val="both"/>
        <w:rPr>
          <w:rFonts w:ascii="Century" w:hAnsi="Century" w:cs="Big Caslon Medium"/>
          <w:sz w:val="18"/>
          <w:szCs w:val="18"/>
          <w:lang w:val="en-US"/>
        </w:rPr>
      </w:pPr>
      <w:r w:rsidRPr="00F414EA">
        <w:rPr>
          <w:rFonts w:ascii="Century" w:hAnsi="Century" w:cs="Big Caslon Medium"/>
          <w:sz w:val="22"/>
          <w:szCs w:val="22"/>
          <w:lang w:val="en-US"/>
        </w:rPr>
        <w:t>Keywords</w:t>
      </w:r>
      <w:r w:rsidRPr="00F414EA">
        <w:rPr>
          <w:rFonts w:ascii="Century" w:hAnsi="Century" w:cs="Big Caslon Medium"/>
          <w:sz w:val="16"/>
          <w:szCs w:val="16"/>
          <w:lang w:val="en-US"/>
        </w:rPr>
        <w:t xml:space="preserve">. </w:t>
      </w:r>
      <w:r w:rsidR="00B7621B" w:rsidRPr="00F414EA">
        <w:rPr>
          <w:rFonts w:ascii="Century" w:hAnsi="Century" w:cs="Big Caslon Medium"/>
          <w:sz w:val="22"/>
          <w:szCs w:val="22"/>
          <w:lang w:val="en-US"/>
        </w:rPr>
        <w:t>generative artificial intelligence, labor exposure, abnormal return</w:t>
      </w:r>
      <w:r w:rsidR="009D493F" w:rsidRPr="00F414EA">
        <w:rPr>
          <w:rFonts w:ascii="Century" w:hAnsi="Century" w:cs="Big Caslon Medium"/>
          <w:sz w:val="22"/>
          <w:szCs w:val="22"/>
          <w:lang w:val="en-US"/>
        </w:rPr>
        <w:t>s</w:t>
      </w:r>
    </w:p>
    <w:p w14:paraId="59B21953" w14:textId="3700BC28" w:rsidR="005E74AC" w:rsidRPr="00F414EA" w:rsidRDefault="00261B78"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Eisfeldt et al. find significant</w:t>
      </w:r>
      <w:r w:rsidR="00834EA4" w:rsidRPr="00F414EA">
        <w:rPr>
          <w:rFonts w:ascii="Century" w:hAnsi="Century" w:cs="Big Caslon Medium"/>
          <w:sz w:val="22"/>
          <w:szCs w:val="22"/>
          <w:lang w:val="en-US"/>
        </w:rPr>
        <w:t xml:space="preserve"> 5%</w:t>
      </w:r>
      <w:r w:rsidRPr="00F414EA">
        <w:rPr>
          <w:rFonts w:ascii="Century" w:hAnsi="Century" w:cs="Big Caslon Medium"/>
          <w:sz w:val="22"/>
          <w:szCs w:val="22"/>
          <w:lang w:val="en-US"/>
        </w:rPr>
        <w:t xml:space="preserve"> </w:t>
      </w:r>
      <w:r w:rsidR="00532C05" w:rsidRPr="00F414EA">
        <w:rPr>
          <w:rFonts w:ascii="Century" w:hAnsi="Century" w:cs="Big Caslon Medium"/>
          <w:sz w:val="22"/>
          <w:szCs w:val="22"/>
          <w:lang w:val="en-US"/>
        </w:rPr>
        <w:t xml:space="preserve">cumulative </w:t>
      </w:r>
      <w:r w:rsidRPr="00F414EA">
        <w:rPr>
          <w:rFonts w:ascii="Century" w:hAnsi="Century" w:cs="Big Caslon Medium"/>
          <w:sz w:val="22"/>
          <w:szCs w:val="22"/>
          <w:lang w:val="en-US"/>
        </w:rPr>
        <w:t>abnormal return</w:t>
      </w:r>
      <w:r w:rsidR="007F73D4" w:rsidRPr="00F414EA">
        <w:rPr>
          <w:rFonts w:ascii="Century" w:hAnsi="Century" w:cs="Big Caslon Medium"/>
          <w:sz w:val="22"/>
          <w:szCs w:val="22"/>
          <w:lang w:val="en-US"/>
        </w:rPr>
        <w:t xml:space="preserve">s </w:t>
      </w:r>
      <w:r w:rsidR="005B3AAA" w:rsidRPr="00F414EA">
        <w:rPr>
          <w:rFonts w:ascii="Century" w:hAnsi="Century" w:cs="Big Caslon Medium"/>
          <w:sz w:val="18"/>
          <w:szCs w:val="18"/>
          <w:lang w:val="en-US"/>
        </w:rPr>
        <w:t xml:space="preserve">(CAR) </w:t>
      </w:r>
      <w:r w:rsidRPr="00F414EA">
        <w:rPr>
          <w:rFonts w:ascii="Century" w:hAnsi="Century" w:cs="Big Caslon Medium"/>
          <w:sz w:val="22"/>
          <w:szCs w:val="22"/>
          <w:lang w:val="en-US"/>
        </w:rPr>
        <w:t>on</w:t>
      </w:r>
      <w:r w:rsidR="007F73D4" w:rsidRPr="00F414EA">
        <w:rPr>
          <w:rFonts w:ascii="Century" w:hAnsi="Century" w:cs="Big Caslon Medium"/>
          <w:sz w:val="22"/>
          <w:szCs w:val="22"/>
          <w:lang w:val="en-US"/>
        </w:rPr>
        <w:t xml:space="preserve"> a zero</w:t>
      </w:r>
      <w:r w:rsidR="00711062"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investment portfolio that longs</w:t>
      </w:r>
      <w:r w:rsidRPr="00F414EA">
        <w:rPr>
          <w:rFonts w:ascii="Century" w:hAnsi="Century" w:cs="Big Caslon Medium"/>
          <w:sz w:val="22"/>
          <w:szCs w:val="22"/>
          <w:lang w:val="en-US"/>
        </w:rPr>
        <w:t xml:space="preserve"> firms heavily exposed to generative artificial intelligence </w:t>
      </w:r>
      <w:r w:rsidRPr="00F414EA">
        <w:rPr>
          <w:rFonts w:ascii="Century" w:hAnsi="Century" w:cs="Big Caslon Medium"/>
          <w:sz w:val="18"/>
          <w:szCs w:val="18"/>
          <w:lang w:val="en-US"/>
        </w:rPr>
        <w:t/>
      </w:r>
      <w:r w:rsidRPr="00F414EA">
        <w:rPr>
          <w:rFonts w:ascii="Century" w:hAnsi="Century" w:cs="Big Caslon Medium"/>
          <w:sz w:val="22"/>
          <w:szCs w:val="22"/>
          <w:lang w:val="en-US"/>
        </w:rPr>
        <w:t/>
      </w:r>
      <w:r w:rsidR="007F73D4" w:rsidRPr="00F414EA">
        <w:rPr>
          <w:rFonts w:ascii="Century" w:hAnsi="Century" w:cs="Big Caslon Medium"/>
          <w:sz w:val="22"/>
          <w:szCs w:val="22"/>
          <w:lang w:val="en-US"/>
        </w:rPr>
        <w:t>and shorts</w:t>
      </w:r>
      <w:r w:rsidRPr="00F414EA">
        <w:rPr>
          <w:rFonts w:ascii="Century" w:hAnsi="Century" w:cs="Big Caslon Medium"/>
          <w:sz w:val="22"/>
          <w:szCs w:val="22"/>
          <w:lang w:val="en-US"/>
        </w:rPr>
        <w:t xml:space="preserve"> the least exposed quintile of firms in </w:t>
      </w:r>
      <w:r w:rsidR="007F73D4" w:rsidRPr="00F414EA">
        <w:rPr>
          <w:rFonts w:ascii="Century" w:hAnsi="Century" w:cs="Big Caslon Medium"/>
          <w:sz w:val="22"/>
          <w:szCs w:val="22"/>
          <w:lang w:val="en-US"/>
        </w:rPr>
        <w:t>the</w:t>
      </w:r>
      <w:r w:rsidRPr="00F414EA">
        <w:rPr>
          <w:rFonts w:ascii="Century" w:hAnsi="Century" w:cs="Big Caslon Medium"/>
          <w:sz w:val="22"/>
          <w:szCs w:val="22"/>
          <w:lang w:val="en-US"/>
        </w:rPr>
        <w:t xml:space="preserve"> two-week </w:t>
      </w:r>
      <w:r w:rsidR="007F73D4" w:rsidRPr="00F414EA">
        <w:rPr>
          <w:rFonts w:ascii="Century" w:hAnsi="Century" w:cs="Big Caslon Medium"/>
          <w:sz w:val="22"/>
          <w:szCs w:val="22"/>
          <w:lang w:val="en-US"/>
        </w:rPr>
        <w:t>period</w:t>
      </w:r>
      <w:r w:rsidRPr="00F414EA">
        <w:rPr>
          <w:rFonts w:ascii="Century" w:hAnsi="Century" w:cs="Big Caslon Medium"/>
          <w:sz w:val="22"/>
          <w:szCs w:val="22"/>
          <w:lang w:val="en-US"/>
        </w:rPr>
        <w:t xml:space="preserve"> following the release of ChatGPT</w:t>
      </w:r>
      <w:r w:rsidR="00711062" w:rsidRPr="00F414EA">
        <w:rPr>
          <w:rFonts w:ascii="Century" w:hAnsi="Century" w:cs="Big Caslon Medium"/>
          <w:sz w:val="22"/>
          <w:szCs w:val="22"/>
          <w:lang w:val="en-US"/>
        </w:rPr>
        <w:t>. This</w:t>
      </w:r>
      <w:r w:rsidRPr="00F414EA">
        <w:rPr>
          <w:rFonts w:ascii="Century" w:hAnsi="Century" w:cs="Big Caslon Medium"/>
          <w:sz w:val="22"/>
          <w:szCs w:val="22"/>
          <w:lang w:val="en-US"/>
        </w:rPr>
        <w:t xml:space="preserve"> </w:t>
      </w:r>
      <w:r w:rsidR="00711062" w:rsidRPr="00F414EA">
        <w:rPr>
          <w:rFonts w:ascii="Century" w:hAnsi="Century" w:cs="Big Caslon Medium"/>
          <w:sz w:val="22"/>
          <w:szCs w:val="22"/>
          <w:lang w:val="en-US"/>
        </w:rPr>
        <w:t>suggests</w:t>
      </w:r>
      <w:r w:rsidRPr="00F414EA">
        <w:rPr>
          <w:rFonts w:ascii="Century" w:hAnsi="Century" w:cs="Big Caslon Medium"/>
          <w:sz w:val="22"/>
          <w:szCs w:val="22"/>
          <w:lang w:val="en-US"/>
        </w:rPr>
        <w:t xml:space="preserve"> that expectations of the impact of generative AI on firms’ future cash flows are incorporated into prices, </w:t>
      </w:r>
      <w:r w:rsidR="00711062" w:rsidRPr="00F414EA">
        <w:rPr>
          <w:rFonts w:ascii="Century" w:hAnsi="Century" w:cs="Big Caslon Medium"/>
          <w:sz w:val="22"/>
          <w:szCs w:val="22"/>
          <w:lang w:val="en-US"/>
        </w:rPr>
        <w:t>and are</w:t>
      </w:r>
      <w:r w:rsidR="00C57F90"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not reversed afterwards. </w:t>
      </w:r>
      <w:r w:rsidR="0003421E">
        <w:rPr>
          <w:rFonts w:ascii="Century" w:hAnsi="Century" w:cs="Big Caslon Medium"/>
          <w:sz w:val="22"/>
          <w:szCs w:val="22"/>
          <w:lang w:val="en-US"/>
        </w:rPr>
        <w:t>The authors</w:t>
      </w:r>
      <w:r w:rsidRPr="00F414EA">
        <w:rPr>
          <w:rFonts w:ascii="Century" w:hAnsi="Century" w:cs="Big Caslon Medium"/>
          <w:sz w:val="22"/>
          <w:szCs w:val="22"/>
          <w:lang w:val="en-US"/>
        </w:rPr>
        <w:t xml:space="preserve"> identify two distinct channels that explain the cumulative abnormal return difference – the effect on labor, both substitution and complementarity, motivating </w:t>
      </w:r>
      <w:r w:rsidR="005008A5" w:rsidRPr="00F414EA">
        <w:rPr>
          <w:rFonts w:ascii="Century" w:hAnsi="Century" w:cs="Big Caslon Medium"/>
          <w:sz w:val="22"/>
          <w:szCs w:val="22"/>
          <w:lang w:val="en-US"/>
        </w:rPr>
        <w:t>a look into</w:t>
      </w:r>
      <w:r w:rsidRPr="00F414EA">
        <w:rPr>
          <w:rFonts w:ascii="Century" w:hAnsi="Century" w:cs="Big Caslon Medium"/>
          <w:sz w:val="22"/>
          <w:szCs w:val="22"/>
          <w:lang w:val="en-US"/>
        </w:rPr>
        <w:t xml:space="preserve"> the task composition of different types of </w:t>
      </w:r>
      <w:r w:rsidR="00502E9F"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and </w:t>
      </w:r>
      <w:r w:rsidR="00330F3E" w:rsidRPr="00F414EA">
        <w:rPr>
          <w:rFonts w:ascii="Century" w:hAnsi="Century" w:cs="Big Caslon Medium"/>
          <w:sz w:val="22"/>
          <w:szCs w:val="22"/>
          <w:lang w:val="en-US"/>
        </w:rPr>
        <w:t>each task’s</w:t>
      </w:r>
      <w:r w:rsidR="00E67A1D" w:rsidRPr="00F414EA">
        <w:rPr>
          <w:rFonts w:ascii="Century" w:hAnsi="Century" w:cs="Big Caslon Medium"/>
          <w:sz w:val="22"/>
          <w:szCs w:val="22"/>
          <w:lang w:val="en-US"/>
        </w:rPr>
        <w:t xml:space="preserve"> </w:t>
      </w:r>
      <w:r w:rsidRPr="00F414EA">
        <w:rPr>
          <w:rFonts w:ascii="Century" w:hAnsi="Century" w:cs="Big Caslon Medium"/>
          <w:sz w:val="22"/>
          <w:szCs w:val="22"/>
          <w:lang w:val="en-US"/>
        </w:rPr>
        <w:t>exposure to AI; the effect on products, namely the displacement of value from the introduction of generative AI.</w:t>
      </w:r>
    </w:p>
    <w:p w14:paraId="0873B7CF" w14:textId="77777777" w:rsidR="00F63896" w:rsidRPr="00F414EA" w:rsidRDefault="00F63896" w:rsidP="008E074F">
      <w:pPr>
        <w:spacing w:line="360" w:lineRule="auto"/>
        <w:ind w:firstLine="708"/>
        <w:jc w:val="both"/>
        <w:rPr>
          <w:rFonts w:ascii="Century" w:hAnsi="Century" w:cs="Big Caslon Medium"/>
          <w:sz w:val="22"/>
          <w:szCs w:val="22"/>
          <w:lang w:val="en-US"/>
        </w:rPr>
      </w:pPr>
    </w:p>
    <w:p w14:paraId="0E914354" w14:textId="6740C226" w:rsidR="00933EC9" w:rsidRPr="00F414EA" w:rsidRDefault="005E74AC"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paper has three sections</w:t>
      </w:r>
      <w:r w:rsidRPr="00F414EA">
        <w:rPr>
          <w:rFonts w:cs="Big Caslon Medium"/>
          <w:sz w:val="22"/>
          <w:szCs w:val="22"/>
          <w:lang w:val="en-US"/>
        </w:rPr>
        <w:t xml:space="preserve">: </w:t>
      </w:r>
      <w:r w:rsidRPr="00F414EA">
        <w:rPr>
          <w:rFonts w:ascii="Century" w:hAnsi="Century" w:cs="Big Caslon Medium"/>
          <w:sz w:val="22"/>
          <w:szCs w:val="22"/>
          <w:lang w:val="en-US"/>
        </w:rPr>
        <w:t xml:space="preserve">I – </w:t>
      </w:r>
      <w:r w:rsidR="00261B78" w:rsidRPr="00F414EA">
        <w:rPr>
          <w:rFonts w:ascii="Century" w:hAnsi="Century" w:cs="Big Caslon Medium"/>
          <w:sz w:val="22"/>
          <w:szCs w:val="22"/>
          <w:lang w:val="en-US"/>
        </w:rPr>
        <w:t xml:space="preserve">A summary of Eisfeldt et al., including a reconstruction of the paper’s hypotheses from the premises and assumptions made, an insight into the construction of the firm exposure measure, a presentation of the paper’s main results; </w:t>
      </w:r>
      <w:r w:rsidRPr="00F414EA">
        <w:rPr>
          <w:rFonts w:ascii="Century" w:hAnsi="Century" w:cs="Big Caslon Medium"/>
          <w:sz w:val="21"/>
          <w:szCs w:val="21"/>
          <w:lang w:val="en-US"/>
        </w:rPr>
        <w:t xml:space="preserve">II </w:t>
      </w:r>
      <w:r w:rsidRPr="00F414EA">
        <w:rPr>
          <w:rFonts w:ascii="Century" w:hAnsi="Century" w:cs="Big Caslon Medium"/>
          <w:sz w:val="22"/>
          <w:szCs w:val="22"/>
          <w:lang w:val="en-US"/>
        </w:rPr>
        <w:t>–</w:t>
      </w:r>
      <w:r w:rsidRPr="00F414EA">
        <w:rPr>
          <w:rFonts w:ascii="Century" w:hAnsi="Century" w:cs="Big Caslon Medium"/>
          <w:sz w:val="21"/>
          <w:szCs w:val="21"/>
          <w:lang w:val="en-US"/>
        </w:rPr>
        <w:t xml:space="preserve"> </w:t>
      </w:r>
      <w:r w:rsidR="00D72915" w:rsidRPr="00F414EA">
        <w:rPr>
          <w:rFonts w:ascii="Century" w:hAnsi="Century" w:cs="Big Caslon Medium"/>
          <w:sz w:val="22"/>
          <w:szCs w:val="22"/>
          <w:lang w:val="en-US"/>
        </w:rPr>
        <w:t>What the paper does not answer</w:t>
      </w:r>
      <w:r w:rsidR="0064570C" w:rsidRPr="00F414EA">
        <w:rPr>
          <w:rFonts w:ascii="Century" w:hAnsi="Century" w:cs="Big Caslon Medium"/>
          <w:sz w:val="22"/>
          <w:szCs w:val="22"/>
          <w:lang w:val="en-US"/>
        </w:rPr>
        <w:t>, i.e.</w:t>
      </w:r>
      <w:r w:rsidR="00D72915" w:rsidRPr="00F414EA">
        <w:rPr>
          <w:rFonts w:ascii="Century" w:hAnsi="Century" w:cs="Big Caslon Medium"/>
          <w:sz w:val="22"/>
          <w:szCs w:val="22"/>
          <w:lang w:val="en-US"/>
        </w:rPr>
        <w:t xml:space="preserve"> </w:t>
      </w:r>
      <w:r w:rsidR="0064570C" w:rsidRPr="00F414EA">
        <w:rPr>
          <w:rFonts w:ascii="Century" w:hAnsi="Century" w:cs="Big Caslon Medium"/>
          <w:sz w:val="22"/>
          <w:szCs w:val="22"/>
          <w:lang w:val="en-US"/>
        </w:rPr>
        <w:t>t</w:t>
      </w:r>
      <w:r w:rsidR="00261B78" w:rsidRPr="00F414EA">
        <w:rPr>
          <w:rFonts w:ascii="Century" w:hAnsi="Century" w:cs="Big Caslon Medium"/>
          <w:sz w:val="22"/>
          <w:szCs w:val="22"/>
          <w:lang w:val="en-US"/>
        </w:rPr>
        <w:t>he risk factor question, which the paper raises but cannot reach, and a reason why the reported estimate might mislead</w:t>
      </w:r>
      <w:r w:rsidR="00905B57" w:rsidRPr="00F414EA">
        <w:rPr>
          <w:rFonts w:ascii="Century" w:hAnsi="Century" w:cs="Big Caslon Medium"/>
          <w:sz w:val="22"/>
          <w:szCs w:val="22"/>
          <w:lang w:val="en-US"/>
        </w:rPr>
        <w:t>, motivating</w:t>
      </w:r>
      <w:r w:rsidR="00261B78" w:rsidRPr="00F414EA">
        <w:rPr>
          <w:rFonts w:ascii="Century" w:hAnsi="Century" w:cs="Big Caslon Medium"/>
          <w:sz w:val="22"/>
          <w:szCs w:val="22"/>
          <w:lang w:val="en-US"/>
        </w:rPr>
        <w:t xml:space="preserve"> the regression tests we later conduct</w:t>
      </w:r>
      <w:r w:rsidRPr="00F414EA">
        <w:rPr>
          <w:rFonts w:cs="Big Caslon Medium"/>
          <w:sz w:val="22"/>
          <w:szCs w:val="22"/>
          <w:lang w:val="en-US"/>
        </w:rPr>
        <w:t xml:space="preserve">; </w:t>
      </w:r>
      <w:r w:rsidRPr="00F414EA">
        <w:rPr>
          <w:rFonts w:ascii="Century" w:hAnsi="Century" w:cs="Big Caslon Medium"/>
          <w:sz w:val="21"/>
          <w:szCs w:val="21"/>
          <w:lang w:val="en-US"/>
        </w:rPr>
        <w:t xml:space="preserve">III </w:t>
      </w:r>
      <w:r w:rsidRPr="00F414EA">
        <w:rPr>
          <w:rFonts w:ascii="Century" w:hAnsi="Century" w:cs="Big Caslon Medium"/>
          <w:sz w:val="22"/>
          <w:szCs w:val="22"/>
          <w:lang w:val="en-US"/>
        </w:rPr>
        <w:t xml:space="preserve">– </w:t>
      </w:r>
      <w:r w:rsidR="00261B78" w:rsidRPr="00F414EA">
        <w:rPr>
          <w:rFonts w:ascii="Century" w:hAnsi="Century" w:cs="Big Caslon Medium"/>
          <w:sz w:val="22"/>
          <w:szCs w:val="22"/>
          <w:lang w:val="en-US"/>
        </w:rPr>
        <w:t xml:space="preserve">Our empirical design and a description of the sample construction process; </w:t>
      </w:r>
      <w:r w:rsidR="00261B78" w:rsidRPr="00F414EA">
        <w:rPr>
          <w:rFonts w:ascii="Century" w:hAnsi="Century" w:cs="Big Caslon Medium"/>
          <w:sz w:val="21"/>
          <w:szCs w:val="21"/>
          <w:lang w:val="en-US"/>
        </w:rPr>
        <w:t>IV</w:t>
      </w:r>
      <w:r w:rsidR="00261B78" w:rsidRPr="00F414EA">
        <w:rPr>
          <w:rFonts w:ascii="Century" w:hAnsi="Century" w:cs="Big Caslon Medium"/>
          <w:sz w:val="22"/>
          <w:szCs w:val="22"/>
          <w:lang w:val="en-US"/>
        </w:rPr>
        <w:t xml:space="preserve"> – A reproduction of the paper’s main</w:t>
      </w:r>
      <w:r w:rsidR="005B3AAA" w:rsidRPr="00F414EA">
        <w:rPr>
          <w:rFonts w:ascii="Century" w:hAnsi="Century" w:cs="Big Caslon Medium"/>
          <w:sz w:val="22"/>
          <w:szCs w:val="22"/>
          <w:lang w:val="en-US"/>
        </w:rPr>
        <w:t xml:space="preserve"> </w:t>
      </w:r>
      <w:r w:rsidR="005B3AAA" w:rsidRPr="00F414EA">
        <w:rPr>
          <w:rFonts w:ascii="Century" w:hAnsi="Century" w:cs="Big Caslon Medium"/>
          <w:sz w:val="18"/>
          <w:szCs w:val="18"/>
          <w:lang w:val="en-US"/>
        </w:rPr>
        <w:t>CAR</w:t>
      </w:r>
      <w:r w:rsidR="00261B78" w:rsidRPr="00F414EA">
        <w:rPr>
          <w:rFonts w:ascii="Century" w:hAnsi="Century" w:cs="Big Caslon Medium"/>
          <w:sz w:val="22"/>
          <w:szCs w:val="22"/>
          <w:lang w:val="en-US"/>
        </w:rPr>
        <w:t xml:space="preserve"> estimate</w:t>
      </w:r>
      <w:r w:rsidR="0016039C" w:rsidRPr="00F414EA">
        <w:rPr>
          <w:rFonts w:ascii="Century" w:hAnsi="Century" w:cs="Big Caslon Medium"/>
          <w:sz w:val="22"/>
          <w:szCs w:val="22"/>
          <w:lang w:val="en-US"/>
        </w:rPr>
        <w:t>, and the results of the empirical test motivated and described in earlier sections.</w:t>
      </w:r>
    </w:p>
    <w:p w14:paraId="59F4DABB" w14:textId="77777777" w:rsidR="00933EC9" w:rsidRDefault="00933EC9" w:rsidP="005E4DDB">
      <w:pPr>
        <w:spacing w:line="264" w:lineRule="auto"/>
        <w:jc w:val="both"/>
        <w:rPr>
          <w:rFonts w:ascii="Century" w:hAnsi="Century" w:cs="Big Caslon Medium"/>
          <w:sz w:val="22"/>
          <w:szCs w:val="22"/>
          <w:lang w:val="en-US"/>
        </w:rPr>
      </w:pPr>
    </w:p>
    <w:p w14:paraId="77E2E761" w14:textId="77777777" w:rsidR="00965A84" w:rsidRDefault="00965A84" w:rsidP="005E4DDB">
      <w:pPr>
        <w:spacing w:line="264" w:lineRule="auto"/>
        <w:jc w:val="both"/>
        <w:rPr>
          <w:rFonts w:ascii="Century" w:hAnsi="Century" w:cs="Big Caslon Medium"/>
          <w:sz w:val="22"/>
          <w:szCs w:val="22"/>
          <w:lang w:val="en-US"/>
        </w:rPr>
      </w:pPr>
    </w:p>
    <w:p w14:paraId="0566CFFF" w14:textId="77777777" w:rsidR="00965A84" w:rsidRDefault="00965A84" w:rsidP="005E4DDB">
      <w:pPr>
        <w:spacing w:line="264" w:lineRule="auto"/>
        <w:jc w:val="both"/>
        <w:rPr>
          <w:rFonts w:ascii="Century" w:hAnsi="Century" w:cs="Big Caslon Medium"/>
          <w:sz w:val="22"/>
          <w:szCs w:val="22"/>
          <w:lang w:val="en-US"/>
        </w:rPr>
      </w:pPr>
    </w:p>
    <w:p w14:paraId="211F8FFA" w14:textId="77777777" w:rsidR="00965A84" w:rsidRDefault="00965A84" w:rsidP="005E4DDB">
      <w:pPr>
        <w:spacing w:line="264" w:lineRule="auto"/>
        <w:jc w:val="both"/>
        <w:rPr>
          <w:rFonts w:ascii="Century" w:hAnsi="Century" w:cs="Big Caslon Medium"/>
          <w:sz w:val="22"/>
          <w:szCs w:val="22"/>
          <w:lang w:val="en-US"/>
        </w:rPr>
      </w:pPr>
    </w:p>
    <w:p w14:paraId="6FA54A3C" w14:textId="77777777" w:rsidR="00965A84" w:rsidRDefault="00965A84" w:rsidP="005E4DDB">
      <w:pPr>
        <w:spacing w:line="264" w:lineRule="auto"/>
        <w:jc w:val="both"/>
        <w:rPr>
          <w:rFonts w:ascii="Century" w:hAnsi="Century" w:cs="Big Caslon Medium"/>
          <w:sz w:val="22"/>
          <w:szCs w:val="22"/>
          <w:lang w:val="en-US"/>
        </w:rPr>
      </w:pPr>
    </w:p>
    <w:p w14:paraId="1858BD84" w14:textId="77777777" w:rsidR="00965A84" w:rsidRPr="00F414EA" w:rsidRDefault="00965A84" w:rsidP="005E4DDB">
      <w:pPr>
        <w:spacing w:line="264" w:lineRule="auto"/>
        <w:jc w:val="both"/>
        <w:rPr>
          <w:rFonts w:ascii="Century" w:hAnsi="Century" w:cs="Big Caslon Medium"/>
          <w:sz w:val="22"/>
          <w:szCs w:val="22"/>
          <w:lang w:val="en-US"/>
        </w:rPr>
      </w:pPr>
    </w:p>
    <w:p w14:paraId="56B28894" w14:textId="0A28725C" w:rsidR="00791736" w:rsidRPr="00F414EA" w:rsidRDefault="00791736" w:rsidP="00791736">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THE PAPER</w:t>
      </w:r>
    </w:p>
    <w:p w14:paraId="0C9ABCB0" w14:textId="77777777" w:rsidR="00791736" w:rsidRPr="00F414EA" w:rsidRDefault="00791736" w:rsidP="00791736">
      <w:pPr>
        <w:pStyle w:val="PargrafodaLista"/>
        <w:spacing w:line="264" w:lineRule="auto"/>
        <w:rPr>
          <w:rFonts w:ascii="Century" w:hAnsi="Century" w:cs="Big Caslon Medium"/>
          <w:sz w:val="22"/>
          <w:szCs w:val="22"/>
          <w:lang w:val="en-US"/>
        </w:rPr>
      </w:pPr>
    </w:p>
    <w:p w14:paraId="6FA0E9BE" w14:textId="67D1DBC0"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 xml:space="preserve">1.1 </w:t>
      </w:r>
      <w:r w:rsidR="00791736" w:rsidRPr="00F414EA">
        <w:rPr>
          <w:rFonts w:ascii="Century" w:hAnsi="Century" w:cs="Big Caslon Medium"/>
          <w:sz w:val="22"/>
          <w:szCs w:val="22"/>
          <w:lang w:val="en-US"/>
        </w:rPr>
        <w:t>Paper Hypothesis</w:t>
      </w:r>
    </w:p>
    <w:p w14:paraId="19E75472" w14:textId="77777777" w:rsidR="002C3D78" w:rsidRPr="00F414EA" w:rsidRDefault="002C3D78" w:rsidP="008E074F">
      <w:pPr>
        <w:spacing w:line="264" w:lineRule="auto"/>
        <w:jc w:val="both"/>
        <w:rPr>
          <w:rFonts w:ascii="Century" w:hAnsi="Century" w:cs="Big Caslon Medium"/>
          <w:sz w:val="22"/>
          <w:szCs w:val="22"/>
          <w:lang w:val="en-US"/>
        </w:rPr>
      </w:pPr>
    </w:p>
    <w:p w14:paraId="12BFE5A9" w14:textId="3337E194" w:rsidR="008E074F" w:rsidRPr="00F414EA" w:rsidRDefault="008E074F" w:rsidP="00860E3F">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release of ChatGPT on November 30</w:t>
      </w:r>
      <w:r w:rsidRPr="00F414EA">
        <w:rPr>
          <w:rFonts w:ascii="Century" w:hAnsi="Century" w:cs="Big Caslon Medium"/>
          <w:sz w:val="22"/>
          <w:szCs w:val="22"/>
          <w:vertAlign w:val="superscript"/>
          <w:lang w:val="en-US"/>
        </w:rPr>
        <w:t>th</w:t>
      </w:r>
      <w:r w:rsidR="00910441"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2022, is a major technological breakthrough for the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market (P1). These generative AI tools, by being publicly accessible, can either complement workers in their tasks or substitute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t>
      </w:r>
      <w:r w:rsidR="007778B4" w:rsidRPr="00F414EA">
        <w:rPr>
          <w:rFonts w:ascii="Century" w:hAnsi="Century" w:cs="Big Caslon Medium"/>
          <w:sz w:val="22"/>
          <w:szCs w:val="22"/>
          <w:lang w:val="en-US"/>
        </w:rPr>
        <w:t>P</w:t>
      </w:r>
      <w:r w:rsidRPr="00F414EA">
        <w:rPr>
          <w:rFonts w:ascii="Century" w:hAnsi="Century" w:cs="Big Caslon Medium"/>
          <w:sz w:val="22"/>
          <w:szCs w:val="22"/>
          <w:lang w:val="en-US"/>
        </w:rPr>
        <w:t xml:space="preserve">2). By assisting workers in their tasks, generative AI improves productivity, while the technology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substitution channel allows firms to save costs (</w:t>
      </w:r>
      <w:r w:rsidR="007778B4" w:rsidRPr="00F414EA">
        <w:rPr>
          <w:rFonts w:ascii="Century" w:hAnsi="Century" w:cs="Big Caslon Medium"/>
          <w:sz w:val="22"/>
          <w:szCs w:val="22"/>
          <w:lang w:val="en-US"/>
        </w:rPr>
        <w:t>A1</w:t>
      </w:r>
      <w:r w:rsidRPr="00F414EA">
        <w:rPr>
          <w:rFonts w:ascii="Century" w:hAnsi="Century" w:cs="Big Caslon Medium"/>
          <w:sz w:val="22"/>
          <w:szCs w:val="22"/>
          <w:lang w:val="en-US"/>
        </w:rPr>
        <w:t>). These benefits remain even after including the cost of implementation and externalities (</w:t>
      </w:r>
      <w:r w:rsidR="007778B4" w:rsidRPr="00F414EA">
        <w:rPr>
          <w:rFonts w:ascii="Century" w:hAnsi="Century" w:cs="Big Caslon Medium"/>
          <w:sz w:val="22"/>
          <w:szCs w:val="22"/>
          <w:lang w:val="en-US"/>
        </w:rPr>
        <w:t>A2</w:t>
      </w:r>
      <w:r w:rsidRPr="00F414EA">
        <w:rPr>
          <w:rFonts w:ascii="Century" w:hAnsi="Century" w:cs="Big Caslon Medium"/>
          <w:sz w:val="22"/>
          <w:szCs w:val="22"/>
          <w:lang w:val="en-US"/>
        </w:rPr>
        <w:t>). Economic information about potential firm productivity from the common use of Generative AI is incorporated into stock prices (P3). Firms with a greater exposure to Generative AI are expected to benefit from its use, reflected in an increase in their future expected cash flows (P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As the discount rate remains unchanged after the release of Generative AI and firms’ valuation relies on the present value of expected future cash flows discounted at this expected rate of return (P</w:t>
      </w:r>
      <w:r w:rsidR="007778B4" w:rsidRPr="00F414EA">
        <w:rPr>
          <w:rFonts w:ascii="Century" w:hAnsi="Century" w:cs="Big Caslon Medium"/>
          <w:sz w:val="22"/>
          <w:szCs w:val="22"/>
          <w:lang w:val="en-US"/>
        </w:rPr>
        <w:t>5, A3</w:t>
      </w:r>
      <w:r w:rsidRPr="00F414EA">
        <w:rPr>
          <w:rFonts w:ascii="Century" w:hAnsi="Century" w:cs="Big Caslon Medium"/>
          <w:sz w:val="22"/>
          <w:szCs w:val="22"/>
          <w:lang w:val="en-US"/>
        </w:rPr>
        <w:t>), we can test the hypothesis that around the release of ChatGPT on November 30</w:t>
      </w:r>
      <w:r w:rsidRPr="00F414EA">
        <w:rPr>
          <w:rFonts w:ascii="Century" w:hAnsi="Century" w:cs="Big Caslon Medium"/>
          <w:sz w:val="22"/>
          <w:szCs w:val="22"/>
          <w:vertAlign w:val="superscript"/>
          <w:lang w:val="en-US"/>
        </w:rPr>
        <w:t>th</w:t>
      </w:r>
      <w:r w:rsidR="00EF5FEA" w:rsidRPr="00F414EA">
        <w:rPr>
          <w:rFonts w:ascii="Century" w:hAnsi="Century" w:cs="Big Caslon Medium"/>
          <w:sz w:val="22"/>
          <w:szCs w:val="22"/>
          <w:lang w:val="en-US"/>
        </w:rPr>
        <w:t xml:space="preserve">, </w:t>
      </w:r>
      <w:r w:rsidRPr="00F414EA">
        <w:rPr>
          <w:rFonts w:ascii="Century" w:hAnsi="Century" w:cs="Big Caslon Medium"/>
          <w:sz w:val="22"/>
          <w:szCs w:val="22"/>
          <w:lang w:val="en-US"/>
        </w:rPr>
        <w:t>2022, firms with greater workforce exposure experience higher abnormal stock returns than those that are less exposed.</w:t>
      </w:r>
    </w:p>
    <w:p w14:paraId="66DA449B"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P1: Generative artificial intelligence is a major technological breakthrough publicly accessible, affecting the workforce market.</w:t>
      </w:r>
    </w:p>
    <w:p w14:paraId="5E86E1B2"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P2: Generative AI can either complement workers in their tasks or substitute workers.</w:t>
      </w:r>
    </w:p>
    <w:p w14:paraId="0590CD6E" w14:textId="22F75C4D"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3</w:t>
      </w:r>
      <w:r w:rsidRPr="00F414EA">
        <w:rPr>
          <w:rFonts w:ascii="Century" w:hAnsi="Century" w:cs="Big Caslon Medium"/>
          <w:sz w:val="22"/>
          <w:szCs w:val="22"/>
          <w:lang w:val="en-US"/>
        </w:rPr>
        <w:t>: Firms' valuation depends on the present value of expected cash flows discounted at the expected rate of return. </w:t>
      </w:r>
    </w:p>
    <w:p w14:paraId="1F25A97D" w14:textId="46E906BD"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xml:space="preserve">: By substituting </w:t>
      </w:r>
      <w:r w:rsidR="00EF5FEA"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with Generative AI to save costs or complementing </w:t>
      </w:r>
      <w:r w:rsidR="007778B4" w:rsidRPr="00F414EA">
        <w:rPr>
          <w:rFonts w:ascii="Century" w:hAnsi="Century" w:cs="Big Caslon Medium"/>
          <w:sz w:val="22"/>
          <w:szCs w:val="22"/>
          <w:lang w:val="en-US"/>
        </w:rPr>
        <w:t>labor</w:t>
      </w:r>
      <w:r w:rsidRPr="00F414EA">
        <w:rPr>
          <w:rFonts w:ascii="Century" w:hAnsi="Century" w:cs="Big Caslon Medium"/>
          <w:sz w:val="22"/>
          <w:szCs w:val="22"/>
          <w:lang w:val="en-US"/>
        </w:rPr>
        <w:t>, Generative AI improves productivity.</w:t>
      </w:r>
    </w:p>
    <w:p w14:paraId="55B7068F" w14:textId="69837663" w:rsidR="007778B4" w:rsidRPr="00F414EA" w:rsidRDefault="007778B4"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P5: Firms with greater workforce exposure have greater opportunities to obtain benefits from the use of Generative AI.</w:t>
      </w:r>
    </w:p>
    <w:p w14:paraId="2CD1EE2A" w14:textId="084EFCC8" w:rsidR="007778B4"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A1: Investors incorporate new information into stock prices based on their belief in the firm's expected cash flows by seeing the potential of the firm’s productivity. </w:t>
      </w:r>
    </w:p>
    <w:p w14:paraId="02E3E08E" w14:textId="095B06BF" w:rsidR="008E074F"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A2</w:t>
      </w:r>
      <w:r w:rsidR="008E074F" w:rsidRPr="00F414EA">
        <w:rPr>
          <w:rFonts w:ascii="Century" w:hAnsi="Century" w:cs="Big Caslon Medium"/>
          <w:sz w:val="22"/>
          <w:szCs w:val="22"/>
          <w:lang w:val="en-US"/>
        </w:rPr>
        <w:t>: Generative AI benefits are higher than implementation costs.  </w:t>
      </w:r>
    </w:p>
    <w:p w14:paraId="71458DB0" w14:textId="20BD976A" w:rsidR="00484F90" w:rsidRPr="00F414EA" w:rsidRDefault="007778B4" w:rsidP="006964E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A3</w:t>
      </w:r>
      <w:r w:rsidR="008E074F" w:rsidRPr="00F414EA">
        <w:rPr>
          <w:rFonts w:ascii="Century" w:hAnsi="Century" w:cs="Big Caslon Medium"/>
          <w:sz w:val="22"/>
          <w:szCs w:val="22"/>
          <w:lang w:val="en-US"/>
        </w:rPr>
        <w:t>: After the release of Generative AI, the discount rate remains unchanged, but future cash flows are expected to be higher than before the release.</w:t>
      </w:r>
    </w:p>
    <w:p w14:paraId="773F0D67" w14:textId="490044AF" w:rsidR="000657C9" w:rsidRPr="00F414EA" w:rsidRDefault="008E074F" w:rsidP="00DD10AD">
      <w:pPr>
        <w:keepNext/>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1.2 The Measure</w:t>
      </w:r>
    </w:p>
    <w:p w14:paraId="02B5150C" w14:textId="77777777" w:rsidR="003C7BB5" w:rsidRPr="00F414EA" w:rsidRDefault="008E074F" w:rsidP="003C7BB5">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To measure the exposure of firms’ workforce to Generative AI, the authors use a bottom-up framework that aggregates data across three levels: tasks, occupations, and firm level.  The process begins with individual work tasks from the O*Net database, which </w:t>
      </w:r>
      <w:r w:rsidRPr="00F414EA">
        <w:rPr>
          <w:rFonts w:ascii="Century" w:hAnsi="Century" w:cs="Big Caslon Medium"/>
          <w:sz w:val="22"/>
          <w:szCs w:val="22"/>
          <w:lang w:val="en-US"/>
        </w:rPr>
        <w:lastRenderedPageBreak/>
        <w:t>describes 19,265 task statements across U.S. occupations. Using OpenAI’s GPT-3.5 Turbo model as a research assistant, the authors evaluate each task against a fixed rubric of Large Language Model (LLM) capabilities. A task receives a score of 1.0 (direct exposure) if ChatGPT alone is able to cut the completion time by at least half while task quality remains equivalent. It receives a score of 0.5 (indirect exposure) if ChatGPT alone is not enough, but with additional software built on top of LLMs it can achieve that time saving and equivalent quality. In all other cases, it receives a score of 0 (no exposure). This step rests on four assumptions.</w:t>
      </w:r>
    </w:p>
    <w:p w14:paraId="767DCA09" w14:textId="1086DC49" w:rsidR="003B234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 time reduction of at least 50% with the same quality is a meaningful threshold for exposure. Second, quality is equivalent when an outside reviewer cannot tell whether a human worked alone or with the help of LLMs. Third, GPT-3.5 Turbo is able to reliably assign tasks to a predefined rubric rather than having to predict its own future capabilities. Fourth, the 0.5 weight for indirect exposure fairly reflects the additional development effort and slower adoption involved with additional software usage. Next, the task scores are aggregated into occupations. For each 8-digit O*Net occupation, exposure is computed as the simple average score of all tasks in that occupation. These are then averaged across sub-codes to match 6-digit Standard Occupational Classification (SOC) codes. Here, the authors assume that an occupation can be treated as a portfolio of separable tasks, and that every task contributes equally toward its baseline occupational exposure score. In mechanism tests, they also separate tasks into core (central duties) and supplemental tasks (secondary duties). This split assumes that exposure in core tasks drives substitution, meaning cost savings and possible job displacement, while exposure in supplemental tasks drives complementarity, as it frees time for workers’ main duties. </w:t>
      </w:r>
      <w:r w:rsidR="00F70213" w:rsidRPr="00F414EA">
        <w:rPr>
          <w:rFonts w:ascii="Century" w:hAnsi="Century" w:cs="Big Caslon Medium"/>
          <w:sz w:val="22"/>
          <w:szCs w:val="22"/>
          <w:lang w:val="en-US"/>
        </w:rPr>
        <w:t xml:space="preserve"> </w:t>
      </w:r>
      <w:r w:rsidRPr="00F414EA">
        <w:rPr>
          <w:rFonts w:ascii="Century" w:hAnsi="Century" w:cs="Big Caslon Medium"/>
          <w:sz w:val="22"/>
          <w:szCs w:val="22"/>
          <w:lang w:val="en-US"/>
        </w:rPr>
        <w:t>Finally, the occupation scores are linked to publicly traded firms. Using online resume and profile data from Revelio Labs, the authors calculate what share of each firm’s headcount belongs to each 6-digit SOC occupation. A firm’s overall workforce exposure is calculated as the weighted average of its occupations’ exposure scores, weighted by each occupation’s employment share within the firm. This step involves three assumptions. The first is that the publicly available resume and online profile data accurately represent the real occupational employment mix of public companies. The second is that workers in the same occupation perform the same mix of tasks regardless of the firm they are employed in. The third is that exposure is linear in headcount shares, so that the number of employees in an occupation reflects how important it is to the firm’s operations. </w:t>
      </w:r>
    </w:p>
    <w:p w14:paraId="237E3CC7" w14:textId="77777777" w:rsidR="00632153" w:rsidRPr="00F414EA" w:rsidRDefault="00632153" w:rsidP="00D11C44">
      <w:pPr>
        <w:spacing w:after="160" w:line="360" w:lineRule="auto"/>
        <w:ind w:firstLine="708"/>
        <w:jc w:val="both"/>
        <w:rPr>
          <w:rFonts w:ascii="Century" w:hAnsi="Century" w:cs="Big Caslon Medium"/>
          <w:sz w:val="22"/>
          <w:szCs w:val="22"/>
          <w:lang w:val="en-US"/>
        </w:rPr>
      </w:pPr>
    </w:p>
    <w:p w14:paraId="7ED25364" w14:textId="2AA018E0" w:rsidR="008708D0" w:rsidRPr="00F414EA" w:rsidRDefault="008E074F" w:rsidP="00DD10AD">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lastRenderedPageBreak/>
        <w:t>1.3 Results</w:t>
      </w:r>
    </w:p>
    <w:p w14:paraId="34CAFADA" w14:textId="77777777" w:rsidR="00352965" w:rsidRPr="00F414EA" w:rsidRDefault="008E074F" w:rsidP="00352965">
      <w:pPr>
        <w:spacing w:after="160" w:line="360" w:lineRule="auto"/>
        <w:ind w:firstLine="360"/>
        <w:jc w:val="both"/>
        <w:rPr>
          <w:rFonts w:ascii="Century" w:hAnsi="Century" w:cs="Big Caslon Medium"/>
          <w:sz w:val="22"/>
          <w:szCs w:val="22"/>
          <w:lang w:val="en-US"/>
        </w:rPr>
      </w:pPr>
      <w:r w:rsidRPr="00F414EA">
        <w:rPr>
          <w:rFonts w:ascii="Century" w:hAnsi="Century" w:cs="Big Caslon Medium"/>
          <w:sz w:val="22"/>
          <w:szCs w:val="22"/>
          <w:lang w:val="en-US"/>
        </w:rPr>
        <w:t>The main result of the paper is that firms with workforces highly exposed to Generative AI experienced a significant relative increase in market value after ChatGPT was released on November 30, 2022. The authors build an "Artificial-Minus-Human" (AMH) portfolio that goes long on the highest-exposure quintile of firms and short on the lowest-exposure quintile. Over the two-week event window, it earned an abnormal return of about 5%, or 0.45% per day. The results also show that this effect is not just about companies selling AI products or hardware. The AMH return stays large and statistically significant when sorting within specific industries, when excluding the technology sector, and when controlling for several direct measures of product-market AI exposure. Furthermore, the paper demonstrates that the positive firm-value effect is significantly stronger for firms with more proprietary data assets or better data-management capabilities, enabling them to better integrate Generative AI into their operations.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Beyond documenting the effect on firm value, the authors investigate the reasons why it changed. Specifically, they test whether the revaluation came from expected cash flow growth through </w:t>
      </w:r>
      <w:r w:rsidR="0081548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cost savings (substitution), from worker empowerment (complementarity), or from other channels such as revenue growth or changes in the discount rate. </w:t>
      </w:r>
    </w:p>
    <w:p w14:paraId="45416826" w14:textId="24668E82" w:rsidR="00AC4E2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after ChatGPT's release, analysts raised their short- and long-term earnings forecasts significantly more for high-exposure firms. A one-standard-deviation increase in exposure meant a 1.8% higher update in EPS forecasts, which is similar in size to the stock return effect. These firms also showed higher realized gross profitability. In contrast, neither forecasted nor realized revenues responded significantly, so the gains seem to come from cost savings rather than a demand boom. Second, firms' hiring </w:t>
      </w:r>
      <w:r w:rsidR="000606A4" w:rsidRPr="00F414EA">
        <w:rPr>
          <w:rFonts w:ascii="Century" w:hAnsi="Century" w:cs="Big Caslon Medium"/>
          <w:sz w:val="22"/>
          <w:szCs w:val="22"/>
          <w:lang w:val="en-US"/>
        </w:rPr>
        <w:t>behavior</w:t>
      </w:r>
      <w:r w:rsidRPr="00F414EA">
        <w:rPr>
          <w:rFonts w:ascii="Century" w:hAnsi="Century" w:cs="Big Caslon Medium"/>
          <w:sz w:val="22"/>
          <w:szCs w:val="22"/>
          <w:lang w:val="en-US"/>
        </w:rPr>
        <w:t xml:space="preserve"> supports this interpretation. Highly exposed firms cut job postings for exposed occupations by about 11% and reduced overall headcount in those roles, while across the broader economy, exposed occupations saw job postings fall by 8% and wages drop relatively.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Finally, the core versus supplemental split separates substitution from complementarity. Occupations exposed primarily through core tasks, such as proofreaders or web developers, saw sharply lower </w:t>
      </w:r>
      <w:r w:rsidR="00DD23E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demand and 1.4% lower wages, while those exposed through supplemental tasks, such as architects or financial managers, experienced positive effects. Since the value increase was concentrated in core-task exposure, the authors conclude that labor substitution was the main driver.</w:t>
      </w:r>
    </w:p>
    <w:p w14:paraId="1DDDE235" w14:textId="77777777" w:rsidR="00766435" w:rsidRPr="00F414EA" w:rsidRDefault="00766435" w:rsidP="00D11C44">
      <w:pPr>
        <w:spacing w:after="160" w:line="360" w:lineRule="auto"/>
        <w:ind w:firstLine="708"/>
        <w:jc w:val="both"/>
        <w:rPr>
          <w:rFonts w:ascii="Century" w:hAnsi="Century" w:cs="Big Caslon Medium"/>
          <w:sz w:val="22"/>
          <w:szCs w:val="22"/>
          <w:lang w:val="en-US"/>
        </w:rPr>
      </w:pPr>
    </w:p>
    <w:p w14:paraId="02CB14EE" w14:textId="2A3E4353" w:rsidR="008E074F" w:rsidRPr="00F414EA" w:rsidRDefault="00DE1564" w:rsidP="008E074F">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WHAT THE PAPER DOES NOT ANSWER</w:t>
      </w:r>
    </w:p>
    <w:p w14:paraId="379A37C4" w14:textId="31A62718" w:rsidR="00F405F5" w:rsidRPr="00F414EA" w:rsidRDefault="006964EF" w:rsidP="006964EF">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2.1 A Question the Paper Cannot Reach</w:t>
      </w:r>
    </w:p>
    <w:p w14:paraId="01C22DEB"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Eisfeldt et. all report a 5% estimate of the difference in cumulative abnormal returns post-ChatGPT between firms in the highest and the lowest quintiles of employee task exposure to Generative AI. Some of the paper length is owed to the complex construction of core and supplemental task exposure rates. The principal channel is labor exposure: workforce productivity gains under complementarity or cost-saving labor substitution affect the expected free cash in company fundamentals. The secondary channel is product value displacement by AI, or that products become at least in part obsolete with the development of AI, which is later observed to not be statistically significant from within-industry variation. Controls for market co-movements seem robust, with CAPM and Fama-French Five Factors Model returning significant alpha after the event period. In this section, we propose that these controls are correct, the channels well-identified, and that the unreversed valuation difference is correctly attributed to the generative AI technological shock.</w:t>
      </w:r>
    </w:p>
    <w:p w14:paraId="116846BC"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 xml:space="preserve">This comment concerns a question the paper cannot reach, under the umbrella of the issue raised in section II’s "One concern might be that our results are driven by firms’ differential exposures to risk factors" . We will reframe the main estimate: </w:t>
      </w:r>
      <w:r w:rsidRPr="00F414EA">
        <w:rPr>
          <w:rFonts w:ascii="Century" w:hAnsi="Century" w:cs="Calibri"/>
          <w:i/>
          <w:iCs/>
          <w:color w:val="000000"/>
          <w:sz w:val="22"/>
          <w:szCs w:val="22"/>
          <w:lang w:val="en-US"/>
        </w:rPr>
        <w:t>the highest quintile of firms in AI task exposure earned a 5% premium over the lowest in the two weeks after ChatGPT is introduced</w:t>
      </w:r>
      <w:r w:rsidRPr="00F414EA">
        <w:rPr>
          <w:rFonts w:ascii="Century" w:hAnsi="Century" w:cs="Calibri"/>
          <w:color w:val="000000"/>
          <w:sz w:val="22"/>
          <w:szCs w:val="22"/>
          <w:lang w:val="en-US"/>
        </w:rPr>
        <w:t xml:space="preserve"> – to the highest quintile of </w:t>
      </w:r>
      <w:r w:rsidRPr="00F414EA">
        <w:rPr>
          <w:rFonts w:ascii="Century" w:hAnsi="Century" w:cs="Calibri"/>
          <w:i/>
          <w:iCs/>
          <w:color w:val="000000"/>
          <w:sz w:val="22"/>
          <w:szCs w:val="22"/>
          <w:lang w:val="en-US"/>
        </w:rPr>
        <w:t xml:space="preserve">American public firms traded in the NYSE </w:t>
      </w:r>
      <w:r w:rsidRPr="00F414EA">
        <w:rPr>
          <w:rFonts w:ascii="Century" w:hAnsi="Century" w:cs="Calibri"/>
          <w:color w:val="000000"/>
          <w:sz w:val="22"/>
          <w:szCs w:val="22"/>
          <w:lang w:val="en-US"/>
        </w:rPr>
        <w:t xml:space="preserve"> in AI exposure earn a 5% </w:t>
      </w:r>
      <w:r w:rsidRPr="00F414EA">
        <w:rPr>
          <w:rFonts w:ascii="Century" w:hAnsi="Century" w:cs="Calibri"/>
          <w:i/>
          <w:iCs/>
          <w:color w:val="000000"/>
          <w:sz w:val="22"/>
          <w:szCs w:val="22"/>
          <w:lang w:val="en-US"/>
        </w:rPr>
        <w:t>cumulative abnormal return premium</w:t>
      </w:r>
      <w:r w:rsidRPr="00F414EA">
        <w:rPr>
          <w:rFonts w:ascii="Century" w:hAnsi="Century" w:cs="Calibri"/>
          <w:color w:val="000000"/>
          <w:sz w:val="22"/>
          <w:szCs w:val="22"/>
          <w:lang w:val="en-US"/>
        </w:rPr>
        <w:t xml:space="preserve"> in the two weeks after ChatGPT is </w:t>
      </w:r>
      <w:r w:rsidRPr="00F414EA">
        <w:rPr>
          <w:rFonts w:ascii="Century" w:hAnsi="Century" w:cs="Calibri"/>
          <w:i/>
          <w:iCs/>
          <w:color w:val="000000"/>
          <w:sz w:val="22"/>
          <w:szCs w:val="22"/>
          <w:lang w:val="en-US"/>
        </w:rPr>
        <w:t>announced,</w:t>
      </w:r>
      <w:r w:rsidRPr="00F414EA">
        <w:rPr>
          <w:rFonts w:ascii="Century" w:hAnsi="Century" w:cs="Calibri"/>
          <w:color w:val="000000"/>
          <w:sz w:val="22"/>
          <w:szCs w:val="22"/>
          <w:lang w:val="en-US"/>
        </w:rPr>
        <w:t xml:space="preserve"> where there is </w:t>
      </w:r>
      <w:r w:rsidRPr="00F414EA">
        <w:rPr>
          <w:rFonts w:ascii="Century" w:hAnsi="Century" w:cs="Calibri"/>
          <w:i/>
          <w:iCs/>
          <w:color w:val="000000"/>
          <w:sz w:val="22"/>
          <w:szCs w:val="22"/>
          <w:lang w:val="en-US"/>
        </w:rPr>
        <w:t>media activity</w:t>
      </w:r>
      <w:r w:rsidRPr="00F414EA">
        <w:rPr>
          <w:rFonts w:ascii="Century" w:hAnsi="Century" w:cs="Calibri"/>
          <w:color w:val="000000"/>
          <w:sz w:val="22"/>
          <w:szCs w:val="22"/>
          <w:lang w:val="en-US"/>
        </w:rPr>
        <w:t xml:space="preserve"> </w:t>
      </w:r>
      <w:r w:rsidRPr="00F414EA">
        <w:rPr>
          <w:rFonts w:ascii="Century" w:hAnsi="Century" w:cs="Calibri"/>
          <w:i/>
          <w:iCs/>
          <w:color w:val="000000"/>
          <w:sz w:val="22"/>
          <w:szCs w:val="22"/>
          <w:lang w:val="en-US"/>
        </w:rPr>
        <w:t xml:space="preserve">on Twitter around ChatGPT. </w:t>
      </w:r>
      <w:r w:rsidRPr="00F414EA">
        <w:rPr>
          <w:rFonts w:ascii="Century" w:hAnsi="Century" w:cs="Calibri"/>
          <w:color w:val="000000"/>
          <w:sz w:val="22"/>
          <w:szCs w:val="22"/>
          <w:lang w:val="en-US"/>
        </w:rPr>
        <w:t xml:space="preserve">What the paper never gets to do is check on the momentum factor, which is also available from the Ken French website data source, i.e., </w:t>
      </w:r>
      <w:r w:rsidRPr="00F414EA">
        <w:rPr>
          <w:rFonts w:ascii="Century" w:hAnsi="Century" w:cs="Calibri"/>
          <w:i/>
          <w:iCs/>
          <w:color w:val="000000"/>
          <w:sz w:val="22"/>
          <w:szCs w:val="22"/>
          <w:lang w:val="en-US"/>
        </w:rPr>
        <w:t>are the firms winning and losing after the release of ChatGPT firms that were winning and losing already</w:t>
      </w:r>
      <w:r w:rsidRPr="00F414EA">
        <w:rPr>
          <w:rFonts w:ascii="Century" w:hAnsi="Century" w:cs="Calibri"/>
          <w:color w:val="000000"/>
          <w:sz w:val="22"/>
          <w:szCs w:val="22"/>
          <w:lang w:val="en-US"/>
        </w:rPr>
        <w:t xml:space="preserve">? Probably not, from the breakdown of momentum in the period, which changes signs from negative to positive. The exclusion of momentum actually seems deliberate. There is large negative momentum from the standard previous 12-month window, lagged a month, i.e., ending a month prior to the release of ChatGPT. This momentum seems to reverse around the exact critical period. Markets have no memory, and people aren't any better, so we might want to remember what macroeconomic events we were struggling with at the time. The war in Ukraine, leading to the largest energy shock in Europe since the 1970s and intervention in the energy markets. Persistent inflation and rising public debt across the OECD as we were finally exiting the COVID-19 pandemic. Market interventions and central bank </w:t>
      </w:r>
      <w:r w:rsidRPr="00F414EA">
        <w:rPr>
          <w:rFonts w:ascii="Century" w:hAnsi="Century" w:cs="Calibri"/>
          <w:color w:val="000000"/>
          <w:sz w:val="22"/>
          <w:szCs w:val="22"/>
          <w:lang w:val="en-US"/>
        </w:rPr>
        <w:lastRenderedPageBreak/>
        <w:t>actions, plus the gradual recovery of consumer demand and the explosion of post-pandemic travel and tourism (due to accumulated savings), might have a large positive effect on stock returns (reversing negative momentum), which is confounded by the exposure factor when uncontrolled for. Evidence on the momentum factor, possibly including work on the causal effect of the event period in the change in momentum - against, for example, public interest rate and CPI news – is a miss. A regression discontinuity on the value of momentum around the critical period, which is persistent except for breakdowns, would help to settle the question. So what the paper never actually reaches is the causal explanation of the momentum reversal, which itself is never identified, i.e., is</w:t>
      </w:r>
      <w:r w:rsidRPr="00F414EA">
        <w:rPr>
          <w:rFonts w:ascii="Century" w:hAnsi="Century" w:cs="Calibri"/>
          <w:i/>
          <w:iCs/>
          <w:color w:val="000000"/>
          <w:sz w:val="22"/>
          <w:szCs w:val="22"/>
          <w:lang w:val="en-US"/>
        </w:rPr>
        <w:t xml:space="preserve"> the change in the momentum observed in the 12-month prior attributable to the release of ChatGPT, or to other events, including macroeconomic ones?</w:t>
      </w:r>
    </w:p>
    <w:p w14:paraId="686E5886" w14:textId="77777777" w:rsidR="006964EF" w:rsidRPr="00F414EA" w:rsidRDefault="006964EF" w:rsidP="006964EF">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2.2 A Reason the Reported Estimate Might Mislead</w:t>
      </w:r>
    </w:p>
    <w:p w14:paraId="7C7F9EFA" w14:textId="4A61D63E" w:rsidR="006964EF" w:rsidRPr="00F414EA" w:rsidRDefault="006964EF" w:rsidP="00710ACE">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window used to measure the reaction to ChatGPT, November 30 to December 14, 2022, also contains two of the most closely watched macro events of the quarter, which raises the question of </w:t>
      </w:r>
      <w:r w:rsidRPr="00F414EA">
        <w:rPr>
          <w:rFonts w:ascii="Century" w:hAnsi="Century" w:cs="Calibri"/>
          <w:i/>
          <w:iCs/>
          <w:color w:val="000000"/>
          <w:sz w:val="22"/>
          <w:szCs w:val="22"/>
          <w:lang w:val="en-US"/>
        </w:rPr>
        <w:t>whether the reported AMH return is partly driven by this scheduled news rather than by the release of ChatGPT itself</w:t>
      </w:r>
      <w:r w:rsidRPr="00F414EA">
        <w:rPr>
          <w:rFonts w:ascii="Century" w:hAnsi="Century" w:cs="Calibri"/>
          <w:color w:val="000000"/>
          <w:sz w:val="22"/>
          <w:szCs w:val="22"/>
          <w:lang w:val="en-US"/>
        </w:rPr>
        <w:t>. On December 13, a softer-than-expected November CPI print (7.1% YoY vs. 7.3% consensus) drove yields down and the S&amp;P 500 up 0.73%. On December 14, the final day of the window, the FOMC raised rates by 50 basis points as expected, but J. Powell's hawkish remarks reversed the market, and the S&amp;P 500 closed down 0.61%.</w:t>
      </w:r>
      <w:r w:rsidR="00710ACE" w:rsidRPr="00F414EA">
        <w:rPr>
          <w:rFonts w:ascii="Century" w:hAnsi="Century"/>
          <w:sz w:val="22"/>
          <w:szCs w:val="22"/>
          <w:lang w:val="en-US"/>
        </w:rPr>
        <w:t xml:space="preserve"> </w:t>
      </w:r>
      <w:r w:rsidRPr="00F414EA">
        <w:rPr>
          <w:rFonts w:ascii="Century" w:hAnsi="Century" w:cs="Calibri"/>
          <w:color w:val="000000"/>
          <w:sz w:val="22"/>
          <w:szCs w:val="22"/>
          <w:lang w:val="en-US"/>
        </w:rPr>
        <w:t xml:space="preserve">Because the two shocks moved the aggregate market in opposite directions of similar magnitude, a simple "rates up, market down" story cannot explain the result: AMH is long-short and dollar-neutral, so a uniform market move is absorbed by construction and further stripped out by the CAPM and FF5 adjustments. The sharper concern is differential sensitivity. If high-exposure firms are disproportionately human-capital-intensive, growth-oriented businesses (consistent with the paper's own finding that exposure concentrates in IT and professional services rather than in tangible-asset sectors (Table III, Figure 4)), they plausibly carry higher valuation </w:t>
      </w:r>
      <w:r w:rsidR="00F013AD" w:rsidRPr="00F414EA">
        <w:rPr>
          <w:rFonts w:ascii="Century" w:hAnsi="Century" w:cs="Calibri"/>
          <w:color w:val="000000"/>
          <w:sz w:val="22"/>
          <w:szCs w:val="22"/>
          <w:lang w:val="en-US"/>
        </w:rPr>
        <w:t>duration and</w:t>
      </w:r>
      <w:r w:rsidRPr="00F414EA">
        <w:rPr>
          <w:rFonts w:ascii="Century" w:hAnsi="Century" w:cs="Calibri"/>
          <w:color w:val="000000"/>
          <w:sz w:val="22"/>
          <w:szCs w:val="22"/>
          <w:lang w:val="en-US"/>
        </w:rPr>
        <w:t xml:space="preserve"> would rally more on the dovish CPI day and fall more on the hawkish FOMC day. Whether these offsetting effects cancel out or leave a net bias is not resolved by the paper's controls, since none of the five Fama-French factors targets interest rate risk specifically.</w:t>
      </w:r>
    </w:p>
    <w:p w14:paraId="523C9411" w14:textId="5D034CD8" w:rsidR="006964EF" w:rsidRPr="00F414EA" w:rsidRDefault="006964EF" w:rsidP="00F8130C">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authors do not test this directly, but two appendix checks bear on it. Their one-week window (Table IA.5, Nov 29–Dec 7) ends before both events and yields a smaller but </w:t>
      </w:r>
      <w:r w:rsidRPr="00F414EA">
        <w:rPr>
          <w:rFonts w:ascii="Century" w:hAnsi="Century" w:cs="Calibri"/>
          <w:color w:val="000000"/>
          <w:sz w:val="22"/>
          <w:szCs w:val="22"/>
          <w:lang w:val="en-US"/>
        </w:rPr>
        <w:lastRenderedPageBreak/>
        <w:t>still significant FF5 alpha of 0.218%/day (t = 2.76), versus 0.350%/day (t = 3.85) over the full two weeks. Their three-week window (Table IA.6, to Dec 21) includes both events and yields 0.255%/day, smaller than the two-week estimate. Since these windows vary the number of ordinary trading days along with the presence of December 13–14, they cannot cleanly isolate the two dates. We test this directly in Section 4: isolating the AMH return on December 13</w:t>
      </w:r>
      <w:r w:rsidR="003262F5" w:rsidRPr="00F414EA">
        <w:rPr>
          <w:rFonts w:ascii="Century" w:hAnsi="Century" w:cs="Calibri"/>
          <w:color w:val="000000"/>
          <w:sz w:val="22"/>
          <w:szCs w:val="22"/>
          <w:lang w:val="en-US"/>
        </w:rPr>
        <w:t>-14 and</w:t>
      </w:r>
      <w:r w:rsidRPr="00F414EA">
        <w:rPr>
          <w:rFonts w:ascii="Century" w:hAnsi="Century" w:cs="Calibri"/>
          <w:color w:val="000000"/>
          <w:sz w:val="22"/>
          <w:szCs w:val="22"/>
          <w:lang w:val="en-US"/>
        </w:rPr>
        <w:t xml:space="preserve"> re-estimating the paper's central specification with these two days excluded. If the exposure-return relation is stable with and without them, this would indicate the macro news does not materially explain the two-week result, strengthening confidence that the estimate reflects a genuine reaction to Generative AI exposure.</w:t>
      </w:r>
    </w:p>
    <w:p w14:paraId="7647C0C3" w14:textId="3B7A39EF" w:rsidR="00FA72EB" w:rsidRPr="00F414EA" w:rsidRDefault="00FA72EB" w:rsidP="00FA72EB">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t>DESIGN AND DATA</w:t>
      </w:r>
    </w:p>
    <w:p w14:paraId="1CD6997F" w14:textId="244D9EEE" w:rsidR="00D11C44" w:rsidRPr="00F414EA" w:rsidRDefault="0074441E" w:rsidP="00D11C44">
      <w:pPr>
        <w:spacing w:before="320" w:after="160" w:line="360" w:lineRule="auto"/>
        <w:outlineLvl w:val="1"/>
        <w:rPr>
          <w:rFonts w:ascii="Century" w:hAnsi="Century" w:cs="Calibri"/>
          <w:color w:val="000000"/>
          <w:sz w:val="22"/>
          <w:szCs w:val="22"/>
          <w:lang w:val="en-US"/>
        </w:rPr>
      </w:pPr>
      <w:r w:rsidRPr="00F414EA">
        <w:rPr>
          <w:rFonts w:ascii="Century" w:hAnsi="Century"/>
          <w:sz w:val="22"/>
          <w:szCs w:val="22"/>
          <w:lang w:val="en-US"/>
        </w:rPr>
        <w:t>3</w:t>
      </w:r>
      <w:r w:rsidRPr="00F414EA">
        <w:rPr>
          <w:rFonts w:ascii="Century" w:hAnsi="Century" w:cs="Calibri"/>
          <w:color w:val="000000"/>
          <w:sz w:val="22"/>
          <w:szCs w:val="22"/>
          <w:lang w:val="en-US"/>
        </w:rPr>
        <w:t>.1 Empirical Design</w:t>
      </w:r>
    </w:p>
    <w:p w14:paraId="218BB61B" w14:textId="63E7A0BA" w:rsidR="0074441E" w:rsidRPr="00F414EA" w:rsidRDefault="0074441E" w:rsidP="00D11C44">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In Section 2.2, we argue that the paper's reported AMH CAR estimate over the Nov 30 – Dec 14,</w:t>
      </w:r>
      <w:r w:rsidRPr="00F414EA">
        <w:rPr>
          <w:rFonts w:ascii="Century" w:hAnsi="Century"/>
          <w:sz w:val="22"/>
          <w:szCs w:val="22"/>
          <w:lang w:val="en-US"/>
        </w:rPr>
        <w:t xml:space="preserve"> </w:t>
      </w:r>
      <w:r w:rsidR="006D2CF9" w:rsidRPr="00F414EA">
        <w:rPr>
          <w:rFonts w:ascii="Century" w:hAnsi="Century"/>
          <w:sz w:val="22"/>
          <w:szCs w:val="22"/>
          <w:lang w:val="en-US"/>
        </w:rPr>
        <w:t>2022,</w:t>
      </w:r>
      <w:r w:rsidRPr="00F414EA">
        <w:rPr>
          <w:rFonts w:ascii="Century" w:hAnsi="Century"/>
          <w:sz w:val="22"/>
          <w:szCs w:val="22"/>
          <w:lang w:val="en-US"/>
        </w:rPr>
        <w:t xml:space="preserve"> event window may be partly driven by two macroeconomic announcements falling inside that window (the CPI release and the FOMC's 50 bp hike) which could move firms asymmetrically if they differ in duration/growth sensitivity. The paper's CAPM and Fama-French controls absorb market, size, value, profitability and investment risk, but none of these specifically targets interest-rate risk.</w:t>
      </w:r>
    </w:p>
    <w:p w14:paraId="6837E535" w14:textId="5F31D2F8" w:rsidR="00DD2511" w:rsidRPr="00F414EA" w:rsidRDefault="003A6DD7" w:rsidP="004F4428">
      <w:pPr>
        <w:spacing w:line="360" w:lineRule="auto"/>
        <w:ind w:firstLine="708"/>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63360" behindDoc="0" locked="0" layoutInCell="1" allowOverlap="1" wp14:anchorId="6F9F1C28" wp14:editId="4B9AFE98">
                <wp:simplePos x="0" y="0"/>
                <wp:positionH relativeFrom="column">
                  <wp:posOffset>1605280</wp:posOffset>
                </wp:positionH>
                <wp:positionV relativeFrom="paragraph">
                  <wp:posOffset>3225800</wp:posOffset>
                </wp:positionV>
                <wp:extent cx="414867" cy="296333"/>
                <wp:effectExtent l="0" t="0" r="4445" b="0"/>
                <wp:wrapNone/>
                <wp:docPr id="234347638" name="Caixa de texto 3"/>
                <wp:cNvGraphicFramePr/>
                <a:graphic xmlns:a="http://schemas.openxmlformats.org/drawingml/2006/main">
                  <a:graphicData uri="http://schemas.microsoft.com/office/word/2010/wordprocessingShape">
                    <wps:wsp>
                      <wps:cNvSpPr txBox="1"/>
                      <wps:spPr>
                        <a:xfrm>
                          <a:off x="0" y="0"/>
                          <a:ext cx="414867" cy="296333"/>
                        </a:xfrm>
                        <a:prstGeom prst="rect">
                          <a:avLst/>
                        </a:prstGeom>
                        <a:solidFill>
                          <a:schemeClr val="lt1"/>
                        </a:solidFill>
                        <a:ln w="6350">
                          <a:noFill/>
                        </a:ln>
                      </wps:spPr>
                      <wps:txbx>
                        <w:txbxContent>
                          <w:p w14:paraId="16639DA3" w14:textId="77777777" w:rsidR="003A6DD7" w:rsidRPr="003A6DD7" w:rsidRDefault="003A6DD7" w:rsidP="003A6DD7">
                            <w:pPr>
                              <w:rPr>
                                <w:rFonts w:ascii="Century" w:hAnsi="Century"/>
                                <w:sz w:val="20"/>
                                <w:szCs w:val="20"/>
                              </w:rPr>
                            </w:pPr>
                            <w:r w:rsidRPr="003A6DD7">
                              <w:rPr>
                                <w:rFonts w:ascii="Aptos" w:hAnsi="Aptos"/>
                                <w:sz w:val="20"/>
                                <w:szCs w:val="20"/>
                              </w:rPr>
                              <w:t>(</w:t>
                            </w:r>
                            <w:r w:rsidRPr="003A6DD7">
                              <w:rPr>
                                <w:rFonts w:ascii="Century" w:hAnsi="Century"/>
                                <w:sz w:val="20"/>
                                <w:szCs w:val="20"/>
                              </w:rPr>
                              <w:t>1</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9F1C28" id="_x0000_t202" coordsize="21600,21600" o:spt="202" path="m,l,21600r21600,l21600,xe">
                <v:stroke joinstyle="miter"/>
                <v:path gradientshapeok="t" o:connecttype="rect"/>
              </v:shapetype>
              <v:shape id="Caixa de texto 3" o:spid="_x0000_s1026" type="#_x0000_t202" style="position:absolute;left:0;text-align:left;margin-left:126.4pt;margin-top:254pt;width:32.65pt;height:23.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" fillcolor="white [3201]" stroked="f" strokeweight=".5pt">
                <v:textbox>
                  <w:txbxContent>
                    <w:p w14:paraId="16639DA3" w14:textId="77777777" w:rsidR="003A6DD7" w:rsidRPr="003A6DD7" w:rsidRDefault="003A6DD7" w:rsidP="003A6DD7">
                      <w:pPr>
                        <w:rPr>
                          <w:rFonts w:ascii="Century" w:hAnsi="Century"/>
                          <w:sz w:val="20"/>
                          <w:szCs w:val="20"/>
                        </w:rPr>
                      </w:pPr>
                      <w:r w:rsidRPr="003A6DD7">
                        <w:rPr>
                          <w:rFonts w:ascii="Aptos" w:hAnsi="Aptos"/>
                          <w:sz w:val="20"/>
                          <w:szCs w:val="20"/>
                        </w:rPr>
                        <w:t>(</w:t>
                      </w:r>
                      <w:r w:rsidRPr="003A6DD7">
                        <w:rPr>
                          <w:rFonts w:ascii="Century" w:hAnsi="Century"/>
                          <w:sz w:val="20"/>
                          <w:szCs w:val="20"/>
                        </w:rPr>
                        <w:t>1</w:t>
                      </w:r>
                      <w:r w:rsidRPr="003A6DD7">
                        <w:rPr>
                          <w:rFonts w:ascii="Aptos" w:hAnsi="Aptos"/>
                          <w:sz w:val="20"/>
                          <w:szCs w:val="20"/>
                        </w:rPr>
                        <w:t>)</w:t>
                      </w:r>
                    </w:p>
                  </w:txbxContent>
                </v:textbox>
              </v:shape>
            </w:pict>
          </mc:Fallback>
        </mc:AlternateContent>
      </w:r>
      <w:r w:rsidR="0074441E" w:rsidRPr="00F414EA">
        <w:rPr>
          <w:rFonts w:ascii="Century" w:hAnsi="Century"/>
          <w:sz w:val="22"/>
          <w:szCs w:val="22"/>
          <w:lang w:val="en-US"/>
        </w:rPr>
        <w:t>Our goal is to reproduce what the paper does (similar set of firms, the same exposure measure) but with a different model for the normal returns (CAPM) and to manipulate only which trading days are cumulated into the abnormal return. This isolates the contribution of December 13–14 without introducing a different methodology that would make the comparison uninterpretable.</w:t>
      </w:r>
      <w:r w:rsidR="00710ACE" w:rsidRPr="00F414EA">
        <w:rPr>
          <w:rFonts w:ascii="Century" w:hAnsi="Century"/>
          <w:sz w:val="22"/>
          <w:szCs w:val="22"/>
          <w:lang w:val="en-US"/>
        </w:rPr>
        <w:t xml:space="preserve"> </w:t>
      </w:r>
      <w:r w:rsidR="0074441E" w:rsidRPr="00F414EA">
        <w:rPr>
          <w:rFonts w:ascii="Century" w:hAnsi="Century"/>
          <w:sz w:val="22"/>
          <w:szCs w:val="22"/>
          <w:lang w:val="en-US"/>
        </w:rPr>
        <w:t>We index trading days relative to the event date, so that day t = 0 corresponds to November 30, 2022, the date of ChatGPT's public release. The full event window, which replicates the paper's own specification, spans trading days t = 0 through t = +10 (Nov 30 – Dec 14, 2022). Our excluded-days window covers the same calendar span, but the daily abnormal returns for December 13 and December 14 are removed before cumulating. This keeps the set of firms and the length of exposure to the post-release information environment as close as possible to the paper's design, changing only the two suspected dates. Normal returns are estimated using a CAPM regression: </w:t>
      </w:r>
    </w:p>
    <w:p w14:paraId="6737D8DE" w14:textId="612E36F5"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vertAlign w:val="subscript"/>
                  <w:lang w:val="en-US"/>
                </w:rPr>
              </m:ctrlPr>
            </m:sSubPr>
            <m:e>
              <m:r>
                <w:rPr>
                  <w:rFonts w:ascii="Cambria Math" w:hAnsi="Cambria Math"/>
                  <w:sz w:val="22"/>
                  <w:szCs w:val="22"/>
                  <w:vertAlign w:val="subscript"/>
                  <w:lang w:val="en-US"/>
                </w:rPr>
                <m:t>R</m:t>
              </m:r>
            </m:e>
            <m:sub>
              <m:r>
                <w:rPr>
                  <w:rFonts w:ascii="Cambria Math" w:hAnsi="Cambria Math"/>
                  <w:sz w:val="22"/>
                  <w:szCs w:val="22"/>
                  <w:vertAlign w:val="subscript"/>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α</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i,t</m:t>
              </m:r>
            </m:sub>
          </m:sSub>
        </m:oMath>
      </m:oMathPara>
    </w:p>
    <w:p w14:paraId="6487AD90" w14:textId="5CB16B4E"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lastRenderedPageBreak/>
        <w:t>where R</w:t>
      </w:r>
      <w:r w:rsidRPr="00F414EA">
        <w:rPr>
          <w:rFonts w:ascii="Century" w:hAnsi="Century"/>
          <w:sz w:val="22"/>
          <w:szCs w:val="22"/>
          <w:vertAlign w:val="subscript"/>
          <w:lang w:val="en-US"/>
        </w:rPr>
        <w:t>it</w:t>
      </w:r>
      <w:r w:rsidRPr="00F414EA">
        <w:rPr>
          <w:rFonts w:ascii="Century" w:hAnsi="Century"/>
          <w:sz w:val="22"/>
          <w:szCs w:val="22"/>
          <w:lang w:val="en-US"/>
        </w:rPr>
        <w:t xml:space="preserve"> and R</w:t>
      </w:r>
      <w:r w:rsidRPr="00F414EA">
        <w:rPr>
          <w:rFonts w:ascii="Century" w:hAnsi="Century"/>
          <w:sz w:val="22"/>
          <w:szCs w:val="22"/>
          <w:vertAlign w:val="subscript"/>
          <w:lang w:val="en-US"/>
        </w:rPr>
        <w:t>mt</w:t>
      </w:r>
      <w:r w:rsidRPr="00F414EA">
        <w:rPr>
          <w:rFonts w:ascii="Century" w:hAnsi="Century"/>
          <w:sz w:val="22"/>
          <w:szCs w:val="22"/>
          <w:lang w:val="en-US"/>
        </w:rPr>
        <w:t xml:space="preserve"> are firm i's and the market's excess returns (over the risk-free rate) on day t, using the K. French value-weighted index as the market portfolio. Predicted excess returns from this CAPM regression define the daily abnormal return for each firm:</w:t>
      </w:r>
    </w:p>
    <w:p w14:paraId="441A6340" w14:textId="38A50883"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AR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α</m:t>
                  </m:r>
                </m:e>
              </m:acc>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β</m:t>
                  </m:r>
                </m:e>
              </m:acc>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m:t>
          </m:r>
        </m:oMath>
      </m:oMathPara>
    </w:p>
    <w:p w14:paraId="173C527F" w14:textId="7C77EFEF" w:rsidR="0074441E" w:rsidRPr="00F414EA" w:rsidRDefault="00211415" w:rsidP="009F4583">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59264" behindDoc="0" locked="0" layoutInCell="1" allowOverlap="1" wp14:anchorId="1D7CFCC8" wp14:editId="01860E34">
                <wp:simplePos x="0" y="0"/>
                <wp:positionH relativeFrom="column">
                  <wp:posOffset>-80010</wp:posOffset>
                </wp:positionH>
                <wp:positionV relativeFrom="page">
                  <wp:posOffset>4543816</wp:posOffset>
                </wp:positionV>
                <wp:extent cx="414655" cy="295910"/>
                <wp:effectExtent l="0" t="0" r="4445" b="0"/>
                <wp:wrapNone/>
                <wp:docPr id="377069723"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33A5BE3D" w14:textId="1BB3CBC1" w:rsidR="003A6DD7" w:rsidRPr="003A6DD7" w:rsidRDefault="003A6DD7">
                            <w:pPr>
                              <w:rPr>
                                <w:rFonts w:ascii="Century" w:hAnsi="Century"/>
                                <w:sz w:val="20"/>
                                <w:szCs w:val="20"/>
                              </w:rPr>
                            </w:pPr>
                            <w:r w:rsidRPr="003A6DD7">
                              <w:rPr>
                                <w:rFonts w:ascii="Aptos" w:hAnsi="Aptos"/>
                                <w:sz w:val="20"/>
                                <w:szCs w:val="20"/>
                              </w:rPr>
                              <w:t>(</w:t>
                            </w:r>
                            <w:r w:rsidR="0008652B">
                              <w:rPr>
                                <w:rFonts w:ascii="Century" w:hAnsi="Century"/>
                                <w:sz w:val="20"/>
                                <w:szCs w:val="20"/>
                              </w:rPr>
                              <w:t>3</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7CFCC8" id="_x0000_s1027" type="#_x0000_t202" style="position:absolute;left:0;text-align:left;margin-left:-6.3pt;margin-top:357.8pt;width:32.65pt;height:2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" fillcolor="white [3201]" stroked="f" strokeweight=".5pt">
                <v:textbox>
                  <w:txbxContent>
                    <w:p w14:paraId="33A5BE3D" w14:textId="1BB3CBC1" w:rsidR="003A6DD7" w:rsidRPr="003A6DD7" w:rsidRDefault="003A6DD7">
                      <w:pPr>
                        <w:rPr>
                          <w:rFonts w:ascii="Century" w:hAnsi="Century"/>
                          <w:sz w:val="20"/>
                          <w:szCs w:val="20"/>
                        </w:rPr>
                      </w:pPr>
                      <w:r w:rsidRPr="003A6DD7">
                        <w:rPr>
                          <w:rFonts w:ascii="Aptos" w:hAnsi="Aptos"/>
                          <w:sz w:val="20"/>
                          <w:szCs w:val="20"/>
                        </w:rPr>
                        <w:t>(</w:t>
                      </w:r>
                      <w:r w:rsidR="0008652B">
                        <w:rPr>
                          <w:rFonts w:ascii="Century" w:hAnsi="Century"/>
                          <w:sz w:val="20"/>
                          <w:szCs w:val="20"/>
                        </w:rPr>
                        <w:t>3</w:t>
                      </w:r>
                      <w:r w:rsidRPr="003A6DD7">
                        <w:rPr>
                          <w:rFonts w:ascii="Aptos" w:hAnsi="Aptos"/>
                          <w:sz w:val="20"/>
                          <w:szCs w:val="20"/>
                        </w:rPr>
                        <w:t>)</w:t>
                      </w:r>
                    </w:p>
                  </w:txbxContent>
                </v:textbox>
                <w10:wrap anchory="page"/>
              </v:shape>
            </w:pict>
          </mc:Fallback>
        </mc:AlternateContent>
      </w:r>
      <w:r w:rsidRPr="00F414EA">
        <w:rPr>
          <w:rFonts w:ascii="Century" w:hAnsi="Century"/>
          <w:noProof/>
          <w:sz w:val="22"/>
          <w:szCs w:val="22"/>
          <w:lang w:val="en-US"/>
          <w14:ligatures w14:val="standardContextual"/>
        </w:rPr>
        <mc:AlternateContent>
          <mc:Choice Requires="wps">
            <w:drawing>
              <wp:anchor distT="0" distB="0" distL="114300" distR="114300" simplePos="0" relativeHeight="251665408" behindDoc="0" locked="0" layoutInCell="1" allowOverlap="1" wp14:anchorId="5265DD05" wp14:editId="65936CDF">
                <wp:simplePos x="0" y="0"/>
                <wp:positionH relativeFrom="column">
                  <wp:posOffset>1545590</wp:posOffset>
                </wp:positionH>
                <wp:positionV relativeFrom="paragraph">
                  <wp:posOffset>-290898</wp:posOffset>
                </wp:positionV>
                <wp:extent cx="414867" cy="296333"/>
                <wp:effectExtent l="0" t="0" r="4445" b="0"/>
                <wp:wrapNone/>
                <wp:docPr id="74072636" name="Caixa de texto 3"/>
                <wp:cNvGraphicFramePr/>
                <a:graphic xmlns:a="http://schemas.openxmlformats.org/drawingml/2006/main">
                  <a:graphicData uri="http://schemas.microsoft.com/office/word/2010/wordprocessingShape">
                    <wps:wsp>
                      <wps:cNvSpPr txBox="1"/>
                      <wps:spPr>
                        <a:xfrm>
                          <a:off x="0" y="0"/>
                          <a:ext cx="414867" cy="296333"/>
                        </a:xfrm>
                        <a:prstGeom prst="rect">
                          <a:avLst/>
                        </a:prstGeom>
                        <a:solidFill>
                          <a:schemeClr val="lt1"/>
                        </a:solidFill>
                        <a:ln w="6350">
                          <a:noFill/>
                        </a:ln>
                      </wps:spPr>
                      <wps:txbx>
                        <w:txbxContent>
                          <w:p w14:paraId="384460FE" w14:textId="79263D3D" w:rsidR="002B71A6" w:rsidRPr="003A6DD7" w:rsidRDefault="002B71A6" w:rsidP="002B71A6">
                            <w:pPr>
                              <w:rPr>
                                <w:rFonts w:ascii="Century" w:hAnsi="Century"/>
                                <w:sz w:val="20"/>
                                <w:szCs w:val="20"/>
                              </w:rPr>
                            </w:pPr>
                            <w:r w:rsidRPr="003A6DD7">
                              <w:rPr>
                                <w:rFonts w:ascii="Aptos" w:hAnsi="Aptos"/>
                                <w:sz w:val="20"/>
                                <w:szCs w:val="20"/>
                              </w:rPr>
                              <w:t>(</w:t>
                            </w:r>
                            <w:r>
                              <w:rPr>
                                <w:rFonts w:ascii="Century" w:hAnsi="Century"/>
                                <w:sz w:val="20"/>
                                <w:szCs w:val="20"/>
                              </w:rPr>
                              <w:t>2</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65DD05" id="_x0000_s1028" type="#_x0000_t202" style="position:absolute;left:0;text-align:left;margin-left:121.7pt;margin-top:-22.9pt;width:32.65pt;height:23.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" fillcolor="white [3201]" stroked="f" strokeweight=".5pt">
                <v:textbox>
                  <w:txbxContent>
                    <w:p w14:paraId="384460FE" w14:textId="79263D3D" w:rsidR="002B71A6" w:rsidRPr="003A6DD7" w:rsidRDefault="002B71A6" w:rsidP="002B71A6">
                      <w:pPr>
                        <w:rPr>
                          <w:rFonts w:ascii="Century" w:hAnsi="Century"/>
                          <w:sz w:val="20"/>
                          <w:szCs w:val="20"/>
                        </w:rPr>
                      </w:pPr>
                      <w:r w:rsidRPr="003A6DD7">
                        <w:rPr>
                          <w:rFonts w:ascii="Aptos" w:hAnsi="Aptos"/>
                          <w:sz w:val="20"/>
                          <w:szCs w:val="20"/>
                        </w:rPr>
                        <w:t>(</w:t>
                      </w:r>
                      <w:r>
                        <w:rPr>
                          <w:rFonts w:ascii="Century" w:hAnsi="Century"/>
                          <w:sz w:val="20"/>
                          <w:szCs w:val="20"/>
                        </w:rPr>
                        <w:t>2</w:t>
                      </w:r>
                      <w:r w:rsidRPr="003A6DD7">
                        <w:rPr>
                          <w:rFonts w:ascii="Aptos" w:hAnsi="Aptos"/>
                          <w:sz w:val="20"/>
                          <w:szCs w:val="20"/>
                        </w:rPr>
                        <w:t>)</w:t>
                      </w:r>
                    </w:p>
                  </w:txbxContent>
                </v:textbox>
              </v:shape>
            </w:pict>
          </mc:Fallback>
        </mc:AlternateContent>
      </w:r>
      <w:r w:rsidR="0074441E" w:rsidRPr="00F414EA">
        <w:rPr>
          <w:rFonts w:ascii="Century" w:hAnsi="Century"/>
          <w:sz w:val="22"/>
          <w:szCs w:val="22"/>
          <w:lang w:val="en-US"/>
        </w:rPr>
        <w:t>We run the regressions separately for each firm over the trading days t = −253 to t = −46 — that is, starting 253 trading days before the event and ending 46 trading days before it. Since there are roughly 252 trading days in a calendar year, this window corresponds to approximately one year of daily return data, ending about 45 trading days (roughly two months) before the event window begins. This gap is standard practice in event studies: it prevents the market-model estimation from picking up any unusual trading activity (rumors, anticipatory positioning, or analyst commentary) in the weeks immediately preceding ChatGPT's release.</w:t>
      </w:r>
      <w:r w:rsidR="000F74AC" w:rsidRPr="00F414EA">
        <w:rPr>
          <w:rFonts w:ascii="Century" w:hAnsi="Century"/>
          <w:sz w:val="22"/>
          <w:szCs w:val="22"/>
          <w:lang w:val="en-US"/>
        </w:rPr>
        <w:t xml:space="preserve"> </w:t>
      </w:r>
      <w:r w:rsidR="0074441E" w:rsidRPr="00F414EA">
        <w:rPr>
          <w:rFonts w:ascii="Century" w:hAnsi="Century"/>
          <w:sz w:val="22"/>
          <w:szCs w:val="22"/>
          <w:lang w:val="en-US"/>
        </w:rPr>
        <w:t>The estimation window and CAPM parameters are identical across both specifications below, only the summation step differs. We define the full-window CAR, the excluded-days CAR, and the isolated two-day diagnostic return as</w:t>
      </w:r>
    </w:p>
    <w:p w14:paraId="6DA27926" w14:textId="5A7C5C3D" w:rsidR="004D2AFD" w:rsidRPr="00F414EA" w:rsidRDefault="00A90B48" w:rsidP="00E15641">
      <w:pPr>
        <w:spacing w:before="240" w:after="240" w:line="360" w:lineRule="auto"/>
        <w:jc w:val="center"/>
        <w:rPr>
          <w:rFonts w:ascii="Century" w:hAnsi="Century"/>
          <w:iCs/>
          <w:sz w:val="22"/>
          <w:szCs w:val="22"/>
          <w:lang w:val="en-US"/>
        </w:rPr>
      </w:pP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r w:rsidR="00A84DF4" w:rsidRPr="00F414EA">
        <w:rPr>
          <w:rFonts w:ascii="Century" w:hAnsi="Century"/>
          <w:iCs/>
          <w:sz w:val="22"/>
          <w:szCs w:val="22"/>
          <w:lang w:val="en-US"/>
        </w:rPr>
        <w:t xml:space="preserve"> ; </w:t>
      </w: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r>
              <w:rPr>
                <w:rFonts w:ascii="Cambria Math" w:hAnsi="Cambria Math"/>
                <w:sz w:val="22"/>
                <w:szCs w:val="22"/>
                <w:lang w:val="en-US"/>
              </w:rPr>
              <m:t>\{Dec 13,14}</m:t>
            </m:r>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p>
    <w:p w14:paraId="226491EA" w14:textId="12CC92CC" w:rsidR="0074441E" w:rsidRPr="00F414EA" w:rsidRDefault="004D2AFD" w:rsidP="00E15641">
      <w:pPr>
        <w:spacing w:before="240" w:after="240" w:line="360" w:lineRule="auto"/>
        <w:jc w:val="center"/>
        <w:rPr>
          <w:rFonts w:ascii="Cambria Math" w:hAnsi="Cambria Math"/>
          <w:sz w:val="22"/>
          <w:szCs w:val="22"/>
          <w:lang w:val="en-US"/>
          <w:oMath/>
        </w:rPr>
      </w:pPr>
      <m:oMathPara>
        <m:oMath>
          <m:r>
            <w:rPr>
              <w:rFonts w:ascii="Cambria Math" w:hAnsi="Cambria Math"/>
              <w:sz w:val="22"/>
              <w:szCs w:val="22"/>
              <w:lang w:val="en-US"/>
            </w:rPr>
            <m:t>CA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2-day</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13</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14</m:t>
              </m:r>
            </m:sup>
          </m:sSubSup>
        </m:oMath>
      </m:oMathPara>
    </w:p>
    <w:p w14:paraId="073E7A08" w14:textId="203CAB86" w:rsidR="0074441E" w:rsidRPr="00F414EA" w:rsidRDefault="00211415" w:rsidP="00CF1E2D">
      <w:pPr>
        <w:spacing w:line="360" w:lineRule="auto"/>
        <w:jc w:val="both"/>
        <w:rPr>
          <w:rFonts w:ascii="Century" w:hAnsi="Century"/>
          <w:sz w:val="22"/>
          <w:szCs w:val="22"/>
          <w:highlight w:val="yellow"/>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71552" behindDoc="0" locked="0" layoutInCell="1" allowOverlap="1" wp14:anchorId="60B6C740" wp14:editId="3966A443">
                <wp:simplePos x="0" y="0"/>
                <wp:positionH relativeFrom="column">
                  <wp:posOffset>601345</wp:posOffset>
                </wp:positionH>
                <wp:positionV relativeFrom="page">
                  <wp:posOffset>6840102</wp:posOffset>
                </wp:positionV>
                <wp:extent cx="414655" cy="295910"/>
                <wp:effectExtent l="0" t="0" r="4445" b="0"/>
                <wp:wrapNone/>
                <wp:docPr id="942000642"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0A80D2EB" w14:textId="2AC907A5" w:rsidR="0008652B" w:rsidRPr="003A6DD7" w:rsidRDefault="0008652B" w:rsidP="0008652B">
                            <w:pPr>
                              <w:rPr>
                                <w:rFonts w:ascii="Century" w:hAnsi="Century"/>
                                <w:sz w:val="20"/>
                                <w:szCs w:val="20"/>
                              </w:rPr>
                            </w:pPr>
                            <w:r w:rsidRPr="003A6DD7">
                              <w:rPr>
                                <w:rFonts w:ascii="Aptos" w:hAnsi="Aptos"/>
                                <w:sz w:val="20"/>
                                <w:szCs w:val="20"/>
                              </w:rPr>
                              <w:t>(</w:t>
                            </w:r>
                            <w:r>
                              <w:rPr>
                                <w:rFonts w:ascii="Century" w:hAnsi="Century"/>
                                <w:sz w:val="20"/>
                                <w:szCs w:val="20"/>
                              </w:rPr>
                              <w:t>4</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6C740" id="_x0000_s1029" type="#_x0000_t202" style="position:absolute;left:0;text-align:left;margin-left:47.35pt;margin-top:538.6pt;width:32.65pt;height:23.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" fillcolor="white [3201]" stroked="f" strokeweight=".5pt">
                <v:textbox>
                  <w:txbxContent>
                    <w:p w14:paraId="0A80D2EB" w14:textId="2AC907A5" w:rsidR="0008652B" w:rsidRPr="003A6DD7" w:rsidRDefault="0008652B" w:rsidP="0008652B">
                      <w:pPr>
                        <w:rPr>
                          <w:rFonts w:ascii="Century" w:hAnsi="Century"/>
                          <w:sz w:val="20"/>
                          <w:szCs w:val="20"/>
                        </w:rPr>
                      </w:pPr>
                      <w:r w:rsidRPr="003A6DD7">
                        <w:rPr>
                          <w:rFonts w:ascii="Aptos" w:hAnsi="Aptos"/>
                          <w:sz w:val="20"/>
                          <w:szCs w:val="20"/>
                        </w:rPr>
                        <w:t>(</w:t>
                      </w:r>
                      <w:r>
                        <w:rPr>
                          <w:rFonts w:ascii="Century" w:hAnsi="Century"/>
                          <w:sz w:val="20"/>
                          <w:szCs w:val="20"/>
                        </w:rPr>
                        <w:t>4</w:t>
                      </w:r>
                      <w:r w:rsidRPr="003A6DD7">
                        <w:rPr>
                          <w:rFonts w:ascii="Aptos" w:hAnsi="Aptos"/>
                          <w:sz w:val="20"/>
                          <w:szCs w:val="20"/>
                        </w:rPr>
                        <w:t>)</w:t>
                      </w:r>
                    </w:p>
                  </w:txbxContent>
                </v:textbox>
                <w10:wrap anchory="page"/>
              </v:shape>
            </w:pict>
          </mc:Fallback>
        </mc:AlternateContent>
      </w:r>
      <w:r w:rsidR="0074441E" w:rsidRPr="00F414EA">
        <w:rPr>
          <w:rFonts w:ascii="Century" w:hAnsi="Century"/>
          <w:sz w:val="22"/>
          <w:szCs w:val="22"/>
          <w:lang w:val="en-US"/>
        </w:rPr>
        <w:t>We compare firms across the full cross-section using the continuous exposure measure rather than only a top/bottom quintile sort, so the test does not discard information in the middle of the exposure distribution. The main test estimates, twice, the following cross-sectional specification</w:t>
      </w:r>
      <w:r w:rsidR="004F0336" w:rsidRPr="00F414EA">
        <w:rPr>
          <w:rFonts w:ascii="Century" w:hAnsi="Century"/>
          <w:sz w:val="22"/>
          <w:szCs w:val="22"/>
          <w:lang w:val="en-US"/>
        </w:rPr>
        <w:t>, running Weighted Least Squares weighted on pre-fixed (Nov. 29) Market Capitalization</w:t>
      </w:r>
      <w:r w:rsidR="00DC73D9" w:rsidRPr="00F414EA">
        <w:rPr>
          <w:rFonts w:ascii="Century" w:hAnsi="Century"/>
          <w:sz w:val="22"/>
          <w:szCs w:val="22"/>
          <w:lang w:val="en-US"/>
        </w:rPr>
        <w:t>, as per the paper.</w:t>
      </w:r>
    </w:p>
    <w:p w14:paraId="02DC335E" w14:textId="075E557C" w:rsidR="0074441E" w:rsidRPr="00F414EA" w:rsidRDefault="00000000" w:rsidP="00E15641">
      <w:pPr>
        <w:spacing w:before="240" w:after="240"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CAR</m:t>
              </m:r>
            </m:e>
            <m:sub>
              <m:r>
                <w:rPr>
                  <w:rFonts w:ascii="Cambria Math" w:hAnsi="Cambria Math"/>
                  <w:sz w:val="22"/>
                  <w:szCs w:val="22"/>
                  <w:lang w:val="en-US"/>
                </w:rPr>
                <m:t>i</m:t>
              </m:r>
            </m:sub>
          </m:sSub>
          <m:r>
            <w:rPr>
              <w:rFonts w:ascii="Cambria Math" w:hAnsi="Cambria Math"/>
              <w:sz w:val="22"/>
              <w:szCs w:val="22"/>
              <w:lang w:val="en-US"/>
            </w:rPr>
            <m:t xml:space="preserve"> = α + β·</m:t>
          </m:r>
          <m:sSub>
            <m:sSubPr>
              <m:ctrlPr>
                <w:rPr>
                  <w:rFonts w:ascii="Cambria Math" w:hAnsi="Cambria Math"/>
                  <w:i/>
                  <w:iCs/>
                  <w:sz w:val="22"/>
                  <w:szCs w:val="22"/>
                  <w:lang w:val="en-US"/>
                </w:rPr>
              </m:ctrlPr>
            </m:sSubPr>
            <m:e>
              <m:r>
                <w:rPr>
                  <w:rFonts w:ascii="Cambria Math" w:hAnsi="Cambria Math"/>
                  <w:sz w:val="22"/>
                  <w:szCs w:val="22"/>
                  <w:lang w:val="en-US"/>
                </w:rPr>
                <m:t>Exposure</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γ</m:t>
              </m:r>
            </m:e>
            <m:sub>
              <m:r>
                <w:rPr>
                  <w:rFonts w:ascii="Cambria Math" w:hAnsi="Cambria Math"/>
                  <w:sz w:val="22"/>
                  <w:szCs w:val="22"/>
                  <w:lang w:val="en-US"/>
                </w:rPr>
                <m:t>1</m:t>
              </m:r>
            </m:sub>
          </m:sSub>
          <m:r>
            <w:rPr>
              <w:rFonts w:ascii="Cambria Math" w:hAnsi="Cambria Math"/>
              <w:sz w:val="22"/>
              <w:szCs w:val="22"/>
              <w:lang w:val="en-US"/>
            </w:rPr>
            <m:t>B</m:t>
          </m:r>
          <m:sSub>
            <m:sSubPr>
              <m:ctrlPr>
                <w:rPr>
                  <w:rFonts w:ascii="Cambria Math" w:hAnsi="Cambria Math"/>
                  <w:i/>
                  <w:iCs/>
                  <w:sz w:val="22"/>
                  <w:szCs w:val="22"/>
                  <w:lang w:val="en-US"/>
                </w:rPr>
              </m:ctrlPr>
            </m:sSubPr>
            <m:e>
              <m:r>
                <w:rPr>
                  <w:rFonts w:ascii="Cambria Math" w:hAnsi="Cambria Math"/>
                  <w:sz w:val="22"/>
                  <w:szCs w:val="22"/>
                  <w:lang w:val="en-US"/>
                </w:rPr>
                <m:t>M</m:t>
              </m:r>
            </m:e>
            <m:sub>
              <m:r>
                <w:rPr>
                  <w:rFonts w:ascii="Cambria Math" w:hAnsi="Cambria Math"/>
                  <w:sz w:val="22"/>
                  <w:szCs w:val="22"/>
                  <w:lang w:val="en-US"/>
                </w:rPr>
                <m:t>i</m:t>
              </m:r>
            </m:sub>
          </m:sSub>
          <m:r>
            <w:rPr>
              <w:rFonts w:ascii="Cambria Math" w:hAnsi="Cambria Math"/>
              <w:sz w:val="22"/>
              <w:szCs w:val="22"/>
              <w:lang w:val="en-US"/>
            </w:rPr>
            <m:t xml:space="preserve"> + δ(industry)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m:t>
              </m:r>
            </m:sub>
          </m:sSub>
        </m:oMath>
      </m:oMathPara>
    </w:p>
    <w:p w14:paraId="54AB41F0" w14:textId="4C9079DD"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estimated once with CAR</w:t>
      </w:r>
      <w:r w:rsidRPr="00F414EA">
        <w:rPr>
          <w:sz w:val="22"/>
          <w:szCs w:val="22"/>
          <w:lang w:val="en-US"/>
        </w:rPr>
        <w:t>ᵢ</w:t>
      </w:r>
      <w:r w:rsidRPr="00F414EA">
        <w:rPr>
          <w:rFonts w:ascii="Century" w:hAnsi="Century"/>
          <w:sz w:val="22"/>
          <w:szCs w:val="22"/>
          <w:lang w:val="en-US"/>
        </w:rPr>
        <w:t xml:space="preserve"> = CAR(full)</w:t>
      </w:r>
      <w:r w:rsidRPr="00F414EA">
        <w:rPr>
          <w:sz w:val="22"/>
          <w:szCs w:val="22"/>
          <w:lang w:val="en-US"/>
        </w:rPr>
        <w:t>ᵢ</w:t>
      </w:r>
      <w:r w:rsidRPr="00F414EA">
        <w:rPr>
          <w:rFonts w:ascii="Century" w:hAnsi="Century"/>
          <w:sz w:val="22"/>
          <w:szCs w:val="22"/>
          <w:lang w:val="en-US"/>
        </w:rPr>
        <w:t xml:space="preserve"> and once with CAR</w:t>
      </w:r>
      <w:r w:rsidRPr="00F414EA">
        <w:rPr>
          <w:sz w:val="22"/>
          <w:szCs w:val="22"/>
          <w:lang w:val="en-US"/>
        </w:rPr>
        <w:t>ᵢ</w:t>
      </w:r>
      <w:r w:rsidRPr="00F414EA">
        <w:rPr>
          <w:rFonts w:ascii="Century" w:hAnsi="Century"/>
          <w:sz w:val="22"/>
          <w:szCs w:val="22"/>
          <w:lang w:val="en-US"/>
        </w:rPr>
        <w:t xml:space="preserve"> = CAR(excl)</w:t>
      </w:r>
      <w:r w:rsidRPr="00F414EA">
        <w:rPr>
          <w:sz w:val="22"/>
          <w:szCs w:val="22"/>
          <w:lang w:val="en-US"/>
        </w:rPr>
        <w:t>ᵢ</w:t>
      </w:r>
      <w:r w:rsidRPr="00F414EA">
        <w:rPr>
          <w:rFonts w:ascii="Century" w:hAnsi="Century"/>
          <w:sz w:val="22"/>
          <w:szCs w:val="22"/>
          <w:lang w:val="en-US"/>
        </w:rPr>
        <w:t>. The control set (book-to-market and industry fixed effects) mirrors the paper's own cross-sectional controls, with one exception: we do not include the product-market AI exposure control (ProductAI, a measure of how much a firm's products and services are themselves AI-related), as the underlying data was difficult to merge with our principal dataset. This omission will be considered when analyzing our results. </w:t>
      </w:r>
    </w:p>
    <w:p w14:paraId="490D7526" w14:textId="6E1530F5"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 xml:space="preserve">The coefficient </w:t>
      </w:r>
      <w:r w:rsidRPr="00F414EA">
        <w:rPr>
          <w:rFonts w:ascii="Century" w:hAnsi="Century"/>
          <w:i/>
          <w:iCs/>
          <w:sz w:val="22"/>
          <w:szCs w:val="22"/>
          <w:lang w:val="en-US"/>
        </w:rPr>
        <w:t>β</w:t>
      </w:r>
      <w:r w:rsidRPr="00F414EA">
        <w:rPr>
          <w:rFonts w:ascii="Century" w:hAnsi="Century"/>
          <w:sz w:val="22"/>
          <w:szCs w:val="22"/>
          <w:lang w:val="en-US"/>
        </w:rPr>
        <w:t xml:space="preserve"> is the additional cumulative abnormal return earned by a firm with one-unit higher Generative AI labor exposure, holding value and industry fixed. The object of interest is the change in this coefficient across the two specifications:</w:t>
      </w:r>
    </w:p>
    <w:p w14:paraId="2453FEEF" w14:textId="00030B99" w:rsidR="0074441E" w:rsidRPr="00F414EA" w:rsidRDefault="00511F71" w:rsidP="00A37E07">
      <w:pPr>
        <w:spacing w:before="240" w:after="240" w:line="360" w:lineRule="auto"/>
        <w:jc w:val="center"/>
        <w:rPr>
          <w:rFonts w:ascii="Century" w:hAnsi="Century"/>
          <w:sz w:val="22"/>
          <w:szCs w:val="22"/>
          <w:lang w:val="en-US"/>
        </w:rPr>
      </w:pPr>
      <m:oMath>
        <m:r>
          <w:rPr>
            <w:rFonts w:ascii="Cambria Math" w:hAnsi="Cambria Math"/>
            <w:sz w:val="22"/>
            <w:szCs w:val="22"/>
            <w:lang w:val="en-US"/>
          </w:rPr>
          <w:lastRenderedPageBreak/>
          <m:t xml:space="preserve">Δβ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2-day</m:t>
            </m:r>
          </m:sub>
        </m:sSub>
      </m:oMath>
      <w:r w:rsidR="00BA64ED" w:rsidRPr="00F414EA">
        <w:rPr>
          <w:rFonts w:ascii="Century" w:hAnsi="Century"/>
          <w:iCs/>
          <w:sz w:val="22"/>
          <w:szCs w:val="22"/>
          <w:lang w:val="en-US"/>
        </w:rPr>
        <w:t xml:space="preserve">   </w:t>
      </w:r>
    </w:p>
    <w:p w14:paraId="2E708397" w14:textId="3E042050" w:rsidR="005D2984" w:rsidRPr="00F414EA" w:rsidRDefault="00766435" w:rsidP="0074441E">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73600" behindDoc="0" locked="0" layoutInCell="1" allowOverlap="1" wp14:anchorId="1048C3BE" wp14:editId="26812FE3">
                <wp:simplePos x="0" y="0"/>
                <wp:positionH relativeFrom="column">
                  <wp:posOffset>1545590</wp:posOffset>
                </wp:positionH>
                <wp:positionV relativeFrom="page">
                  <wp:posOffset>859155</wp:posOffset>
                </wp:positionV>
                <wp:extent cx="414655" cy="295910"/>
                <wp:effectExtent l="0" t="0" r="4445" b="0"/>
                <wp:wrapNone/>
                <wp:docPr id="1502982845"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2EBA2ED4" w14:textId="0177C3B2" w:rsidR="00645EE5" w:rsidRPr="003A6DD7" w:rsidRDefault="00645EE5" w:rsidP="00645EE5">
                            <w:pPr>
                              <w:rPr>
                                <w:rFonts w:ascii="Century" w:hAnsi="Century"/>
                                <w:sz w:val="20"/>
                                <w:szCs w:val="20"/>
                              </w:rPr>
                            </w:pPr>
                            <w:r w:rsidRPr="003A6DD7">
                              <w:rPr>
                                <w:rFonts w:ascii="Aptos" w:hAnsi="Aptos"/>
                                <w:sz w:val="20"/>
                                <w:szCs w:val="20"/>
                              </w:rPr>
                              <w:t>(</w:t>
                            </w:r>
                            <w:r>
                              <w:rPr>
                                <w:rFonts w:ascii="Century" w:hAnsi="Century"/>
                                <w:sz w:val="20"/>
                                <w:szCs w:val="20"/>
                              </w:rPr>
                              <w:t>5</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8C3BE" id="_x0000_s1030" type="#_x0000_t202" style="position:absolute;left:0;text-align:left;margin-left:121.7pt;margin-top:67.65pt;width:32.65pt;height:23.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" fillcolor="white [3201]" stroked="f" strokeweight=".5pt">
                <v:textbox>
                  <w:txbxContent>
                    <w:p w14:paraId="2EBA2ED4" w14:textId="0177C3B2" w:rsidR="00645EE5" w:rsidRPr="003A6DD7" w:rsidRDefault="00645EE5" w:rsidP="00645EE5">
                      <w:pPr>
                        <w:rPr>
                          <w:rFonts w:ascii="Century" w:hAnsi="Century"/>
                          <w:sz w:val="20"/>
                          <w:szCs w:val="20"/>
                        </w:rPr>
                      </w:pPr>
                      <w:r w:rsidRPr="003A6DD7">
                        <w:rPr>
                          <w:rFonts w:ascii="Aptos" w:hAnsi="Aptos"/>
                          <w:sz w:val="20"/>
                          <w:szCs w:val="20"/>
                        </w:rPr>
                        <w:t>(</w:t>
                      </w:r>
                      <w:r>
                        <w:rPr>
                          <w:rFonts w:ascii="Century" w:hAnsi="Century"/>
                          <w:sz w:val="20"/>
                          <w:szCs w:val="20"/>
                        </w:rPr>
                        <w:t>5</w:t>
                      </w:r>
                      <w:r w:rsidRPr="003A6DD7">
                        <w:rPr>
                          <w:rFonts w:ascii="Aptos" w:hAnsi="Aptos"/>
                          <w:sz w:val="20"/>
                          <w:szCs w:val="20"/>
                        </w:rPr>
                        <w:t>)</w:t>
                      </w:r>
                    </w:p>
                  </w:txbxContent>
                </v:textbox>
                <w10:wrap anchory="page"/>
              </v:shape>
            </w:pict>
          </mc:Fallback>
        </mc:AlternateContent>
      </w:r>
      <w:r w:rsidR="0074441E" w:rsidRPr="00F414EA">
        <w:rPr>
          <w:rFonts w:ascii="Century" w:hAnsi="Century"/>
          <w:sz w:val="22"/>
          <w:szCs w:val="22"/>
          <w:lang w:val="en-US"/>
        </w:rPr>
        <w:t xml:space="preserve">If </w:t>
      </w:r>
      <m:oMath>
        <m:r>
          <w:rPr>
            <w:rFonts w:ascii="Cambria Math" w:hAnsi="Cambria Math"/>
            <w:sz w:val="22"/>
            <w:szCs w:val="22"/>
            <w:lang w:val="en-US"/>
          </w:rPr>
          <m:t>Δβ</m:t>
        </m:r>
      </m:oMath>
      <w:r w:rsidR="0074441E" w:rsidRPr="00F414EA">
        <w:rPr>
          <w:rFonts w:ascii="Century" w:hAnsi="Century"/>
          <w:sz w:val="22"/>
          <w:szCs w:val="22"/>
          <w:lang w:val="en-US"/>
        </w:rPr>
        <w:t xml:space="preserve"> is small and statistically indistinguishable from zero, the </w:t>
      </w:r>
      <w:r w:rsidR="0074441E" w:rsidRPr="00F414EA">
        <w:rPr>
          <w:rFonts w:ascii="Century" w:hAnsi="Century"/>
          <w:sz w:val="18"/>
          <w:szCs w:val="18"/>
          <w:lang w:val="en-US"/>
        </w:rPr>
        <w:t xml:space="preserve">CPI/FOMC </w:t>
      </w:r>
      <w:r w:rsidR="0074441E" w:rsidRPr="00F414EA">
        <w:rPr>
          <w:rFonts w:ascii="Century" w:hAnsi="Century"/>
          <w:sz w:val="22"/>
          <w:szCs w:val="22"/>
          <w:lang w:val="en-US"/>
        </w:rPr>
        <w:t xml:space="preserve">news does not meaningfully drive the headline estimate, and the concern raised in Section 2.2 is not supported. If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oMath>
      <w:r w:rsidR="0074441E" w:rsidRPr="00F414EA">
        <w:rPr>
          <w:rFonts w:ascii="Century" w:hAnsi="Century"/>
          <w:sz w:val="22"/>
          <w:szCs w:val="22"/>
          <w:lang w:val="en-US"/>
        </w:rPr>
        <w:t xml:space="preserve">shrinks substantially, loses significance, or changes sign relative to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oMath>
      <w:r w:rsidR="0074441E" w:rsidRPr="00F414EA">
        <w:rPr>
          <w:rFonts w:ascii="Century" w:hAnsi="Century"/>
          <w:sz w:val="22"/>
          <w:szCs w:val="22"/>
          <w:lang w:val="en-US"/>
        </w:rPr>
        <w:t xml:space="preserve">, i.e., if </w:t>
      </w:r>
      <m:oMath>
        <m:r>
          <w:rPr>
            <w:rFonts w:ascii="Cambria Math" w:hAnsi="Cambria Math"/>
            <w:sz w:val="22"/>
            <w:szCs w:val="22"/>
            <w:lang w:val="en-US"/>
          </w:rPr>
          <m:t>Δβ</m:t>
        </m:r>
      </m:oMath>
      <w:r w:rsidR="0074441E" w:rsidRPr="00F414EA">
        <w:rPr>
          <w:rFonts w:ascii="Century" w:hAnsi="Century"/>
          <w:sz w:val="22"/>
          <w:szCs w:val="22"/>
          <w:lang w:val="en-US"/>
        </w:rPr>
        <w:t xml:space="preserve"> is large and significant, a non-trivial part of the paper's reported exposure–return relation is attributable to those two macroeconomic dates rather than to Generative-AI-specific information. </w:t>
      </w:r>
      <w:r w:rsidR="000F74AC" w:rsidRPr="00F414EA">
        <w:rPr>
          <w:rFonts w:ascii="Century" w:hAnsi="Century"/>
          <w:sz w:val="22"/>
          <w:szCs w:val="22"/>
          <w:lang w:val="en-US"/>
        </w:rPr>
        <w:t xml:space="preserve"> </w:t>
      </w:r>
      <w:r w:rsidR="0074441E" w:rsidRPr="00F414EA">
        <w:rPr>
          <w:rFonts w:ascii="Century" w:hAnsi="Century"/>
          <w:sz w:val="22"/>
          <w:szCs w:val="22"/>
          <w:lang w:val="en-US"/>
        </w:rPr>
        <w:t>The test assumes that whatever correlation exists between Exposure</w:t>
      </w:r>
      <w:r w:rsidR="0074441E" w:rsidRPr="00F414EA">
        <w:rPr>
          <w:sz w:val="22"/>
          <w:szCs w:val="22"/>
          <w:lang w:val="en-US"/>
        </w:rPr>
        <w:t>ᵢ</w:t>
      </w:r>
      <w:r w:rsidR="0074441E" w:rsidRPr="00F414EA">
        <w:rPr>
          <w:rFonts w:ascii="Century" w:hAnsi="Century"/>
          <w:sz w:val="22"/>
          <w:szCs w:val="22"/>
          <w:lang w:val="en-US"/>
        </w:rPr>
        <w:t xml:space="preserve"> and returns on Dec 13–14 specifically reflects a duration/macro channel, not a continued arrival of genuine ChatGPT-related firm news that happened to land on those exact two days. This is needed because otherwise dropping Dec 13–14 would remove real signal along with the noise we are trying to strip out, making a shrinking </w:t>
      </w:r>
      <m:oMath>
        <m:r>
          <w:rPr>
            <w:rFonts w:ascii="Cambria Math" w:hAnsi="Cambria Math"/>
            <w:sz w:val="22"/>
            <w:szCs w:val="22"/>
            <w:lang w:val="en-US"/>
          </w:rPr>
          <m:t>β</m:t>
        </m:r>
      </m:oMath>
      <w:r w:rsidR="0074441E" w:rsidRPr="00F414EA">
        <w:rPr>
          <w:rFonts w:ascii="Century" w:hAnsi="Century"/>
          <w:i/>
          <w:iCs/>
          <w:sz w:val="22"/>
          <w:szCs w:val="22"/>
          <w:lang w:val="en-US"/>
        </w:rPr>
        <w:t xml:space="preserve"> </w:t>
      </w:r>
      <w:r w:rsidR="0074441E" w:rsidRPr="00F414EA">
        <w:rPr>
          <w:rFonts w:ascii="Century" w:hAnsi="Century"/>
          <w:sz w:val="22"/>
          <w:szCs w:val="22"/>
          <w:lang w:val="en-US"/>
        </w:rPr>
        <w:t xml:space="preserve">look like contamination when it is really just a shorter, noisier window. The assumption is plausible because Dec 13–14 are pre-scheduled macroeconomic announcements, exogenous to firm-specific Generative AI news flow. It could fail if Generative-AI-specific news (analyst notes, press coverage, earnings commentary) also happened to cluster on those same two days. As a mitigation, we run a placebo/rotation check: re-estimating β(excl) after excluding other, arbitrary two-day pairs within the window (e.g., Dec 5–6, Dec 7–8) instead of Dec 13–14. If dropping Dec 13–14 produces a distinctly larger shrinkage in </w:t>
      </w:r>
      <m:oMath>
        <m:r>
          <w:rPr>
            <w:rFonts w:ascii="Cambria Math" w:hAnsi="Cambria Math"/>
            <w:sz w:val="22"/>
            <w:szCs w:val="22"/>
            <w:lang w:val="en-US"/>
          </w:rPr>
          <m:t>β</m:t>
        </m:r>
      </m:oMath>
      <w:r w:rsidR="0074441E" w:rsidRPr="00F414EA">
        <w:rPr>
          <w:rFonts w:ascii="Century" w:hAnsi="Century"/>
          <w:sz w:val="22"/>
          <w:szCs w:val="22"/>
          <w:lang w:val="en-US"/>
        </w:rPr>
        <w:t xml:space="preserve"> than dropping a random comparable pair, this supports treating Dec 13–14 as special. If the shrinkage looks similar regardless of which two days are dropped, the identifying assumption is in trouble and is reported as a limitation.</w:t>
      </w:r>
    </w:p>
    <w:p w14:paraId="3323471F" w14:textId="70039B96" w:rsidR="00C569CA" w:rsidRPr="00F414EA" w:rsidRDefault="0074441E" w:rsidP="00512664">
      <w:pPr>
        <w:spacing w:before="320" w:after="160" w:line="360" w:lineRule="auto"/>
        <w:outlineLvl w:val="1"/>
        <w:rPr>
          <w:rFonts w:ascii="Century" w:hAnsi="Century"/>
          <w:sz w:val="22"/>
          <w:szCs w:val="22"/>
          <w:lang w:val="en-US"/>
        </w:rPr>
      </w:pPr>
      <w:r w:rsidRPr="00F414EA">
        <w:rPr>
          <w:rFonts w:ascii="Century" w:hAnsi="Century"/>
          <w:sz w:val="22"/>
          <w:szCs w:val="22"/>
          <w:lang w:val="en-US"/>
        </w:rPr>
        <w:t>3.2 Sample Construction</w:t>
      </w:r>
    </w:p>
    <w:p w14:paraId="6489A93E" w14:textId="052F8E89" w:rsidR="000F74AC"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The sample is built from daily stock prices in the Compustat Security Daily database. Because the exposure measure of Eisfeldt, Schubert and Zhang (2026) uses the same firm identifier as Compustat (gvkey), the two sources are merged directly on this identifier, and every firm with an exposure measure is matched to its price series. The market excess return and the risk-free rate come from Kenneth French's data library: the market is a value-weighted portfolio of all NYSE, AMEX and NASDAQ stocks, the risk-free rate is the one-month Treasury bill rate, and the same source provides the US trading calendar used to count event days. </w:t>
      </w:r>
      <w:r w:rsidR="00100FEE" w:rsidRPr="00F414EA">
        <w:rPr>
          <w:rFonts w:ascii="Century" w:hAnsi="Century"/>
          <w:sz w:val="22"/>
          <w:szCs w:val="22"/>
          <w:lang w:val="en-US"/>
        </w:rPr>
        <w:t>Similar to the original paper,</w:t>
      </w:r>
      <w:r w:rsidRPr="00F414EA">
        <w:rPr>
          <w:rFonts w:ascii="Century" w:hAnsi="Century"/>
          <w:sz w:val="22"/>
          <w:szCs w:val="22"/>
          <w:lang w:val="en-US"/>
        </w:rPr>
        <w:t xml:space="preserve"> firm's industry is identified by its </w:t>
      </w:r>
      <w:r w:rsidR="00100FEE" w:rsidRPr="00F414EA">
        <w:rPr>
          <w:rFonts w:ascii="Century" w:hAnsi="Century"/>
          <w:sz w:val="22"/>
          <w:szCs w:val="22"/>
          <w:lang w:val="en-US"/>
        </w:rPr>
        <w:t>North American Industry Classification System</w:t>
      </w:r>
      <w:r w:rsidRPr="00F414EA">
        <w:rPr>
          <w:rFonts w:ascii="Century" w:hAnsi="Century"/>
          <w:sz w:val="22"/>
          <w:szCs w:val="22"/>
          <w:lang w:val="en-US"/>
        </w:rPr>
        <w:t xml:space="preserve"> (</w:t>
      </w:r>
      <w:r w:rsidR="00100FEE" w:rsidRPr="00F414EA">
        <w:rPr>
          <w:rFonts w:ascii="Century" w:hAnsi="Century"/>
          <w:sz w:val="22"/>
          <w:szCs w:val="22"/>
          <w:lang w:val="en-US"/>
        </w:rPr>
        <w:t>NAICS</w:t>
      </w:r>
      <w:r w:rsidRPr="00F414EA">
        <w:rPr>
          <w:rFonts w:ascii="Century" w:hAnsi="Century"/>
          <w:sz w:val="22"/>
          <w:szCs w:val="22"/>
          <w:lang w:val="en-US"/>
        </w:rPr>
        <w:t xml:space="preserve">) code, taken from Compustat as the last code available before the release. Book equity and total market capitalization come from a separate Compustat file, but both are merged with the price </w:t>
      </w:r>
      <w:r w:rsidRPr="00F414EA">
        <w:rPr>
          <w:rFonts w:ascii="Century" w:hAnsi="Century"/>
          <w:sz w:val="22"/>
          <w:szCs w:val="22"/>
          <w:lang w:val="en-US"/>
        </w:rPr>
        <w:lastRenderedPageBreak/>
        <w:t>data in the same way.</w:t>
      </w:r>
      <w:r w:rsidR="000F74AC" w:rsidRPr="00F414EA">
        <w:rPr>
          <w:rFonts w:ascii="Century" w:hAnsi="Century"/>
          <w:sz w:val="22"/>
          <w:szCs w:val="22"/>
          <w:lang w:val="en-US"/>
        </w:rPr>
        <w:t xml:space="preserve"> </w:t>
      </w:r>
      <w:r w:rsidRPr="00F414EA">
        <w:rPr>
          <w:rFonts w:ascii="Century" w:hAnsi="Century"/>
          <w:sz w:val="22"/>
          <w:szCs w:val="22"/>
          <w:lang w:val="en-US"/>
        </w:rPr>
        <w:t>Starting from 4,844 firms, we keep firms headquartered in the United States (4,094), as the exposure measure is built on US jobs. We then keep ordinary common shares only, which removes 1,235 exchange-traded funds, 221 closed-end funds and 2 depositary receipts: these investment vehicles carry the workforce exposure of the asset manager that sponsors them rather than that of an operating firm. We require at least 150 daily returns during the one-year estimation period so that each firm's market beta is reliably estimated (2,</w:t>
      </w:r>
      <w:r w:rsidR="005978B4">
        <w:rPr>
          <w:rFonts w:ascii="Century" w:hAnsi="Century"/>
          <w:sz w:val="22"/>
          <w:szCs w:val="22"/>
          <w:lang w:val="en-US"/>
        </w:rPr>
        <w:t>544</w:t>
      </w:r>
      <w:r w:rsidRPr="00F414EA">
        <w:rPr>
          <w:rFonts w:ascii="Century" w:hAnsi="Century"/>
          <w:sz w:val="22"/>
          <w:szCs w:val="22"/>
          <w:lang w:val="en-US"/>
        </w:rPr>
        <w:t xml:space="preserve"> firms), and a return on every day of the event window, which ensures that the three return measures are computed on exactly the same firms (2,</w:t>
      </w:r>
      <w:r w:rsidR="005978B4">
        <w:rPr>
          <w:rFonts w:ascii="Century" w:hAnsi="Century"/>
          <w:sz w:val="22"/>
          <w:szCs w:val="22"/>
          <w:lang w:val="en-US"/>
        </w:rPr>
        <w:t>460</w:t>
      </w:r>
      <w:r w:rsidRPr="00F414EA">
        <w:rPr>
          <w:rFonts w:ascii="Century" w:hAnsi="Century"/>
          <w:sz w:val="22"/>
          <w:szCs w:val="22"/>
          <w:lang w:val="en-US"/>
        </w:rPr>
        <w:t xml:space="preserve"> firms). </w:t>
      </w:r>
      <w:r w:rsidR="00100FEE" w:rsidRPr="00F414EA">
        <w:rPr>
          <w:rFonts w:ascii="Century" w:hAnsi="Century"/>
          <w:sz w:val="22"/>
          <w:szCs w:val="22"/>
          <w:lang w:val="en-US"/>
        </w:rPr>
        <w:t>W</w:t>
      </w:r>
      <w:r w:rsidRPr="00F414EA">
        <w:rPr>
          <w:rFonts w:ascii="Century" w:hAnsi="Century"/>
          <w:sz w:val="22"/>
          <w:szCs w:val="22"/>
          <w:lang w:val="en-US"/>
        </w:rPr>
        <w:t>e drop firms with negative or missing book equity (14</w:t>
      </w:r>
      <w:r w:rsidR="00A4464A">
        <w:rPr>
          <w:rFonts w:ascii="Century" w:hAnsi="Century"/>
          <w:sz w:val="22"/>
          <w:szCs w:val="22"/>
          <w:lang w:val="en-US"/>
        </w:rPr>
        <w:t>1</w:t>
      </w:r>
      <w:r w:rsidRPr="00F414EA">
        <w:rPr>
          <w:rFonts w:ascii="Century" w:hAnsi="Century"/>
          <w:sz w:val="22"/>
          <w:szCs w:val="22"/>
          <w:lang w:val="en-US"/>
        </w:rPr>
        <w:t xml:space="preserve"> and </w:t>
      </w:r>
      <w:r w:rsidR="00A4464A">
        <w:rPr>
          <w:rFonts w:ascii="Century" w:hAnsi="Century"/>
          <w:sz w:val="22"/>
          <w:szCs w:val="22"/>
          <w:lang w:val="en-US"/>
        </w:rPr>
        <w:t>3</w:t>
      </w:r>
      <w:r w:rsidRPr="00F414EA">
        <w:rPr>
          <w:rFonts w:ascii="Century" w:hAnsi="Century"/>
          <w:sz w:val="22"/>
          <w:szCs w:val="22"/>
          <w:lang w:val="en-US"/>
        </w:rPr>
        <w:t xml:space="preserve"> firms respectively), for which the book-to-market ratio is not meaningful.</w:t>
      </w:r>
      <w:r w:rsidR="00417CDD">
        <w:rPr>
          <w:rFonts w:ascii="Century" w:hAnsi="Century"/>
          <w:sz w:val="22"/>
          <w:szCs w:val="22"/>
          <w:lang w:val="en-US"/>
        </w:rPr>
        <w:t xml:space="preserve"> </w:t>
      </w:r>
      <w:r w:rsidR="00100FEE" w:rsidRPr="00F414EA">
        <w:rPr>
          <w:rFonts w:ascii="Century" w:hAnsi="Century"/>
          <w:sz w:val="22"/>
          <w:szCs w:val="22"/>
          <w:lang w:val="en-US"/>
        </w:rPr>
        <w:t>Finally,</w:t>
      </w:r>
      <w:r w:rsidR="00B46678">
        <w:rPr>
          <w:rFonts w:ascii="Century" w:hAnsi="Century"/>
          <w:sz w:val="22"/>
          <w:szCs w:val="22"/>
          <w:lang w:val="en-US"/>
        </w:rPr>
        <w:t xml:space="preserve"> </w:t>
      </w:r>
      <w:r w:rsidR="00100FEE" w:rsidRPr="00F414EA">
        <w:rPr>
          <w:rFonts w:ascii="Century" w:hAnsi="Century"/>
          <w:sz w:val="22"/>
          <w:szCs w:val="22"/>
          <w:lang w:val="en-US"/>
        </w:rPr>
        <w:t xml:space="preserve">we drop firms without a </w:t>
      </w:r>
      <w:r w:rsidR="00B46678">
        <w:rPr>
          <w:rFonts w:ascii="Century" w:hAnsi="Century"/>
          <w:sz w:val="22"/>
          <w:szCs w:val="22"/>
          <w:lang w:val="en-US"/>
        </w:rPr>
        <w:t xml:space="preserve">meaningful 3-digit </w:t>
      </w:r>
      <w:r w:rsidR="00100FEE" w:rsidRPr="00F414EA">
        <w:rPr>
          <w:rFonts w:ascii="Century" w:hAnsi="Century"/>
          <w:sz w:val="22"/>
          <w:szCs w:val="22"/>
          <w:lang w:val="en-US"/>
        </w:rPr>
        <w:t>NAICS code</w:t>
      </w:r>
      <w:r w:rsidR="005978B4">
        <w:rPr>
          <w:rFonts w:ascii="Century" w:hAnsi="Century"/>
          <w:sz w:val="22"/>
          <w:szCs w:val="22"/>
          <w:lang w:val="en-US"/>
        </w:rPr>
        <w:t xml:space="preserve"> (3 firms), </w:t>
      </w:r>
      <w:r w:rsidR="00100FEE" w:rsidRPr="00F414EA">
        <w:rPr>
          <w:rFonts w:ascii="Century" w:hAnsi="Century"/>
          <w:sz w:val="22"/>
          <w:szCs w:val="22"/>
          <w:lang w:val="en-US"/>
        </w:rPr>
        <w:t>and NAICS-grouped firms with less then 10 firms</w:t>
      </w:r>
      <w:r w:rsidR="005978B4">
        <w:rPr>
          <w:rFonts w:ascii="Century" w:hAnsi="Century"/>
          <w:sz w:val="22"/>
          <w:szCs w:val="22"/>
          <w:lang w:val="en-US"/>
        </w:rPr>
        <w:t xml:space="preserve"> when introducing FE to the regressions</w:t>
      </w:r>
      <w:r w:rsidR="00100FEE" w:rsidRPr="00F414EA">
        <w:rPr>
          <w:rFonts w:ascii="Century" w:hAnsi="Century"/>
          <w:sz w:val="22"/>
          <w:szCs w:val="22"/>
          <w:lang w:val="en-US"/>
        </w:rPr>
        <w:t xml:space="preserve">, matching </w:t>
      </w:r>
      <w:r w:rsidR="00CB08CC" w:rsidRPr="00F414EA">
        <w:rPr>
          <w:rFonts w:ascii="Century" w:hAnsi="Century"/>
          <w:sz w:val="22"/>
          <w:szCs w:val="22"/>
          <w:lang w:val="en-US"/>
        </w:rPr>
        <w:t>Eisfeldt</w:t>
      </w:r>
      <w:r w:rsidR="00100FEE" w:rsidRPr="00F414EA">
        <w:rPr>
          <w:rFonts w:ascii="Century" w:hAnsi="Century"/>
          <w:sz w:val="22"/>
          <w:szCs w:val="22"/>
          <w:lang w:val="en-US"/>
        </w:rPr>
        <w:t xml:space="preserve"> et al.</w:t>
      </w:r>
      <w:r w:rsidR="000F74AC" w:rsidRPr="00F414EA">
        <w:rPr>
          <w:rFonts w:ascii="Century" w:hAnsi="Century"/>
          <w:sz w:val="22"/>
          <w:szCs w:val="22"/>
          <w:lang w:val="en-US"/>
        </w:rPr>
        <w:t xml:space="preserve"> </w:t>
      </w:r>
      <w:r w:rsidR="00417CDD" w:rsidRPr="00F414EA">
        <w:rPr>
          <w:rFonts w:ascii="Century" w:hAnsi="Century"/>
          <w:sz w:val="22"/>
          <w:szCs w:val="22"/>
          <w:lang w:val="en-US"/>
        </w:rPr>
        <w:t>Th</w:t>
      </w:r>
      <w:r w:rsidR="00417CDD">
        <w:rPr>
          <w:rFonts w:ascii="Century" w:hAnsi="Century"/>
          <w:sz w:val="22"/>
          <w:szCs w:val="22"/>
          <w:lang w:val="en-US"/>
        </w:rPr>
        <w:t xml:space="preserve">e </w:t>
      </w:r>
      <w:r w:rsidR="00EB376E">
        <w:rPr>
          <w:rFonts w:ascii="Century" w:hAnsi="Century"/>
          <w:sz w:val="22"/>
          <w:szCs w:val="22"/>
          <w:lang w:val="en-US"/>
        </w:rPr>
        <w:t xml:space="preserve">final </w:t>
      </w:r>
      <w:r w:rsidR="00417CDD" w:rsidRPr="00F414EA">
        <w:rPr>
          <w:rFonts w:ascii="Century" w:hAnsi="Century"/>
          <w:sz w:val="22"/>
          <w:szCs w:val="22"/>
          <w:lang w:val="en-US"/>
        </w:rPr>
        <w:t>sample contains 2,3</w:t>
      </w:r>
      <w:r w:rsidR="00417CDD">
        <w:rPr>
          <w:rFonts w:ascii="Century" w:hAnsi="Century"/>
          <w:sz w:val="22"/>
          <w:szCs w:val="22"/>
          <w:lang w:val="en-US"/>
        </w:rPr>
        <w:t>01</w:t>
      </w:r>
      <w:r w:rsidR="00417CDD" w:rsidRPr="00F414EA">
        <w:rPr>
          <w:rFonts w:ascii="Century" w:hAnsi="Century"/>
          <w:sz w:val="22"/>
          <w:szCs w:val="22"/>
          <w:lang w:val="en-US"/>
        </w:rPr>
        <w:t xml:space="preserve"> US common stocks spread over 68 industries</w:t>
      </w:r>
      <w:r w:rsidR="005978B4">
        <w:rPr>
          <w:rFonts w:ascii="Century" w:hAnsi="Century"/>
          <w:sz w:val="22"/>
          <w:szCs w:val="22"/>
          <w:lang w:val="en-US"/>
        </w:rPr>
        <w:t xml:space="preserve"> without FE and 2174 </w:t>
      </w:r>
      <w:r w:rsidR="00B04AE7">
        <w:rPr>
          <w:rFonts w:ascii="Century" w:hAnsi="Century"/>
          <w:sz w:val="22"/>
          <w:szCs w:val="22"/>
          <w:lang w:val="en-US"/>
        </w:rPr>
        <w:t xml:space="preserve">stocks </w:t>
      </w:r>
      <w:r w:rsidR="005978B4">
        <w:rPr>
          <w:rFonts w:ascii="Century" w:hAnsi="Century"/>
          <w:sz w:val="22"/>
          <w:szCs w:val="22"/>
          <w:lang w:val="en-US"/>
        </w:rPr>
        <w:t>with FE.</w:t>
      </w:r>
    </w:p>
    <w:p w14:paraId="5CD43139" w14:textId="7C8D286C" w:rsidR="0023029F"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Daily returns are computed from prices adjusted for stock splits and dividends: when a firm has no price on the previous trading day, the return would span several days and is discarded. Excess returns are obtained by subtracting the risk-free rate. Each firm's CAPM parameters are estimated over the estimation period and used to compute daily abnormal returns, as described in Section 3.1. Exposure is each firm's most recent total exposure score before the release. The book-to-market ratio divides book equity from the 2021 annual report by this market value and is capped at its 1st and 99th percentiles. Industry fixed effects are based on </w:t>
      </w:r>
      <w:r w:rsidR="00A65256" w:rsidRPr="00F414EA">
        <w:rPr>
          <w:rFonts w:ascii="Century" w:hAnsi="Century"/>
          <w:sz w:val="22"/>
          <w:szCs w:val="22"/>
          <w:lang w:val="en-US"/>
        </w:rPr>
        <w:t>NAICS 3-digit</w:t>
      </w:r>
      <w:r w:rsidRPr="00F414EA">
        <w:rPr>
          <w:rFonts w:ascii="Century" w:hAnsi="Century"/>
          <w:sz w:val="22"/>
          <w:szCs w:val="22"/>
          <w:lang w:val="en-US"/>
        </w:rPr>
        <w:t xml:space="preserve"> codes</w:t>
      </w:r>
      <w:r w:rsidR="00A65256" w:rsidRPr="00F414EA">
        <w:rPr>
          <w:rFonts w:ascii="Century" w:hAnsi="Century"/>
          <w:sz w:val="22"/>
          <w:szCs w:val="22"/>
          <w:lang w:val="en-US"/>
        </w:rPr>
        <w:t xml:space="preserve">. Being categorical </w:t>
      </w:r>
      <w:r w:rsidRPr="00F414EA">
        <w:rPr>
          <w:rFonts w:ascii="Century" w:hAnsi="Century"/>
          <w:sz w:val="22"/>
          <w:szCs w:val="22"/>
          <w:lang w:val="en-US"/>
        </w:rPr>
        <w:t>they are not reported in Table 1.</w:t>
      </w:r>
    </w:p>
    <w:p w14:paraId="05874D5E" w14:textId="6135BD7B" w:rsidR="00D507B9" w:rsidRPr="00F414EA" w:rsidRDefault="0074441E" w:rsidP="00FA7A81">
      <w:pPr>
        <w:spacing w:line="360" w:lineRule="auto"/>
        <w:jc w:val="center"/>
        <w:rPr>
          <w:rFonts w:ascii="Century" w:hAnsi="Century"/>
          <w:sz w:val="22"/>
          <w:szCs w:val="22"/>
          <w:lang w:val="en-US"/>
        </w:rPr>
      </w:pPr>
      <w:r w:rsidRPr="00F414EA">
        <w:rPr>
          <w:rFonts w:ascii="Century" w:hAnsi="Century"/>
          <w:sz w:val="22"/>
          <w:szCs w:val="22"/>
          <w:lang w:val="en-US"/>
        </w:rPr>
        <w:t>Table 1: Summary Statistics</w:t>
      </w:r>
    </w:p>
    <w:tbl>
      <w:tblPr>
        <w:tblW w:w="0" w:type="auto"/>
        <w:tblInd w:w="764" w:type="dxa"/>
        <w:tblCellMar>
          <w:top w:w="15" w:type="dxa"/>
          <w:left w:w="15" w:type="dxa"/>
          <w:bottom w:w="15" w:type="dxa"/>
          <w:right w:w="15" w:type="dxa"/>
        </w:tblCellMar>
        <w:tblLook w:val="04A0" w:firstRow="1" w:lastRow="0" w:firstColumn="1" w:lastColumn="0" w:noHBand="0" w:noVBand="1"/>
      </w:tblPr>
      <w:tblGrid>
        <w:gridCol w:w="2064"/>
        <w:gridCol w:w="521"/>
        <w:gridCol w:w="1071"/>
        <w:gridCol w:w="1071"/>
        <w:gridCol w:w="731"/>
        <w:gridCol w:w="971"/>
        <w:gridCol w:w="1272"/>
      </w:tblGrid>
      <w:tr w:rsidR="0074441E" w:rsidRPr="00F414EA" w14:paraId="39CD8F45" w14:textId="77777777" w:rsidTr="00D507B9">
        <w:trPr>
          <w:trHeight w:val="315"/>
        </w:trPr>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65FA877E"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Variable</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572CE662"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708F0FDF"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3B60C8C9"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SD</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0B039AB8"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Min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453343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Median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7065A9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Max</w:t>
            </w:r>
          </w:p>
        </w:tc>
      </w:tr>
      <w:tr w:rsidR="009B57EB" w:rsidRPr="00EA6F63" w14:paraId="52298505" w14:textId="77777777" w:rsidTr="00D507B9">
        <w:trPr>
          <w:trHeight w:val="315"/>
        </w:trPr>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1DFE2A0D" w14:textId="05C163A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“Generative AI Exposure”</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3AA00259" w14:textId="1E9A3DC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786F111" w14:textId="3B5F46F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0.3639</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7EDADFC1" w14:textId="6F255DD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0.0671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DC6F35D" w14:textId="62752860"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0.0000</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44730130" w14:textId="281C9CB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0.3694</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0B017671" w14:textId="1AD46EE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0.8667</w:t>
            </w:r>
          </w:p>
        </w:tc>
      </w:tr>
      <w:tr w:rsidR="009B57EB" w:rsidRPr="00EA6F63" w14:paraId="46CCF60A"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B5A36A" w14:textId="1536E3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“MktCap (</w:t>
            </w:r>
            <w:r w:rsidR="009D0867">
              <w:rPr>
                <w:rFonts w:ascii="Century" w:hAnsi="Century"/>
                <w:sz w:val="18"/>
                <w:szCs w:val="18"/>
                <w:lang w:val="en-US"/>
              </w:rPr>
              <w:t>M</w:t>
            </w:r>
            <w:r w:rsidRPr="009B57EB">
              <w:rPr>
                <w:rFonts w:ascii="Century" w:hAnsi="Century"/>
                <w:sz w:val="18"/>
                <w:szCs w:val="18"/>
                <w:lang w:val="en-US"/>
              </w:rPr>
              <w: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44B0003" w14:textId="6E6D12D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C4C3926" w14:textId="73992D5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15378.5070</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3393A46" w14:textId="512EEDA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78043.0217</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7D769B" w14:textId="42E15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0.2628</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93BF6B8" w14:textId="52BBA5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2009.2914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1C74C597" w14:textId="6B7CFB4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2245749.0181</w:t>
            </w:r>
          </w:p>
        </w:tc>
      </w:tr>
      <w:tr w:rsidR="009B57EB" w:rsidRPr="00EA6F63" w14:paraId="03264DB1"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007C2B6" w14:textId="60E1DB0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“Book-to-market”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4C59B3C" w14:textId="500EE2B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BE0FB7B" w14:textId="61503B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0.7581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11C5760" w14:textId="291466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0.8541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750F8D5" w14:textId="654D296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0.0206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866E011" w14:textId="6C7E804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0.5435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DAEBA1B" w14:textId="7341977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5.8663</w:t>
            </w:r>
          </w:p>
        </w:tc>
      </w:tr>
      <w:tr w:rsidR="009B57EB" w:rsidRPr="00EA6F63" w14:paraId="1EF278B0"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F7F3565" w14:textId="34A8F27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(full window)”</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E306970" w14:textId="2ECB029F"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249E74C" w14:textId="020992E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-0.0169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83B20F6" w14:textId="0AFE8BE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0.1096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F6C2261" w14:textId="25842C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-0.7719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26FD91A" w14:textId="072B60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-0.0155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B1C4405" w14:textId="566A2CE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2.3507</w:t>
            </w:r>
          </w:p>
          <w:p w14:paraId="27E88992" w14:textId="7E02484F" w:rsidR="009B57EB" w:rsidRPr="009B57EB" w:rsidRDefault="009B57EB" w:rsidP="009B57EB">
            <w:pPr>
              <w:spacing w:line="360" w:lineRule="auto"/>
              <w:jc w:val="both"/>
              <w:rPr>
                <w:rFonts w:ascii="Century" w:hAnsi="Century"/>
                <w:sz w:val="18"/>
                <w:szCs w:val="18"/>
                <w:lang w:val="en-US"/>
              </w:rPr>
            </w:pPr>
          </w:p>
        </w:tc>
      </w:tr>
      <w:tr w:rsidR="009B57EB" w:rsidRPr="00EA6F63" w14:paraId="0D9D62C4"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27857F52" w14:textId="6A585D9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(excl. Dec 13-14)”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47724428" w14:textId="5B0C76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05AD846F" w14:textId="083A431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-0.0142</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6CBE37E4" w14:textId="3E2D055A"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0.0973</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8730E0D" w14:textId="60331D6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-0.7475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0EEFC09" w14:textId="23FC7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-0.0136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7B47D403" w14:textId="2743E53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2.1330</w:t>
            </w:r>
          </w:p>
        </w:tc>
      </w:tr>
      <w:tr w:rsidR="009B57EB" w:rsidRPr="00EA6F63" w14:paraId="0872ED02" w14:textId="77777777" w:rsidTr="005C41ED">
        <w:trPr>
          <w:trHeight w:val="300"/>
        </w:trPr>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206ECAEA" w14:textId="0AB0071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(Dec 13-14)”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56B27D5" w14:textId="4DCE21B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0AE3F265" w14:textId="77F0E27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-0.0027</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65D6C243" w14:textId="6F2CDFC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0.0408</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7AE77FAB" w14:textId="2791820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-0.5496</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1E19C294" w14:textId="14360AF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D4A5A31" w14:textId="784F06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0.2257</w:t>
            </w:r>
          </w:p>
        </w:tc>
      </w:tr>
    </w:tbl>
    <w:p w14:paraId="04CBA95C" w14:textId="77777777" w:rsidR="00595283" w:rsidRPr="00EA6F63" w:rsidRDefault="00595283" w:rsidP="0074441E">
      <w:pPr>
        <w:spacing w:line="360" w:lineRule="auto"/>
        <w:jc w:val="both"/>
        <w:rPr>
          <w:rFonts w:ascii="Century" w:hAnsi="Century"/>
          <w:sz w:val="22"/>
          <w:szCs w:val="22"/>
          <w:lang w:val="en-US"/>
        </w:rPr>
      </w:pPr>
    </w:p>
    <w:p w14:paraId="292F6109" w14:textId="330DC9F3" w:rsidR="003F4D8E" w:rsidRPr="00F414EA" w:rsidRDefault="0074441E" w:rsidP="00373025">
      <w:pPr>
        <w:spacing w:line="360" w:lineRule="auto"/>
        <w:ind w:firstLine="708"/>
        <w:jc w:val="both"/>
        <w:rPr>
          <w:rFonts w:ascii="Century" w:hAnsi="Century"/>
          <w:sz w:val="22"/>
          <w:szCs w:val="22"/>
          <w:lang w:val="en-US"/>
        </w:rPr>
      </w:pPr>
      <w:r w:rsidRPr="00F414EA">
        <w:rPr>
          <w:rFonts w:ascii="Century" w:hAnsi="Century"/>
          <w:sz w:val="22"/>
          <w:szCs w:val="22"/>
          <w:lang w:val="en-US"/>
        </w:rPr>
        <w:t>Exposure averages 0.364 (SD 0.067), and the median firm is worth about $</w:t>
      </w:r>
      <w:r w:rsidR="00373025">
        <w:rPr>
          <w:rFonts w:ascii="Century" w:hAnsi="Century"/>
          <w:sz w:val="22"/>
          <w:szCs w:val="22"/>
          <w:lang w:val="en-US"/>
        </w:rPr>
        <w:t>1.5</w:t>
      </w:r>
      <w:r w:rsidRPr="00F414EA">
        <w:rPr>
          <w:rFonts w:ascii="Century" w:hAnsi="Century"/>
          <w:sz w:val="22"/>
          <w:szCs w:val="22"/>
          <w:lang w:val="en-US"/>
        </w:rPr>
        <w:t xml:space="preserve"> billion. Average abnormal returns are slightly negative (−1.</w:t>
      </w:r>
      <w:r w:rsidR="00373025">
        <w:rPr>
          <w:rFonts w:ascii="Century" w:hAnsi="Century"/>
          <w:sz w:val="22"/>
          <w:szCs w:val="22"/>
          <w:lang w:val="en-US"/>
        </w:rPr>
        <w:t>69</w:t>
      </w:r>
      <w:r w:rsidRPr="00F414EA">
        <w:rPr>
          <w:rFonts w:ascii="Century" w:hAnsi="Century"/>
          <w:sz w:val="22"/>
          <w:szCs w:val="22"/>
          <w:lang w:val="en-US"/>
        </w:rPr>
        <w:t xml:space="preserve">% over the full window, </w:t>
      </w:r>
      <w:r w:rsidRPr="00F414EA">
        <w:rPr>
          <w:rFonts w:ascii="Century" w:hAnsi="Century"/>
          <w:sz w:val="22"/>
          <w:szCs w:val="22"/>
          <w:lang w:val="en-US"/>
        </w:rPr>
        <w:lastRenderedPageBreak/>
        <w:t>−1.</w:t>
      </w:r>
      <w:r w:rsidR="00373025">
        <w:rPr>
          <w:rFonts w:ascii="Century" w:hAnsi="Century"/>
          <w:sz w:val="22"/>
          <w:szCs w:val="22"/>
          <w:lang w:val="en-US"/>
        </w:rPr>
        <w:t>42</w:t>
      </w:r>
      <w:r w:rsidRPr="00F414EA">
        <w:rPr>
          <w:rFonts w:ascii="Century" w:hAnsi="Century"/>
          <w:sz w:val="22"/>
          <w:szCs w:val="22"/>
          <w:lang w:val="en-US"/>
        </w:rPr>
        <w:t>% excluding December 13–14); the two macroeconomic days contribute only −0.2</w:t>
      </w:r>
      <w:r w:rsidR="00972139" w:rsidRPr="00F414EA">
        <w:rPr>
          <w:rFonts w:ascii="Century" w:hAnsi="Century"/>
          <w:sz w:val="22"/>
          <w:szCs w:val="22"/>
          <w:lang w:val="en-US"/>
        </w:rPr>
        <w:t>7</w:t>
      </w:r>
      <w:r w:rsidRPr="00F414EA">
        <w:rPr>
          <w:rFonts w:ascii="Century" w:hAnsi="Century"/>
          <w:sz w:val="22"/>
          <w:szCs w:val="22"/>
          <w:lang w:val="en-US"/>
        </w:rPr>
        <w:t>% on average, but their dispersion (SD 4.0</w:t>
      </w:r>
      <w:r w:rsidR="00373025">
        <w:rPr>
          <w:rFonts w:ascii="Century" w:hAnsi="Century"/>
          <w:sz w:val="22"/>
          <w:szCs w:val="22"/>
          <w:lang w:val="en-US"/>
        </w:rPr>
        <w:t>8</w:t>
      </w:r>
      <w:r w:rsidRPr="00F414EA">
        <w:rPr>
          <w:rFonts w:ascii="Century" w:hAnsi="Century"/>
          <w:sz w:val="22"/>
          <w:szCs w:val="22"/>
          <w:lang w:val="en-US"/>
        </w:rPr>
        <w:t>%) is sizeable for two trading days, and this variation across firms is what our test exploits. Since abnormal returns are not capped, the tails are wide (from −</w:t>
      </w:r>
      <w:r w:rsidR="00373025">
        <w:rPr>
          <w:rFonts w:ascii="Century" w:hAnsi="Century"/>
          <w:sz w:val="22"/>
          <w:szCs w:val="22"/>
          <w:lang w:val="en-US"/>
        </w:rPr>
        <w:t>77</w:t>
      </w:r>
      <w:r w:rsidRPr="00F414EA">
        <w:rPr>
          <w:rFonts w:ascii="Century" w:hAnsi="Century"/>
          <w:sz w:val="22"/>
          <w:szCs w:val="22"/>
          <w:lang w:val="en-US"/>
        </w:rPr>
        <w:t>% to +2</w:t>
      </w:r>
      <w:r w:rsidR="00972139" w:rsidRPr="00F414EA">
        <w:rPr>
          <w:rFonts w:ascii="Century" w:hAnsi="Century"/>
          <w:sz w:val="22"/>
          <w:szCs w:val="22"/>
          <w:lang w:val="en-US"/>
        </w:rPr>
        <w:t>3</w:t>
      </w:r>
      <w:r w:rsidR="00373025">
        <w:rPr>
          <w:rFonts w:ascii="Century" w:hAnsi="Century"/>
          <w:sz w:val="22"/>
          <w:szCs w:val="22"/>
          <w:lang w:val="en-US"/>
        </w:rPr>
        <w:t>5</w:t>
      </w:r>
      <w:r w:rsidRPr="00F414EA">
        <w:rPr>
          <w:rFonts w:ascii="Century" w:hAnsi="Century"/>
          <w:sz w:val="22"/>
          <w:szCs w:val="22"/>
          <w:lang w:val="en-US"/>
        </w:rPr>
        <w:t>% over the full window).</w:t>
      </w:r>
      <w:r w:rsidR="00FC485B" w:rsidRPr="00F414EA">
        <w:rPr>
          <w:rFonts w:ascii="Century" w:hAnsi="Century"/>
          <w:sz w:val="22"/>
          <w:szCs w:val="22"/>
          <w:lang w:val="en-US"/>
        </w:rPr>
        <w:t xml:space="preserve"> </w:t>
      </w:r>
      <w:r w:rsidRPr="00F414EA">
        <w:rPr>
          <w:rFonts w:ascii="Century" w:hAnsi="Century"/>
          <w:sz w:val="22"/>
          <w:szCs w:val="22"/>
          <w:lang w:val="en-US"/>
        </w:rPr>
        <w:t xml:space="preserve">This construction has limitations: the industry classification is the firm's current one rather than the one in force in 2022, book equity from the 2021 annual report can be up to eleven months old at the release date, the data requirements </w:t>
      </w:r>
      <w:r w:rsidR="003270CA" w:rsidRPr="00F414EA">
        <w:rPr>
          <w:rFonts w:ascii="Century" w:hAnsi="Century"/>
          <w:sz w:val="22"/>
          <w:szCs w:val="22"/>
          <w:lang w:val="en-US"/>
        </w:rPr>
        <w:t>favor</w:t>
      </w:r>
      <w:r w:rsidRPr="00F414EA">
        <w:rPr>
          <w:rFonts w:ascii="Century" w:hAnsi="Century"/>
          <w:sz w:val="22"/>
          <w:szCs w:val="22"/>
          <w:lang w:val="en-US"/>
        </w:rPr>
        <w:t xml:space="preserve"> liquid, continuously traded firms, and the paper's measure of AI exposure through firms' products was not available to us, so it is omitted from our controls.</w:t>
      </w:r>
    </w:p>
    <w:p w14:paraId="0237D2C6" w14:textId="37BDF23A" w:rsidR="008B517D" w:rsidRDefault="008B517D" w:rsidP="00DD10AD">
      <w:pPr>
        <w:spacing w:before="320" w:after="160" w:line="360" w:lineRule="auto"/>
        <w:outlineLvl w:val="1"/>
        <w:rPr>
          <w:rFonts w:ascii="Century" w:hAnsi="Century"/>
          <w:sz w:val="22"/>
          <w:szCs w:val="22"/>
          <w:lang w:val="en-US"/>
        </w:rPr>
      </w:pPr>
      <w:r w:rsidRPr="00F414EA">
        <w:rPr>
          <w:rFonts w:ascii="Century" w:hAnsi="Century"/>
          <w:sz w:val="22"/>
          <w:szCs w:val="22"/>
          <w:lang w:val="en-US"/>
        </w:rPr>
        <w:t>4.1 Reproducing the Paper's Central Estimate</w:t>
      </w:r>
    </w:p>
    <w:p w14:paraId="534CBB61" w14:textId="3F72FA6D" w:rsidR="00E45F67" w:rsidRPr="00F414EA" w:rsidRDefault="00261529" w:rsidP="00261529">
      <w:pPr>
        <w:spacing w:before="320" w:after="160" w:line="360" w:lineRule="auto"/>
        <w:jc w:val="center"/>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6672" behindDoc="0" locked="0" layoutInCell="1" allowOverlap="1" wp14:anchorId="5AECB0C2" wp14:editId="37ADF59A">
            <wp:simplePos x="0" y="0"/>
            <wp:positionH relativeFrom="margin">
              <wp:align>center</wp:align>
            </wp:positionH>
            <wp:positionV relativeFrom="paragraph">
              <wp:posOffset>538236</wp:posOffset>
            </wp:positionV>
            <wp:extent cx="6873875" cy="3138805"/>
            <wp:effectExtent l="0" t="0" r="2540" b="1270"/>
            <wp:wrapThrough wrapText="bothSides">
              <wp:wrapPolygon edited="0">
                <wp:start x="0" y="0"/>
                <wp:lineTo x="0" y="21512"/>
                <wp:lineTo x="21564" y="21512"/>
                <wp:lineTo x="21564" y="0"/>
                <wp:lineTo x="0" y="0"/>
              </wp:wrapPolygon>
            </wp:wrapThrough>
            <wp:docPr id="9547879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796" name="Imagem 95478796"/>
                    <pic:cNvPicPr/>
                  </pic:nvPicPr>
                  <pic:blipFill rotWithShape="1">
                    <a:blip r:embed="rId8" cstate="print">
                      <a:extLst>
                        <a:ext uri="{28A0092B-C50C-407E-A947-70E740481C1C}">
                          <a14:useLocalDpi xmlns:a14="http://schemas.microsoft.com/office/drawing/2010/main" val="0"/>
                        </a:ext>
                      </a:extLst>
                    </a:blip>
                    <a:srcRect t="6603"/>
                    <a:stretch>
                      <a:fillRect/>
                    </a:stretch>
                  </pic:blipFill>
                  <pic:spPr bwMode="auto">
                    <a:xfrm>
                      <a:off x="0" y="0"/>
                      <a:ext cx="6873875" cy="3138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w:hAnsi="Century"/>
          <w:sz w:val="22"/>
          <w:szCs w:val="22"/>
          <w:lang w:val="en-US"/>
        </w:rPr>
        <w:t xml:space="preserve">Figure 1: AMH, Artificial and Human portfolio </w:t>
      </w:r>
      <w:r w:rsidR="008F696E">
        <w:rPr>
          <w:rFonts w:ascii="Century" w:hAnsi="Century"/>
          <w:sz w:val="22"/>
          <w:szCs w:val="22"/>
          <w:lang w:val="en-US"/>
        </w:rPr>
        <w:t>CAR</w:t>
      </w:r>
      <w:r w:rsidR="007A0036">
        <w:rPr>
          <w:rFonts w:ascii="Century" w:hAnsi="Century"/>
          <w:sz w:val="22"/>
          <w:szCs w:val="22"/>
          <w:lang w:val="en-US"/>
        </w:rPr>
        <w:t xml:space="preserve"> from CAPM</w:t>
      </w:r>
    </w:p>
    <w:p w14:paraId="68F4364E" w14:textId="61A25974" w:rsidR="008B517D" w:rsidRPr="00F414EA" w:rsidRDefault="008B517D"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In order to replicate the paper’s central estimate, we followed the original portfolio sorting methodology applied to data collected in Section 3 : raw excess returns, CAPM and FF5 adjusted abnormal returns. As on the paper, firms are sorted into value weighted quintiles based on their generative AI score, </w:t>
      </w:r>
      <w:r w:rsidRPr="009068C5">
        <w:rPr>
          <w:rFonts w:ascii="Century" w:hAnsi="Century"/>
          <w:sz w:val="22"/>
          <w:szCs w:val="22"/>
          <w:lang w:val="en-US"/>
        </w:rPr>
        <w:t>which correspond to 5 groups of approximately 46</w:t>
      </w:r>
      <w:r w:rsidR="007E4732" w:rsidRPr="009068C5">
        <w:rPr>
          <w:rFonts w:ascii="Century" w:hAnsi="Century"/>
          <w:sz w:val="22"/>
          <w:szCs w:val="22"/>
          <w:lang w:val="en-US"/>
        </w:rPr>
        <w:t>1</w:t>
      </w:r>
      <w:r w:rsidRPr="009068C5">
        <w:rPr>
          <w:rFonts w:ascii="Century" w:hAnsi="Century"/>
          <w:sz w:val="22"/>
          <w:szCs w:val="22"/>
          <w:lang w:val="en-US"/>
        </w:rPr>
        <w:t xml:space="preserve"> firms each, which means exposure rise from 0.267 in the lowest quintile to 0.449 in the highest. As in the paper, we construct the long-short Artificial-Minus-Huma</w:t>
      </w:r>
      <w:r w:rsidR="003C0269" w:rsidRPr="009068C5">
        <w:rPr>
          <w:rFonts w:ascii="Century" w:hAnsi="Century"/>
          <w:sz w:val="22"/>
          <w:szCs w:val="22"/>
          <w:lang w:val="en-US"/>
        </w:rPr>
        <w:t>n</w:t>
      </w:r>
      <w:r w:rsidRPr="009068C5">
        <w:rPr>
          <w:rFonts w:ascii="Century" w:hAnsi="Century"/>
          <w:sz w:val="22"/>
          <w:szCs w:val="22"/>
          <w:lang w:val="en-US"/>
        </w:rPr>
        <w:t xml:space="preserve"> portfolio, long the highest exposure quintile and short the lowest one and cumulate its daily value-weighted abnormal return over the ChatGPT eleven day event window [0, 10].</w:t>
      </w:r>
      <w:r w:rsidRPr="00F414EA">
        <w:rPr>
          <w:rFonts w:ascii="Century" w:hAnsi="Century"/>
          <w:sz w:val="22"/>
          <w:szCs w:val="22"/>
          <w:lang w:val="en-US"/>
        </w:rPr>
        <w:t> </w:t>
      </w:r>
    </w:p>
    <w:p w14:paraId="1ABBF6F9" w14:textId="662C551A" w:rsidR="008B517D" w:rsidRPr="00F414EA" w:rsidRDefault="00365C66"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lastRenderedPageBreak/>
        <w:t>On</w:t>
      </w:r>
      <w:r w:rsidR="008B517D" w:rsidRPr="00F414EA">
        <w:rPr>
          <w:rFonts w:ascii="Century" w:hAnsi="Century"/>
          <w:sz w:val="22"/>
          <w:szCs w:val="22"/>
          <w:lang w:val="en-US"/>
        </w:rPr>
        <w:t xml:space="preserve"> results, AMH portfolio fed with our own data earns a raw excess return of </w:t>
      </w:r>
      <w:r w:rsidR="0020304C" w:rsidRPr="00F414EA">
        <w:rPr>
          <w:rFonts w:ascii="Century" w:hAnsi="Century"/>
          <w:sz w:val="22"/>
          <w:szCs w:val="22"/>
          <w:lang w:val="en-US"/>
        </w:rPr>
        <w:t>0.51</w:t>
      </w:r>
      <w:r w:rsidR="001703B7">
        <w:rPr>
          <w:rFonts w:ascii="Century" w:hAnsi="Century"/>
          <w:sz w:val="22"/>
          <w:szCs w:val="22"/>
          <w:lang w:val="en-US"/>
        </w:rPr>
        <w:t>4</w:t>
      </w:r>
      <w:r w:rsidR="0020304C" w:rsidRPr="00F414EA">
        <w:rPr>
          <w:rFonts w:ascii="Century" w:hAnsi="Century"/>
          <w:sz w:val="22"/>
          <w:szCs w:val="22"/>
          <w:lang w:val="en-US"/>
        </w:rPr>
        <w:t>% per day (t = 2.1</w:t>
      </w:r>
      <w:r w:rsidR="001703B7">
        <w:rPr>
          <w:rFonts w:ascii="Century" w:hAnsi="Century"/>
          <w:sz w:val="22"/>
          <w:szCs w:val="22"/>
          <w:lang w:val="en-US"/>
        </w:rPr>
        <w:t>9</w:t>
      </w:r>
      <w:r w:rsidR="0020304C" w:rsidRPr="00F414EA">
        <w:rPr>
          <w:rFonts w:ascii="Century" w:hAnsi="Century"/>
          <w:sz w:val="22"/>
          <w:szCs w:val="22"/>
          <w:lang w:val="en-US"/>
        </w:rPr>
        <w:t>)</w:t>
      </w:r>
      <w:r w:rsidR="008B517D" w:rsidRPr="00F414EA">
        <w:rPr>
          <w:rFonts w:ascii="Century" w:hAnsi="Century"/>
          <w:sz w:val="22"/>
          <w:szCs w:val="22"/>
          <w:lang w:val="en-US"/>
        </w:rPr>
        <w:t>, a CAPM adjusted return of 0.5</w:t>
      </w:r>
      <w:r w:rsidR="001703B7">
        <w:rPr>
          <w:rFonts w:ascii="Century" w:hAnsi="Century"/>
          <w:sz w:val="22"/>
          <w:szCs w:val="22"/>
          <w:lang w:val="en-US"/>
        </w:rPr>
        <w:t>26</w:t>
      </w:r>
      <w:r w:rsidR="008B517D" w:rsidRPr="00F414EA">
        <w:rPr>
          <w:rFonts w:ascii="Century" w:hAnsi="Century"/>
          <w:sz w:val="22"/>
          <w:szCs w:val="22"/>
          <w:lang w:val="en-US"/>
        </w:rPr>
        <w:t>% per day (t= 3.</w:t>
      </w:r>
      <w:r w:rsidR="001703B7">
        <w:rPr>
          <w:rFonts w:ascii="Century" w:hAnsi="Century"/>
          <w:sz w:val="22"/>
          <w:szCs w:val="22"/>
          <w:lang w:val="en-US"/>
        </w:rPr>
        <w:t>11</w:t>
      </w:r>
      <w:r w:rsidR="008B517D" w:rsidRPr="00F414EA">
        <w:rPr>
          <w:rFonts w:ascii="Century" w:hAnsi="Century"/>
          <w:sz w:val="22"/>
          <w:szCs w:val="22"/>
          <w:lang w:val="en-US"/>
        </w:rPr>
        <w:t>) and a FF5 adjusted return of 0.</w:t>
      </w:r>
      <w:r w:rsidR="00D25819" w:rsidRPr="00F414EA">
        <w:rPr>
          <w:rFonts w:ascii="Century" w:hAnsi="Century"/>
          <w:sz w:val="22"/>
          <w:szCs w:val="22"/>
          <w:lang w:val="en-US"/>
        </w:rPr>
        <w:t>2</w:t>
      </w:r>
      <w:r w:rsidR="001F7289">
        <w:rPr>
          <w:rFonts w:ascii="Century" w:hAnsi="Century"/>
          <w:sz w:val="22"/>
          <w:szCs w:val="22"/>
          <w:lang w:val="en-US"/>
        </w:rPr>
        <w:t>93</w:t>
      </w:r>
      <w:r w:rsidR="008B517D" w:rsidRPr="00F414EA">
        <w:rPr>
          <w:rFonts w:ascii="Century" w:hAnsi="Century"/>
          <w:sz w:val="22"/>
          <w:szCs w:val="22"/>
          <w:lang w:val="en-US"/>
        </w:rPr>
        <w:t xml:space="preserve">% per day (t= </w:t>
      </w:r>
      <w:r w:rsidR="00D25819" w:rsidRPr="00F414EA">
        <w:rPr>
          <w:rFonts w:ascii="Century" w:hAnsi="Century"/>
          <w:sz w:val="22"/>
          <w:szCs w:val="22"/>
          <w:lang w:val="en-US"/>
        </w:rPr>
        <w:t>2.0</w:t>
      </w:r>
      <w:r w:rsidR="001F7289">
        <w:rPr>
          <w:rFonts w:ascii="Century" w:hAnsi="Century"/>
          <w:sz w:val="22"/>
          <w:szCs w:val="22"/>
          <w:lang w:val="en-US"/>
        </w:rPr>
        <w:t>5</w:t>
      </w:r>
      <w:r w:rsidR="008B517D" w:rsidRPr="00F414EA">
        <w:rPr>
          <w:rFonts w:ascii="Century" w:hAnsi="Century"/>
          <w:sz w:val="22"/>
          <w:szCs w:val="22"/>
          <w:lang w:val="en-US"/>
        </w:rPr>
        <w:t xml:space="preserve">). The paper presents the following results for observed criteria: 0.45%, 0.44% and 0.35% per day for raw excess return, CAPM and FF5 respectively. We can conclude that outcomes between the paper's central estimate and our own estimate are positive, consistent with the paper. </w:t>
      </w:r>
    </w:p>
    <w:p w14:paraId="34C0A258" w14:textId="3F4F4440" w:rsidR="008B517D" w:rsidRPr="001703B7" w:rsidRDefault="008B517D" w:rsidP="00A24170">
      <w:pPr>
        <w:spacing w:line="360" w:lineRule="auto"/>
        <w:ind w:firstLine="360"/>
        <w:jc w:val="both"/>
        <w:rPr>
          <w:rFonts w:ascii="Century" w:hAnsi="Century"/>
          <w:sz w:val="22"/>
          <w:szCs w:val="22"/>
          <w:lang w:val="en-US"/>
        </w:rPr>
      </w:pPr>
      <w:r w:rsidRPr="001703B7">
        <w:rPr>
          <w:rFonts w:ascii="Century" w:hAnsi="Century"/>
          <w:sz w:val="22"/>
          <w:szCs w:val="22"/>
          <w:lang w:val="en-US"/>
        </w:rPr>
        <w:t xml:space="preserve">To handle the concern about CAPM </w:t>
      </w:r>
      <w:r w:rsidR="001F7289">
        <w:rPr>
          <w:rFonts w:ascii="Century" w:hAnsi="Century"/>
          <w:sz w:val="22"/>
          <w:szCs w:val="22"/>
          <w:lang w:val="en-US"/>
        </w:rPr>
        <w:t>overshoot and FF undershoot</w:t>
      </w:r>
      <w:r w:rsidRPr="001703B7">
        <w:rPr>
          <w:rFonts w:ascii="Century" w:hAnsi="Century"/>
          <w:sz w:val="22"/>
          <w:szCs w:val="22"/>
          <w:lang w:val="en-US"/>
        </w:rPr>
        <w:t>, we applied the winsorization at the 1st and at 99th percentiles to abnormal return directly.  Winsorization moves the estimates only marginally:  CAPM from 0.5</w:t>
      </w:r>
      <w:r w:rsidR="001F7289">
        <w:rPr>
          <w:rFonts w:ascii="Century" w:hAnsi="Century"/>
          <w:sz w:val="22"/>
          <w:szCs w:val="22"/>
          <w:lang w:val="en-US"/>
        </w:rPr>
        <w:t>26</w:t>
      </w:r>
      <w:r w:rsidRPr="001703B7">
        <w:rPr>
          <w:rFonts w:ascii="Century" w:hAnsi="Century"/>
          <w:sz w:val="22"/>
          <w:szCs w:val="22"/>
          <w:lang w:val="en-US"/>
        </w:rPr>
        <w:t>% per day (t = 3.</w:t>
      </w:r>
      <w:r w:rsidR="001F7289">
        <w:rPr>
          <w:rFonts w:ascii="Century" w:hAnsi="Century"/>
          <w:sz w:val="22"/>
          <w:szCs w:val="22"/>
          <w:lang w:val="en-US"/>
        </w:rPr>
        <w:t>11</w:t>
      </w:r>
      <w:r w:rsidRPr="001703B7">
        <w:rPr>
          <w:rFonts w:ascii="Century" w:hAnsi="Century"/>
          <w:sz w:val="22"/>
          <w:szCs w:val="22"/>
          <w:lang w:val="en-US"/>
        </w:rPr>
        <w:t>) to 0.5</w:t>
      </w:r>
      <w:r w:rsidR="001F7289">
        <w:rPr>
          <w:rFonts w:ascii="Century" w:hAnsi="Century"/>
          <w:sz w:val="22"/>
          <w:szCs w:val="22"/>
          <w:lang w:val="en-US"/>
        </w:rPr>
        <w:t>24</w:t>
      </w:r>
      <w:r w:rsidRPr="001703B7">
        <w:rPr>
          <w:rFonts w:ascii="Century" w:hAnsi="Century"/>
          <w:sz w:val="22"/>
          <w:szCs w:val="22"/>
          <w:lang w:val="en-US"/>
        </w:rPr>
        <w:t>% per day (t = 3.</w:t>
      </w:r>
      <w:r w:rsidR="001F7289">
        <w:rPr>
          <w:rFonts w:ascii="Century" w:hAnsi="Century"/>
          <w:sz w:val="22"/>
          <w:szCs w:val="22"/>
          <w:lang w:val="en-US"/>
        </w:rPr>
        <w:t>12)</w:t>
      </w:r>
      <w:r w:rsidRPr="001703B7">
        <w:rPr>
          <w:rFonts w:ascii="Century" w:hAnsi="Century"/>
          <w:sz w:val="22"/>
          <w:szCs w:val="22"/>
          <w:lang w:val="en-US"/>
        </w:rPr>
        <w:t>, and FF5 from 0.</w:t>
      </w:r>
      <w:r w:rsidR="00A24170" w:rsidRPr="001703B7">
        <w:rPr>
          <w:rFonts w:ascii="Century" w:hAnsi="Century"/>
          <w:sz w:val="22"/>
          <w:szCs w:val="22"/>
          <w:lang w:val="en-US"/>
        </w:rPr>
        <w:t>2</w:t>
      </w:r>
      <w:r w:rsidR="00082CFD">
        <w:rPr>
          <w:rFonts w:ascii="Century" w:hAnsi="Century"/>
          <w:sz w:val="22"/>
          <w:szCs w:val="22"/>
          <w:lang w:val="en-US"/>
        </w:rPr>
        <w:t>93</w:t>
      </w:r>
      <w:r w:rsidR="00A24170" w:rsidRPr="001703B7">
        <w:rPr>
          <w:rFonts w:ascii="Century" w:hAnsi="Century"/>
          <w:sz w:val="22"/>
          <w:szCs w:val="22"/>
          <w:lang w:val="en-US"/>
        </w:rPr>
        <w:t>%</w:t>
      </w:r>
      <w:r w:rsidRPr="001703B7">
        <w:rPr>
          <w:rFonts w:ascii="Century" w:hAnsi="Century"/>
          <w:sz w:val="22"/>
          <w:szCs w:val="22"/>
          <w:lang w:val="en-US"/>
        </w:rPr>
        <w:t xml:space="preserve"> per day (t = </w:t>
      </w:r>
      <w:r w:rsidR="00A24170" w:rsidRPr="001703B7">
        <w:rPr>
          <w:rFonts w:ascii="Century" w:hAnsi="Century"/>
          <w:sz w:val="22"/>
          <w:szCs w:val="22"/>
          <w:lang w:val="en-US"/>
        </w:rPr>
        <w:t>2</w:t>
      </w:r>
      <w:r w:rsidRPr="001703B7">
        <w:rPr>
          <w:rFonts w:ascii="Century" w:hAnsi="Century"/>
          <w:sz w:val="22"/>
          <w:szCs w:val="22"/>
          <w:lang w:val="en-US"/>
        </w:rPr>
        <w:t>.0</w:t>
      </w:r>
      <w:r w:rsidR="00082CFD">
        <w:rPr>
          <w:rFonts w:ascii="Century" w:hAnsi="Century"/>
          <w:sz w:val="22"/>
          <w:szCs w:val="22"/>
          <w:lang w:val="en-US"/>
        </w:rPr>
        <w:t>5</w:t>
      </w:r>
      <w:r w:rsidRPr="001703B7">
        <w:rPr>
          <w:rFonts w:ascii="Century" w:hAnsi="Century"/>
          <w:sz w:val="22"/>
          <w:szCs w:val="22"/>
          <w:lang w:val="en-US"/>
        </w:rPr>
        <w:t>) to 0.</w:t>
      </w:r>
      <w:r w:rsidR="00A24170" w:rsidRPr="001703B7">
        <w:rPr>
          <w:rFonts w:ascii="Century" w:hAnsi="Century"/>
          <w:sz w:val="22"/>
          <w:szCs w:val="22"/>
          <w:lang w:val="en-US"/>
        </w:rPr>
        <w:t>2</w:t>
      </w:r>
      <w:r w:rsidR="00082CFD">
        <w:rPr>
          <w:rFonts w:ascii="Century" w:hAnsi="Century"/>
          <w:sz w:val="22"/>
          <w:szCs w:val="22"/>
          <w:lang w:val="en-US"/>
        </w:rPr>
        <w:t>92</w:t>
      </w:r>
      <w:r w:rsidRPr="001703B7">
        <w:rPr>
          <w:rFonts w:ascii="Century" w:hAnsi="Century"/>
          <w:sz w:val="22"/>
          <w:szCs w:val="22"/>
          <w:lang w:val="en-US"/>
        </w:rPr>
        <w:t xml:space="preserve">% per day (t = </w:t>
      </w:r>
      <w:r w:rsidR="00A24170" w:rsidRPr="001703B7">
        <w:rPr>
          <w:rFonts w:ascii="Century" w:hAnsi="Century"/>
          <w:sz w:val="22"/>
          <w:szCs w:val="22"/>
          <w:lang w:val="en-US"/>
        </w:rPr>
        <w:t>2.0</w:t>
      </w:r>
      <w:r w:rsidR="00082CFD">
        <w:rPr>
          <w:rFonts w:ascii="Century" w:hAnsi="Century"/>
          <w:sz w:val="22"/>
          <w:szCs w:val="22"/>
          <w:lang w:val="en-US"/>
        </w:rPr>
        <w:t>6</w:t>
      </w:r>
      <w:r w:rsidRPr="001703B7">
        <w:rPr>
          <w:rFonts w:ascii="Century" w:hAnsi="Century"/>
          <w:sz w:val="22"/>
          <w:szCs w:val="22"/>
          <w:lang w:val="en-US"/>
        </w:rPr>
        <w:t>).</w:t>
      </w:r>
      <w:r w:rsidR="00A24170" w:rsidRPr="001703B7">
        <w:rPr>
          <w:rFonts w:ascii="Century" w:hAnsi="Century"/>
          <w:sz w:val="22"/>
          <w:szCs w:val="22"/>
          <w:lang w:val="en-US"/>
        </w:rPr>
        <w:t xml:space="preserve"> </w:t>
      </w:r>
      <w:r w:rsidRPr="001703B7">
        <w:rPr>
          <w:rFonts w:ascii="Century" w:hAnsi="Century"/>
          <w:sz w:val="22"/>
          <w:szCs w:val="22"/>
          <w:lang w:val="en-US"/>
        </w:rPr>
        <w:t xml:space="preserve">We conclude our choice to not be winsorized does not explain the gap to the paper’s </w:t>
      </w:r>
      <w:r w:rsidR="00FF5940">
        <w:rPr>
          <w:rFonts w:ascii="Century" w:hAnsi="Century"/>
          <w:sz w:val="22"/>
          <w:szCs w:val="22"/>
          <w:lang w:val="en-US"/>
        </w:rPr>
        <w:t xml:space="preserve">CAPM and FF </w:t>
      </w:r>
      <w:r w:rsidRPr="001703B7">
        <w:rPr>
          <w:rFonts w:ascii="Century" w:hAnsi="Century"/>
          <w:sz w:val="22"/>
          <w:szCs w:val="22"/>
          <w:lang w:val="en-US"/>
        </w:rPr>
        <w:t>alpha. Instead, the gap more likely reflects two documented simplifications in our reproduction</w:t>
      </w:r>
    </w:p>
    <w:p w14:paraId="5D20CAEE" w14:textId="77777777" w:rsidR="008B517D" w:rsidRPr="00C80F05" w:rsidRDefault="008B517D" w:rsidP="008B517D">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 Quintile breakpoints are formed from the full sample rather than from NYSE only breakpoints as in the original paper</w:t>
      </w:r>
    </w:p>
    <w:p w14:paraId="4D1ECA98" w14:textId="34833174" w:rsidR="007E4732" w:rsidRPr="00C80F05" w:rsidRDefault="008B517D" w:rsidP="007E4732">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Portfolio weights use fixed, pre-event (November 29) market capitalizations rather than the paper's daily updated weights</w:t>
      </w:r>
    </w:p>
    <w:p w14:paraId="70DDB902" w14:textId="53021B03" w:rsidR="008A48C6" w:rsidRDefault="008B517D" w:rsidP="00412F5E">
      <w:pPr>
        <w:spacing w:line="360" w:lineRule="auto"/>
        <w:ind w:firstLine="360"/>
        <w:jc w:val="both"/>
        <w:rPr>
          <w:rFonts w:ascii="Century" w:hAnsi="Century"/>
          <w:sz w:val="22"/>
          <w:szCs w:val="22"/>
          <w:lang w:val="en-US"/>
        </w:rPr>
      </w:pPr>
      <w:r w:rsidRPr="00AF2699">
        <w:rPr>
          <w:rFonts w:ascii="Century" w:hAnsi="Century"/>
          <w:sz w:val="22"/>
          <w:szCs w:val="22"/>
          <w:lang w:val="en-US"/>
        </w:rPr>
        <w:t xml:space="preserve">To conclude, </w:t>
      </w:r>
      <w:r w:rsidR="00AF2699" w:rsidRPr="00AF2699">
        <w:rPr>
          <w:rFonts w:ascii="Century" w:hAnsi="Century"/>
          <w:sz w:val="22"/>
          <w:szCs w:val="22"/>
          <w:lang w:val="en-US"/>
        </w:rPr>
        <w:t xml:space="preserve">both </w:t>
      </w:r>
      <w:r w:rsidRPr="00AF2699">
        <w:rPr>
          <w:rFonts w:ascii="Century" w:hAnsi="Century"/>
          <w:sz w:val="22"/>
          <w:szCs w:val="22"/>
          <w:lang w:val="en-US"/>
        </w:rPr>
        <w:t xml:space="preserve">the FF5 </w:t>
      </w:r>
      <w:r w:rsidR="00AF2699">
        <w:rPr>
          <w:rFonts w:ascii="Century" w:hAnsi="Century"/>
          <w:sz w:val="22"/>
          <w:szCs w:val="22"/>
          <w:lang w:val="en-US"/>
        </w:rPr>
        <w:t>and</w:t>
      </w:r>
      <w:r w:rsidRPr="00AF2699">
        <w:rPr>
          <w:rFonts w:ascii="Century" w:hAnsi="Century"/>
          <w:sz w:val="22"/>
          <w:szCs w:val="22"/>
          <w:lang w:val="en-US"/>
        </w:rPr>
        <w:t xml:space="preserve"> CAPM outcome</w:t>
      </w:r>
      <w:r w:rsidR="00AF2699">
        <w:rPr>
          <w:rFonts w:ascii="Century" w:hAnsi="Century"/>
          <w:sz w:val="22"/>
          <w:szCs w:val="22"/>
          <w:lang w:val="en-US"/>
        </w:rPr>
        <w:t>s</w:t>
      </w:r>
      <w:r w:rsidRPr="00AF2699">
        <w:rPr>
          <w:rFonts w:ascii="Century" w:hAnsi="Century"/>
          <w:sz w:val="22"/>
          <w:szCs w:val="22"/>
          <w:lang w:val="en-US"/>
        </w:rPr>
        <w:t xml:space="preserve"> show a</w:t>
      </w:r>
      <w:r w:rsidR="00536B7B">
        <w:rPr>
          <w:rFonts w:ascii="Century" w:hAnsi="Century"/>
          <w:sz w:val="22"/>
          <w:szCs w:val="22"/>
          <w:lang w:val="en-US"/>
        </w:rPr>
        <w:t xml:space="preserve"> not statistically</w:t>
      </w:r>
      <w:r w:rsidR="00EF64E3">
        <w:rPr>
          <w:rFonts w:ascii="Century" w:hAnsi="Century"/>
          <w:sz w:val="22"/>
          <w:szCs w:val="22"/>
          <w:lang w:val="en-US"/>
        </w:rPr>
        <w:t xml:space="preserve"> large</w:t>
      </w:r>
      <w:r w:rsidR="00361272">
        <w:rPr>
          <w:rFonts w:ascii="Century" w:hAnsi="Century"/>
          <w:sz w:val="22"/>
          <w:szCs w:val="22"/>
          <w:lang w:val="en-US"/>
        </w:rPr>
        <w:t xml:space="preserve"> difference</w:t>
      </w:r>
      <w:r w:rsidR="005B1F35" w:rsidRPr="00AF2699">
        <w:rPr>
          <w:rFonts w:ascii="Century" w:hAnsi="Century"/>
          <w:sz w:val="22"/>
          <w:szCs w:val="22"/>
          <w:lang w:val="en-US"/>
        </w:rPr>
        <w:t xml:space="preserve"> </w:t>
      </w:r>
      <w:r w:rsidR="00AA1AEF">
        <w:rPr>
          <w:rFonts w:ascii="Century" w:hAnsi="Century"/>
          <w:sz w:val="22"/>
          <w:szCs w:val="22"/>
          <w:lang w:val="en-US"/>
        </w:rPr>
        <w:t>(</w:t>
      </w:r>
      <w:r w:rsidR="001802E6">
        <w:rPr>
          <w:rFonts w:ascii="Century" w:hAnsi="Century"/>
          <w:sz w:val="22"/>
          <w:szCs w:val="22"/>
          <w:lang w:val="en-US"/>
        </w:rPr>
        <w:t>Appendix Table</w:t>
      </w:r>
      <w:r w:rsidR="00AA1AEF">
        <w:rPr>
          <w:rFonts w:ascii="Century" w:hAnsi="Century"/>
          <w:sz w:val="22"/>
          <w:szCs w:val="22"/>
          <w:lang w:val="en-US"/>
        </w:rPr>
        <w:t xml:space="preserve"> A</w:t>
      </w:r>
      <w:r w:rsidR="00A9332D">
        <w:rPr>
          <w:rFonts w:ascii="Century" w:hAnsi="Century"/>
          <w:sz w:val="22"/>
          <w:szCs w:val="22"/>
          <w:lang w:val="en-US"/>
        </w:rPr>
        <w:t>1</w:t>
      </w:r>
      <w:r w:rsidR="00AA1AEF">
        <w:rPr>
          <w:rFonts w:ascii="Century" w:hAnsi="Century"/>
          <w:sz w:val="22"/>
          <w:szCs w:val="22"/>
          <w:lang w:val="en-US"/>
        </w:rPr>
        <w:t xml:space="preserve">) </w:t>
      </w:r>
      <w:r w:rsidR="00361272">
        <w:rPr>
          <w:rFonts w:ascii="Century" w:hAnsi="Century"/>
          <w:sz w:val="22"/>
          <w:szCs w:val="22"/>
          <w:lang w:val="en-US"/>
        </w:rPr>
        <w:t>which may</w:t>
      </w:r>
      <w:r w:rsidRPr="00AF2699">
        <w:rPr>
          <w:rFonts w:ascii="Century" w:hAnsi="Century"/>
          <w:sz w:val="22"/>
          <w:szCs w:val="22"/>
          <w:lang w:val="en-US"/>
        </w:rPr>
        <w:t xml:space="preserve"> reflect two methodological simplifications. Therefore, the matching sign and significance between three observed variables validate the data pipelines </w:t>
      </w:r>
      <w:r w:rsidR="00F025D4">
        <w:rPr>
          <w:rFonts w:ascii="Century" w:hAnsi="Century"/>
          <w:sz w:val="22"/>
          <w:szCs w:val="22"/>
          <w:lang w:val="en-US"/>
        </w:rPr>
        <w:t xml:space="preserve">used </w:t>
      </w:r>
      <w:r w:rsidRPr="00AF2699">
        <w:rPr>
          <w:rFonts w:ascii="Century" w:hAnsi="Century"/>
          <w:sz w:val="22"/>
          <w:szCs w:val="22"/>
          <w:lang w:val="en-US"/>
        </w:rPr>
        <w:t xml:space="preserve">in order to proceed </w:t>
      </w:r>
      <w:r w:rsidR="00F025D4">
        <w:rPr>
          <w:rFonts w:ascii="Century" w:hAnsi="Century"/>
          <w:sz w:val="22"/>
          <w:szCs w:val="22"/>
          <w:lang w:val="en-US"/>
        </w:rPr>
        <w:t>with the</w:t>
      </w:r>
      <w:r w:rsidRPr="00AF2699">
        <w:rPr>
          <w:rFonts w:ascii="Century" w:hAnsi="Century"/>
          <w:sz w:val="22"/>
          <w:szCs w:val="22"/>
          <w:lang w:val="en-US"/>
        </w:rPr>
        <w:t xml:space="preserve"> </w:t>
      </w:r>
      <w:r w:rsidR="00F025D4">
        <w:rPr>
          <w:rFonts w:ascii="Century" w:hAnsi="Century"/>
          <w:sz w:val="22"/>
          <w:szCs w:val="22"/>
          <w:lang w:val="en-US"/>
        </w:rPr>
        <w:t>methods described</w:t>
      </w:r>
      <w:r w:rsidRPr="00AF2699">
        <w:rPr>
          <w:rFonts w:ascii="Century" w:hAnsi="Century"/>
          <w:sz w:val="22"/>
          <w:szCs w:val="22"/>
          <w:lang w:val="en-US"/>
        </w:rPr>
        <w:t xml:space="preserve"> for Section 4.2</w:t>
      </w:r>
    </w:p>
    <w:p w14:paraId="053075AC" w14:textId="0AD4E61E" w:rsidR="001703B7" w:rsidRDefault="00EF4BF8" w:rsidP="00222455">
      <w:pPr>
        <w:spacing w:before="320" w:after="160" w:line="360" w:lineRule="auto"/>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5648" behindDoc="0" locked="0" layoutInCell="1" allowOverlap="1" wp14:anchorId="2927D579" wp14:editId="2D4B4089">
            <wp:simplePos x="0" y="0"/>
            <wp:positionH relativeFrom="column">
              <wp:posOffset>-592455</wp:posOffset>
            </wp:positionH>
            <wp:positionV relativeFrom="paragraph">
              <wp:posOffset>462280</wp:posOffset>
            </wp:positionV>
            <wp:extent cx="6946661" cy="3076261"/>
            <wp:effectExtent l="0" t="0" r="635" b="0"/>
            <wp:wrapNone/>
            <wp:docPr id="127939176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91768" name="Imagem 1279391768"/>
                    <pic:cNvPicPr/>
                  </pic:nvPicPr>
                  <pic:blipFill rotWithShape="1">
                    <a:blip r:embed="rId9" cstate="print">
                      <a:extLst>
                        <a:ext uri="{28A0092B-C50C-407E-A947-70E740481C1C}">
                          <a14:useLocalDpi xmlns:a14="http://schemas.microsoft.com/office/drawing/2010/main" val="0"/>
                        </a:ext>
                      </a:extLst>
                    </a:blip>
                    <a:srcRect t="2464" b="23635"/>
                    <a:stretch>
                      <a:fillRect/>
                    </a:stretch>
                  </pic:blipFill>
                  <pic:spPr bwMode="auto">
                    <a:xfrm>
                      <a:off x="0" y="0"/>
                      <a:ext cx="6946661" cy="3076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517D" w:rsidRPr="00F414EA">
        <w:rPr>
          <w:rFonts w:ascii="Century" w:hAnsi="Century"/>
          <w:sz w:val="22"/>
          <w:szCs w:val="22"/>
          <w:lang w:val="en-US"/>
        </w:rPr>
        <w:t>4.2 Tests and Findings</w:t>
      </w:r>
    </w:p>
    <w:tbl>
      <w:tblPr>
        <w:tblW w:w="9070"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9070"/>
      </w:tblGrid>
      <w:tr w:rsidR="00E92837" w:rsidRPr="00E92837" w14:paraId="28001D81" w14:textId="77777777" w:rsidTr="00E92837">
        <w:tc>
          <w:tcPr>
            <w:tcW w:w="0" w:type="auto"/>
            <w:tcBorders>
              <w:top w:val="nil"/>
              <w:left w:val="nil"/>
              <w:bottom w:val="nil"/>
              <w:right w:val="nil"/>
            </w:tcBorders>
            <w:shd w:val="clear" w:color="auto" w:fill="FFFFFF"/>
            <w:tcMar>
              <w:top w:w="60" w:type="dxa"/>
              <w:left w:w="75" w:type="dxa"/>
              <w:bottom w:w="60" w:type="dxa"/>
              <w:right w:w="75" w:type="dxa"/>
            </w:tcMar>
            <w:vAlign w:val="center"/>
            <w:hideMark/>
          </w:tcPr>
          <w:p w14:paraId="6754FB36" w14:textId="088BDB71" w:rsidR="000C69CA" w:rsidRDefault="000C69CA" w:rsidP="00EF4BF8">
            <w:pPr>
              <w:spacing w:line="360" w:lineRule="auto"/>
              <w:jc w:val="both"/>
              <w:rPr>
                <w:rFonts w:ascii="Century" w:hAnsi="Century"/>
                <w:sz w:val="22"/>
                <w:szCs w:val="22"/>
                <w:lang w:val="en-US"/>
              </w:rPr>
            </w:pPr>
          </w:p>
          <w:p w14:paraId="5C223398" w14:textId="77777777" w:rsidR="00E91543" w:rsidRDefault="00E91543" w:rsidP="00E92837">
            <w:pPr>
              <w:spacing w:line="360" w:lineRule="auto"/>
              <w:ind w:firstLine="360"/>
              <w:jc w:val="both"/>
              <w:rPr>
                <w:rFonts w:ascii="Century" w:hAnsi="Century"/>
                <w:sz w:val="22"/>
                <w:szCs w:val="22"/>
                <w:lang w:val="en-US"/>
              </w:rPr>
            </w:pPr>
          </w:p>
          <w:p w14:paraId="0CA3F228" w14:textId="30485341" w:rsidR="00E91543" w:rsidRDefault="00E91543" w:rsidP="00E91543">
            <w:pPr>
              <w:keepNext/>
              <w:spacing w:after="60"/>
            </w:pPr>
          </w:p>
          <w:p w14:paraId="14980B8F" w14:textId="0ECDB0C9" w:rsidR="000A0148" w:rsidRPr="00222455" w:rsidRDefault="000A0148" w:rsidP="00E92837">
            <w:pPr>
              <w:spacing w:line="360" w:lineRule="auto"/>
              <w:ind w:firstLine="360"/>
              <w:jc w:val="both"/>
              <w:rPr>
                <w:rFonts w:ascii="Century" w:hAnsi="Century"/>
                <w:sz w:val="22"/>
                <w:szCs w:val="22"/>
                <w:lang w:val="en-US"/>
              </w:rPr>
            </w:pPr>
          </w:p>
        </w:tc>
      </w:tr>
    </w:tbl>
    <w:p w14:paraId="07B4F19A" w14:textId="1BD30E36" w:rsidR="00E92837" w:rsidRDefault="00E92837" w:rsidP="0076539A">
      <w:pPr>
        <w:spacing w:line="360" w:lineRule="auto"/>
        <w:ind w:firstLine="360"/>
        <w:jc w:val="both"/>
        <w:rPr>
          <w:rFonts w:ascii="Century" w:hAnsi="Century"/>
          <w:sz w:val="22"/>
          <w:szCs w:val="22"/>
          <w:lang w:val="en-US"/>
        </w:rPr>
      </w:pPr>
    </w:p>
    <w:p w14:paraId="39737B98" w14:textId="416812E9" w:rsidR="00E92837" w:rsidRDefault="00E92837" w:rsidP="0076539A">
      <w:pPr>
        <w:spacing w:line="360" w:lineRule="auto"/>
        <w:ind w:firstLine="360"/>
        <w:jc w:val="both"/>
        <w:rPr>
          <w:rFonts w:ascii="Century" w:hAnsi="Century"/>
          <w:sz w:val="22"/>
          <w:szCs w:val="22"/>
          <w:lang w:val="en-US"/>
        </w:rPr>
      </w:pPr>
    </w:p>
    <w:p w14:paraId="64D6D04F" w14:textId="02501879" w:rsidR="00E92837" w:rsidRDefault="00E92837" w:rsidP="0076539A">
      <w:pPr>
        <w:spacing w:line="360" w:lineRule="auto"/>
        <w:ind w:firstLine="360"/>
        <w:jc w:val="both"/>
        <w:rPr>
          <w:rFonts w:ascii="Century" w:hAnsi="Century"/>
          <w:sz w:val="22"/>
          <w:szCs w:val="22"/>
          <w:lang w:val="en-US"/>
        </w:rPr>
      </w:pPr>
    </w:p>
    <w:p w14:paraId="11953E42" w14:textId="725BA934" w:rsidR="00E92837" w:rsidRDefault="00E92837" w:rsidP="0076539A">
      <w:pPr>
        <w:spacing w:line="360" w:lineRule="auto"/>
        <w:ind w:firstLine="360"/>
        <w:jc w:val="both"/>
        <w:rPr>
          <w:rFonts w:ascii="Century" w:hAnsi="Century"/>
          <w:sz w:val="22"/>
          <w:szCs w:val="22"/>
          <w:lang w:val="en-US"/>
        </w:rPr>
      </w:pPr>
    </w:p>
    <w:p w14:paraId="09F610BB" w14:textId="73D78671" w:rsidR="00E92837" w:rsidRDefault="00E92837" w:rsidP="0076539A">
      <w:pPr>
        <w:spacing w:line="360" w:lineRule="auto"/>
        <w:ind w:firstLine="360"/>
        <w:jc w:val="both"/>
        <w:rPr>
          <w:rFonts w:ascii="Century" w:hAnsi="Century"/>
          <w:sz w:val="22"/>
          <w:szCs w:val="22"/>
          <w:lang w:val="en-US"/>
        </w:rPr>
      </w:pPr>
    </w:p>
    <w:p w14:paraId="736E2FA3" w14:textId="55AFB14C" w:rsidR="00E92837" w:rsidRDefault="00E92837" w:rsidP="0076539A">
      <w:pPr>
        <w:spacing w:line="360" w:lineRule="auto"/>
        <w:ind w:firstLine="360"/>
        <w:jc w:val="both"/>
        <w:rPr>
          <w:rFonts w:ascii="Century" w:hAnsi="Century"/>
          <w:sz w:val="22"/>
          <w:szCs w:val="22"/>
          <w:lang w:val="en-US"/>
        </w:rPr>
      </w:pPr>
    </w:p>
    <w:p w14:paraId="0FC629E2" w14:textId="1F950F55" w:rsidR="00E92837" w:rsidRDefault="00E92837" w:rsidP="0076539A">
      <w:pPr>
        <w:spacing w:line="360" w:lineRule="auto"/>
        <w:ind w:firstLine="360"/>
        <w:jc w:val="both"/>
        <w:rPr>
          <w:rFonts w:ascii="Century" w:hAnsi="Century"/>
          <w:sz w:val="22"/>
          <w:szCs w:val="22"/>
          <w:lang w:val="en-US"/>
        </w:rPr>
      </w:pPr>
    </w:p>
    <w:p w14:paraId="298BC7A8" w14:textId="37ACF58F" w:rsidR="00E92837" w:rsidRDefault="00E92837" w:rsidP="0076539A">
      <w:pPr>
        <w:spacing w:line="360" w:lineRule="auto"/>
        <w:ind w:firstLine="360"/>
        <w:jc w:val="both"/>
        <w:rPr>
          <w:rFonts w:ascii="Century" w:hAnsi="Century"/>
          <w:sz w:val="22"/>
          <w:szCs w:val="22"/>
          <w:lang w:val="en-US"/>
        </w:rPr>
      </w:pPr>
    </w:p>
    <w:p w14:paraId="1AEC879A" w14:textId="11EABEEA" w:rsidR="00E92837" w:rsidRDefault="00E92837" w:rsidP="0026207B">
      <w:pPr>
        <w:spacing w:line="360" w:lineRule="auto"/>
        <w:jc w:val="both"/>
        <w:rPr>
          <w:rFonts w:ascii="Century" w:hAnsi="Century"/>
          <w:sz w:val="22"/>
          <w:szCs w:val="22"/>
          <w:lang w:val="en-US"/>
        </w:rPr>
      </w:pPr>
    </w:p>
    <w:p w14:paraId="264C830C" w14:textId="07B7D864" w:rsidR="00E91543" w:rsidRDefault="00EF4BF8" w:rsidP="00EF4BF8">
      <w:pPr>
        <w:spacing w:line="360" w:lineRule="auto"/>
        <w:ind w:firstLine="360"/>
        <w:jc w:val="both"/>
        <w:rPr>
          <w:rFonts w:ascii="Century" w:hAnsi="Century"/>
          <w:sz w:val="20"/>
          <w:szCs w:val="20"/>
          <w:lang w:val="en-US"/>
        </w:rPr>
      </w:pPr>
      <w:r w:rsidRPr="00766435">
        <w:rPr>
          <w:rFonts w:ascii="Century" w:hAnsi="Century"/>
          <w:sz w:val="18"/>
          <w:szCs w:val="18"/>
          <w:lang w:val="en-US"/>
        </w:rPr>
        <w:lastRenderedPageBreak/>
        <w:t>t-statistics based on heteroskedasticity-robust (HC1) standard errors; CAR are portfolio cumulative abnormal returns as described in Section 4.1 (top vs. bottom Exposure quintile, weighted on Nov 29, 2022, market-cap weights), summed over t=0...10; Baseline AR = daily excess return minus French's Mkt-RF; CAPM and FF firm CARs use loadings estimated May 18 - Nov 14, 2022; Regressions are WLS (weights = Nov 29, 2022, market cap) and introduce Book-to-market as a control; FE is 3-digit NAICS where marked and applies to the Exposure regression only (categories with &gt;=10 firms); Significance: * p&lt;0.10, ** p&lt;0.05, *** p&lt;0.01.</w:t>
      </w:r>
    </w:p>
    <w:p w14:paraId="7FCE94FB" w14:textId="77777777" w:rsidR="00EF4BF8" w:rsidRPr="00EF4BF8" w:rsidRDefault="00EF4BF8" w:rsidP="00EF4BF8">
      <w:pPr>
        <w:spacing w:line="360" w:lineRule="auto"/>
        <w:ind w:firstLine="360"/>
        <w:jc w:val="both"/>
        <w:rPr>
          <w:rFonts w:ascii="Century" w:hAnsi="Century"/>
          <w:sz w:val="20"/>
          <w:szCs w:val="20"/>
          <w:lang w:val="en-US"/>
        </w:rPr>
      </w:pPr>
    </w:p>
    <w:p w14:paraId="720F1EDE" w14:textId="54D06ECE" w:rsidR="00205711" w:rsidRPr="00F414EA" w:rsidRDefault="000D6E60" w:rsidP="0076539A">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Table 2 reports the paper’s reproduction and </w:t>
      </w:r>
      <w:r w:rsidR="00B93403" w:rsidRPr="00F414EA">
        <w:rPr>
          <w:rFonts w:ascii="Century" w:hAnsi="Century"/>
          <w:sz w:val="22"/>
          <w:szCs w:val="22"/>
          <w:lang w:val="en-US"/>
        </w:rPr>
        <w:t>our</w:t>
      </w:r>
      <w:r w:rsidRPr="00F414EA">
        <w:rPr>
          <w:rFonts w:ascii="Century" w:hAnsi="Century"/>
          <w:sz w:val="22"/>
          <w:szCs w:val="22"/>
          <w:lang w:val="en-US"/>
        </w:rPr>
        <w:t xml:space="preserve"> original test’s results.</w:t>
      </w:r>
      <w:r w:rsidR="00A77831">
        <w:rPr>
          <w:rFonts w:ascii="Century" w:hAnsi="Century"/>
          <w:sz w:val="22"/>
          <w:szCs w:val="22"/>
          <w:lang w:val="en-US"/>
        </w:rPr>
        <w:t xml:space="preserve"> The AMH portfolio’s CARs are already discussed in the previous section.</w:t>
      </w:r>
      <w:r w:rsidR="00205711" w:rsidRPr="00F414EA">
        <w:rPr>
          <w:rFonts w:ascii="Century" w:hAnsi="Century"/>
          <w:sz w:val="22"/>
          <w:szCs w:val="22"/>
          <w:lang w:val="en-US"/>
        </w:rPr>
        <w:t xml:space="preserve"> </w:t>
      </w:r>
      <w:r w:rsidR="005B1F35" w:rsidRPr="00F414EA">
        <w:rPr>
          <w:rFonts w:ascii="Century" w:hAnsi="Century"/>
          <w:sz w:val="22"/>
          <w:szCs w:val="22"/>
          <w:lang w:val="en-US"/>
        </w:rPr>
        <w:t>We conduct similar robustness checks to the paper’s</w:t>
      </w:r>
      <w:r w:rsidR="008D5431" w:rsidRPr="00F414EA">
        <w:rPr>
          <w:rFonts w:ascii="Century" w:hAnsi="Century"/>
          <w:sz w:val="22"/>
          <w:szCs w:val="22"/>
          <w:lang w:val="en-US"/>
        </w:rPr>
        <w:t xml:space="preserve"> model horserace</w:t>
      </w:r>
      <w:r w:rsidR="00FB7D9D" w:rsidRPr="00F414EA">
        <w:rPr>
          <w:rFonts w:ascii="Century" w:hAnsi="Century"/>
          <w:sz w:val="22"/>
          <w:szCs w:val="22"/>
          <w:lang w:val="en-US"/>
        </w:rPr>
        <w:t xml:space="preserve"> between the baseline estimation and CAPM </w:t>
      </w:r>
      <w:r w:rsidR="008D5431" w:rsidRPr="00F414EA">
        <w:rPr>
          <w:rFonts w:ascii="Century" w:hAnsi="Century"/>
          <w:sz w:val="22"/>
          <w:szCs w:val="22"/>
          <w:lang w:val="en-US"/>
        </w:rPr>
        <w:t>(Table IA.10)</w:t>
      </w:r>
      <w:r w:rsidR="00D85924" w:rsidRPr="00F414EA">
        <w:rPr>
          <w:rFonts w:ascii="Century" w:hAnsi="Century"/>
          <w:sz w:val="22"/>
          <w:szCs w:val="22"/>
          <w:lang w:val="en-US"/>
        </w:rPr>
        <w:t>,</w:t>
      </w:r>
      <w:r w:rsidR="005B1F35" w:rsidRPr="00F414EA">
        <w:rPr>
          <w:rFonts w:ascii="Century" w:hAnsi="Century"/>
          <w:sz w:val="22"/>
          <w:szCs w:val="22"/>
          <w:lang w:val="en-US"/>
        </w:rPr>
        <w:t xml:space="preserve"> controlling for </w:t>
      </w:r>
      <w:r w:rsidR="003164E5" w:rsidRPr="00F414EA">
        <w:rPr>
          <w:rFonts w:ascii="Century" w:hAnsi="Century"/>
          <w:sz w:val="22"/>
          <w:szCs w:val="22"/>
          <w:lang w:val="en-US"/>
        </w:rPr>
        <w:t xml:space="preserve">the </w:t>
      </w:r>
      <w:r w:rsidR="005B1F35" w:rsidRPr="00F414EA">
        <w:rPr>
          <w:rFonts w:ascii="Century" w:hAnsi="Century"/>
          <w:sz w:val="22"/>
          <w:szCs w:val="22"/>
          <w:lang w:val="en-US"/>
        </w:rPr>
        <w:t>market</w:t>
      </w:r>
      <w:r w:rsidR="003164E5" w:rsidRPr="00F414EA">
        <w:rPr>
          <w:rFonts w:ascii="Century" w:hAnsi="Century"/>
          <w:sz w:val="22"/>
          <w:szCs w:val="22"/>
          <w:lang w:val="en-US"/>
        </w:rPr>
        <w:t xml:space="preserve"> factor</w:t>
      </w:r>
      <w:r w:rsidR="005B1F35" w:rsidRPr="00F414EA">
        <w:rPr>
          <w:rFonts w:ascii="Century" w:hAnsi="Century"/>
          <w:sz w:val="22"/>
          <w:szCs w:val="22"/>
          <w:lang w:val="en-US"/>
        </w:rPr>
        <w:t xml:space="preserve"> </w:t>
      </w:r>
      <w:r w:rsidR="00385C77" w:rsidRPr="00F414EA">
        <w:rPr>
          <w:rFonts w:ascii="Century" w:hAnsi="Century"/>
          <w:sz w:val="22"/>
          <w:szCs w:val="22"/>
          <w:lang w:val="en-US"/>
        </w:rPr>
        <w:t>using</w:t>
      </w:r>
      <w:r w:rsidR="005B1F35" w:rsidRPr="00F414EA">
        <w:rPr>
          <w:rFonts w:ascii="Century" w:hAnsi="Century"/>
          <w:sz w:val="22"/>
          <w:szCs w:val="22"/>
          <w:lang w:val="en-US"/>
        </w:rPr>
        <w:t xml:space="preserve"> CAPM-generated abnormal returns</w:t>
      </w:r>
      <w:r w:rsidR="00385C77" w:rsidRPr="00F414EA">
        <w:rPr>
          <w:rFonts w:ascii="Century" w:hAnsi="Century"/>
          <w:sz w:val="22"/>
          <w:szCs w:val="22"/>
          <w:lang w:val="en-US"/>
        </w:rPr>
        <w:t xml:space="preserve"> and</w:t>
      </w:r>
      <w:r w:rsidR="0016317F" w:rsidRPr="00F414EA">
        <w:rPr>
          <w:rFonts w:ascii="Century" w:hAnsi="Century"/>
          <w:sz w:val="22"/>
          <w:szCs w:val="22"/>
          <w:lang w:val="en-US"/>
        </w:rPr>
        <w:t xml:space="preserve"> for</w:t>
      </w:r>
      <w:r w:rsidR="00385C77" w:rsidRPr="00F414EA">
        <w:rPr>
          <w:rFonts w:ascii="Century" w:hAnsi="Century"/>
          <w:sz w:val="22"/>
          <w:szCs w:val="22"/>
          <w:lang w:val="en-US"/>
        </w:rPr>
        <w:t xml:space="preserve"> between-industry variation using </w:t>
      </w:r>
      <w:r w:rsidR="00D85924" w:rsidRPr="00F414EA">
        <w:rPr>
          <w:rFonts w:ascii="Century" w:hAnsi="Century"/>
          <w:sz w:val="22"/>
          <w:szCs w:val="22"/>
          <w:lang w:val="en-US"/>
        </w:rPr>
        <w:t xml:space="preserve">the </w:t>
      </w:r>
      <w:r w:rsidR="00385C77" w:rsidRPr="00F414EA">
        <w:rPr>
          <w:rFonts w:ascii="Century" w:hAnsi="Century"/>
          <w:sz w:val="22"/>
          <w:szCs w:val="22"/>
          <w:lang w:val="en-US"/>
        </w:rPr>
        <w:t>NAICS 3-digit FE</w:t>
      </w:r>
      <w:r w:rsidR="00E738AD" w:rsidRPr="00F414EA">
        <w:rPr>
          <w:rFonts w:ascii="Century" w:hAnsi="Century"/>
          <w:sz w:val="22"/>
          <w:szCs w:val="22"/>
          <w:lang w:val="en-US"/>
        </w:rPr>
        <w:t>. The</w:t>
      </w:r>
      <w:r w:rsidR="00586515">
        <w:rPr>
          <w:rFonts w:ascii="Century" w:hAnsi="Century"/>
          <w:sz w:val="22"/>
          <w:szCs w:val="22"/>
          <w:lang w:val="en-US"/>
        </w:rPr>
        <w:t xml:space="preserve"> WLS</w:t>
      </w:r>
      <w:r w:rsidR="00E738AD" w:rsidRPr="00F414EA">
        <w:rPr>
          <w:rFonts w:ascii="Century" w:hAnsi="Century"/>
          <w:sz w:val="22"/>
          <w:szCs w:val="22"/>
          <w:lang w:val="en-US"/>
        </w:rPr>
        <w:t xml:space="preserve"> regression specified in equation</w:t>
      </w:r>
      <w:r w:rsidR="0030168A" w:rsidRPr="00F414EA">
        <w:rPr>
          <w:rFonts w:ascii="Century" w:hAnsi="Century"/>
          <w:sz w:val="22"/>
          <w:szCs w:val="22"/>
          <w:lang w:val="en-US"/>
        </w:rPr>
        <w:t xml:space="preserve"> (5) adds </w:t>
      </w:r>
      <w:r w:rsidR="000C6555" w:rsidRPr="00F414EA">
        <w:rPr>
          <w:rFonts w:ascii="Century" w:hAnsi="Century"/>
          <w:sz w:val="22"/>
          <w:szCs w:val="22"/>
          <w:lang w:val="en-US"/>
        </w:rPr>
        <w:t xml:space="preserve">the </w:t>
      </w:r>
      <w:r w:rsidR="0030168A" w:rsidRPr="00F414EA">
        <w:rPr>
          <w:rFonts w:ascii="Century" w:hAnsi="Century"/>
          <w:sz w:val="22"/>
          <w:szCs w:val="22"/>
          <w:lang w:val="en-US"/>
        </w:rPr>
        <w:t xml:space="preserve">book-to-market ratio as </w:t>
      </w:r>
      <w:r w:rsidR="000C6555" w:rsidRPr="00F414EA">
        <w:rPr>
          <w:rFonts w:ascii="Century" w:hAnsi="Century"/>
          <w:sz w:val="22"/>
          <w:szCs w:val="22"/>
          <w:lang w:val="en-US"/>
        </w:rPr>
        <w:t xml:space="preserve">a </w:t>
      </w:r>
      <w:r w:rsidR="0030168A" w:rsidRPr="00F414EA">
        <w:rPr>
          <w:rFonts w:ascii="Century" w:hAnsi="Century"/>
          <w:sz w:val="22"/>
          <w:szCs w:val="22"/>
          <w:lang w:val="en-US"/>
        </w:rPr>
        <w:t>control</w:t>
      </w:r>
      <w:r w:rsidR="00586515">
        <w:rPr>
          <w:rFonts w:ascii="Century" w:hAnsi="Century"/>
          <w:sz w:val="22"/>
          <w:szCs w:val="22"/>
          <w:lang w:val="en-US"/>
        </w:rPr>
        <w:t>, which gives larger firms more weight</w:t>
      </w:r>
      <w:r w:rsidR="005B1F35" w:rsidRPr="00F414EA">
        <w:rPr>
          <w:rFonts w:ascii="Century" w:hAnsi="Century"/>
          <w:sz w:val="22"/>
          <w:szCs w:val="22"/>
          <w:lang w:val="en-US"/>
        </w:rPr>
        <w:t>.</w:t>
      </w:r>
      <w:r w:rsidR="0030168A" w:rsidRPr="00F414EA">
        <w:rPr>
          <w:rFonts w:ascii="Century" w:hAnsi="Century"/>
          <w:sz w:val="22"/>
          <w:szCs w:val="22"/>
          <w:lang w:val="en-US"/>
        </w:rPr>
        <w:t xml:space="preserve"> We stress that </w:t>
      </w:r>
      <w:r w:rsidR="00DE6FCC" w:rsidRPr="00F414EA">
        <w:rPr>
          <w:rFonts w:ascii="Century" w:hAnsi="Century"/>
          <w:sz w:val="22"/>
          <w:szCs w:val="22"/>
          <w:lang w:val="en-US"/>
        </w:rPr>
        <w:t>this</w:t>
      </w:r>
      <w:r w:rsidR="0030168A" w:rsidRPr="00F414EA">
        <w:rPr>
          <w:rFonts w:ascii="Century" w:hAnsi="Century"/>
          <w:sz w:val="22"/>
          <w:szCs w:val="22"/>
          <w:lang w:val="en-US"/>
        </w:rPr>
        <w:t xml:space="preserve"> set-up is founded in the paper</w:t>
      </w:r>
      <w:r w:rsidR="002B7DE3">
        <w:rPr>
          <w:rFonts w:ascii="Century" w:hAnsi="Century"/>
          <w:sz w:val="22"/>
          <w:szCs w:val="22"/>
          <w:lang w:val="en-US"/>
        </w:rPr>
        <w:t>’s (also, equation number 5)</w:t>
      </w:r>
      <w:r w:rsidR="0030168A" w:rsidRPr="00F414EA">
        <w:rPr>
          <w:rFonts w:ascii="Century" w:hAnsi="Century"/>
          <w:sz w:val="22"/>
          <w:szCs w:val="22"/>
          <w:lang w:val="en-US"/>
        </w:rPr>
        <w:t xml:space="preserve"> but </w:t>
      </w:r>
      <w:r w:rsidR="0035158B" w:rsidRPr="00F414EA">
        <w:rPr>
          <w:rFonts w:ascii="Century" w:hAnsi="Century"/>
          <w:sz w:val="22"/>
          <w:szCs w:val="22"/>
          <w:lang w:val="en-US"/>
        </w:rPr>
        <w:t>not identical</w:t>
      </w:r>
      <w:r w:rsidR="0030168A" w:rsidRPr="00F414EA">
        <w:rPr>
          <w:rFonts w:ascii="Century" w:hAnsi="Century"/>
          <w:sz w:val="22"/>
          <w:szCs w:val="22"/>
          <w:lang w:val="en-US"/>
        </w:rPr>
        <w:t xml:space="preserve"> </w:t>
      </w:r>
      <w:r w:rsidR="002F7900" w:rsidRPr="00F414EA">
        <w:rPr>
          <w:rFonts w:ascii="Century" w:hAnsi="Century"/>
          <w:sz w:val="22"/>
          <w:szCs w:val="22"/>
          <w:lang w:val="en-US"/>
        </w:rPr>
        <w:t>to it</w:t>
      </w:r>
      <w:r w:rsidR="00617CE0" w:rsidRPr="00F414EA">
        <w:rPr>
          <w:rFonts w:ascii="Century" w:hAnsi="Century"/>
          <w:sz w:val="22"/>
          <w:szCs w:val="22"/>
          <w:lang w:val="en-US"/>
        </w:rPr>
        <w:t xml:space="preserve"> </w:t>
      </w:r>
      <w:r w:rsidR="0030168A" w:rsidRPr="00F414EA">
        <w:rPr>
          <w:rFonts w:ascii="Century" w:hAnsi="Century"/>
          <w:sz w:val="22"/>
          <w:szCs w:val="22"/>
          <w:lang w:val="en-US"/>
        </w:rPr>
        <w:t xml:space="preserve">– we specify </w:t>
      </w:r>
      <w:r w:rsidR="00061A1A" w:rsidRPr="00F414EA">
        <w:rPr>
          <w:rFonts w:ascii="Century" w:hAnsi="Century"/>
          <w:sz w:val="22"/>
          <w:szCs w:val="22"/>
          <w:lang w:val="en-US"/>
        </w:rPr>
        <w:t xml:space="preserve">a </w:t>
      </w:r>
      <w:r w:rsidR="0030168A" w:rsidRPr="00F414EA">
        <w:rPr>
          <w:rFonts w:ascii="Century" w:hAnsi="Century"/>
          <w:sz w:val="22"/>
          <w:szCs w:val="22"/>
          <w:lang w:val="en-US"/>
        </w:rPr>
        <w:t>different</w:t>
      </w:r>
      <w:r w:rsidR="00061A1A" w:rsidRPr="00F414EA">
        <w:rPr>
          <w:rFonts w:ascii="Century" w:hAnsi="Century"/>
          <w:sz w:val="22"/>
          <w:szCs w:val="22"/>
          <w:lang w:val="en-US"/>
        </w:rPr>
        <w:t xml:space="preserve"> set of</w:t>
      </w:r>
      <w:r w:rsidR="0030168A" w:rsidRPr="00F414EA">
        <w:rPr>
          <w:rFonts w:ascii="Century" w:hAnsi="Century"/>
          <w:sz w:val="22"/>
          <w:szCs w:val="22"/>
          <w:lang w:val="en-US"/>
        </w:rPr>
        <w:t xml:space="preserve"> controls and</w:t>
      </w:r>
      <w:r w:rsidR="00253DE2" w:rsidRPr="00F414EA">
        <w:rPr>
          <w:rFonts w:ascii="Century" w:hAnsi="Century"/>
          <w:sz w:val="22"/>
          <w:szCs w:val="22"/>
          <w:lang w:val="en-US"/>
        </w:rPr>
        <w:t xml:space="preserve"> a different</w:t>
      </w:r>
      <w:r w:rsidR="0030168A" w:rsidRPr="00F414EA">
        <w:rPr>
          <w:rFonts w:ascii="Century" w:hAnsi="Century"/>
          <w:sz w:val="22"/>
          <w:szCs w:val="22"/>
          <w:lang w:val="en-US"/>
        </w:rPr>
        <w:t xml:space="preserve"> window [0,10], instead of [-1,10].</w:t>
      </w:r>
      <w:r w:rsidR="00801B7F" w:rsidRPr="00F414EA">
        <w:rPr>
          <w:rFonts w:ascii="Century" w:hAnsi="Century"/>
          <w:sz w:val="22"/>
          <w:szCs w:val="22"/>
          <w:lang w:val="en-US"/>
        </w:rPr>
        <w:t xml:space="preserve"> Critically, we do not control for Product Exposure which possibly explains why we obtain an adjusted R</w:t>
      </w:r>
      <w:r w:rsidR="00801B7F" w:rsidRPr="00F414EA">
        <w:rPr>
          <w:rFonts w:ascii="Century" w:hAnsi="Century"/>
          <w:sz w:val="22"/>
          <w:szCs w:val="22"/>
          <w:vertAlign w:val="superscript"/>
          <w:lang w:val="en-US"/>
        </w:rPr>
        <w:t>2</w:t>
      </w:r>
      <w:r w:rsidR="00801B7F" w:rsidRPr="00F414EA">
        <w:rPr>
          <w:rFonts w:ascii="Century" w:hAnsi="Century"/>
          <w:sz w:val="22"/>
          <w:szCs w:val="22"/>
          <w:lang w:val="en-US"/>
        </w:rPr>
        <w:t xml:space="preserve"> an order of magnitude below</w:t>
      </w:r>
      <w:r w:rsidR="0030718C">
        <w:rPr>
          <w:rFonts w:ascii="Century" w:hAnsi="Century"/>
          <w:sz w:val="22"/>
          <w:szCs w:val="22"/>
          <w:lang w:val="en-US"/>
        </w:rPr>
        <w:t xml:space="preserve"> the paper’s</w:t>
      </w:r>
      <w:r w:rsidR="00801B7F" w:rsidRPr="00F414EA">
        <w:rPr>
          <w:rFonts w:ascii="Century" w:hAnsi="Century"/>
          <w:sz w:val="22"/>
          <w:szCs w:val="22"/>
          <w:lang w:val="en-US"/>
        </w:rPr>
        <w:t>.</w:t>
      </w:r>
      <w:r w:rsidR="0076539A" w:rsidRPr="00F414EA">
        <w:rPr>
          <w:rFonts w:ascii="Century" w:hAnsi="Century"/>
          <w:sz w:val="22"/>
          <w:szCs w:val="22"/>
          <w:lang w:val="en-US"/>
        </w:rPr>
        <w:t xml:space="preserve"> </w:t>
      </w:r>
      <w:r w:rsidR="00F900D2" w:rsidRPr="008A48C6">
        <w:rPr>
          <w:rFonts w:ascii="Century" w:hAnsi="Century"/>
          <w:sz w:val="22"/>
          <w:szCs w:val="22"/>
          <w:lang w:val="en-US"/>
        </w:rPr>
        <w:t>The estimated</w:t>
      </w:r>
      <w:r w:rsidR="008A48C6">
        <w:rPr>
          <w:rFonts w:ascii="Century" w:hAnsi="Century"/>
          <w:sz w:val="22"/>
          <w:szCs w:val="22"/>
          <w:lang w:val="en-US"/>
        </w:rPr>
        <w:t xml:space="preserve"> Exposure</w:t>
      </w:r>
      <w:r w:rsidR="00F900D2" w:rsidRPr="008A48C6">
        <w:rPr>
          <w:rFonts w:ascii="Century" w:hAnsi="Century"/>
          <w:sz w:val="22"/>
          <w:szCs w:val="22"/>
          <w:lang w:val="en-US"/>
        </w:rPr>
        <w:t xml:space="preserve"> coefficients are</w:t>
      </w:r>
      <w:r w:rsidR="00F414EA" w:rsidRPr="008A48C6">
        <w:rPr>
          <w:rFonts w:ascii="Century" w:hAnsi="Century"/>
          <w:sz w:val="22"/>
          <w:szCs w:val="22"/>
          <w:lang w:val="en-US"/>
        </w:rPr>
        <w:t xml:space="preserve"> statistically significant across all </w:t>
      </w:r>
      <w:r w:rsidR="008A48C6">
        <w:rPr>
          <w:rFonts w:ascii="Century" w:hAnsi="Century"/>
          <w:sz w:val="22"/>
          <w:szCs w:val="22"/>
          <w:lang w:val="en-US"/>
        </w:rPr>
        <w:t xml:space="preserve">setups at different significance level. For the baseline and CAPM models, Exposure is significant at the highest level, </w:t>
      </w:r>
      <w:r w:rsidR="00586515">
        <w:rPr>
          <w:rFonts w:ascii="Century" w:hAnsi="Century"/>
          <w:sz w:val="22"/>
          <w:szCs w:val="22"/>
          <w:lang w:val="en-US"/>
        </w:rPr>
        <w:t xml:space="preserve">leading to higher estimates </w:t>
      </w:r>
      <w:r w:rsidR="0086402C">
        <w:rPr>
          <w:rFonts w:ascii="Century" w:hAnsi="Century"/>
          <w:sz w:val="22"/>
          <w:szCs w:val="22"/>
          <w:lang w:val="en-US"/>
        </w:rPr>
        <w:t>without FE</w:t>
      </w:r>
      <w:r w:rsidR="0076539A" w:rsidRPr="008A48C6">
        <w:rPr>
          <w:rFonts w:ascii="Century" w:hAnsi="Century"/>
          <w:sz w:val="22"/>
          <w:szCs w:val="22"/>
          <w:lang w:val="en-US"/>
        </w:rPr>
        <w:t>.</w:t>
      </w:r>
      <w:r w:rsidR="0086402C">
        <w:rPr>
          <w:rFonts w:ascii="Century" w:hAnsi="Century"/>
          <w:sz w:val="22"/>
          <w:szCs w:val="22"/>
          <w:lang w:val="en-US"/>
        </w:rPr>
        <w:t xml:space="preserve"> With FE</w:t>
      </w:r>
      <w:r w:rsidR="004C3CB7">
        <w:rPr>
          <w:rFonts w:ascii="Century" w:hAnsi="Century"/>
          <w:sz w:val="22"/>
          <w:szCs w:val="22"/>
          <w:lang w:val="en-US"/>
        </w:rPr>
        <w:t xml:space="preserve"> </w:t>
      </w:r>
      <w:r w:rsidR="0086402C">
        <w:rPr>
          <w:rFonts w:ascii="Century" w:hAnsi="Century"/>
          <w:sz w:val="22"/>
          <w:szCs w:val="22"/>
          <w:lang w:val="en-US"/>
        </w:rPr>
        <w:t>we obtain more precise but lower estimates for the baseline and CAPM. For the Fama-French 5 Factor model, we exclude the value control as it’s already priced out</w:t>
      </w:r>
      <w:r w:rsidR="00357094">
        <w:rPr>
          <w:rFonts w:ascii="Century" w:hAnsi="Century"/>
          <w:sz w:val="22"/>
          <w:szCs w:val="22"/>
          <w:lang w:val="en-US"/>
        </w:rPr>
        <w:t xml:space="preserve"> from</w:t>
      </w:r>
      <w:r w:rsidR="00843F87">
        <w:rPr>
          <w:rFonts w:ascii="Century" w:hAnsi="Century"/>
          <w:sz w:val="22"/>
          <w:szCs w:val="22"/>
          <w:lang w:val="en-US"/>
        </w:rPr>
        <w:t xml:space="preserve"> the</w:t>
      </w:r>
      <w:r w:rsidR="00357094">
        <w:rPr>
          <w:rFonts w:ascii="Century" w:hAnsi="Century"/>
          <w:sz w:val="22"/>
          <w:szCs w:val="22"/>
          <w:lang w:val="en-US"/>
        </w:rPr>
        <w:t xml:space="preserve"> alpha.</w:t>
      </w:r>
      <w:r w:rsidR="00843F87">
        <w:rPr>
          <w:rFonts w:ascii="Century" w:hAnsi="Century"/>
          <w:sz w:val="22"/>
          <w:szCs w:val="22"/>
          <w:lang w:val="en-US"/>
        </w:rPr>
        <w:t xml:space="preserve"> We also obtain significant Exposure from the FF5, only at lower significance levels with and without FE (10% and 5% respectively), and the effect of FE is reversed – the estimate increases</w:t>
      </w:r>
      <w:r w:rsidR="001A3954">
        <w:rPr>
          <w:rFonts w:ascii="Century" w:hAnsi="Century"/>
          <w:sz w:val="22"/>
          <w:szCs w:val="22"/>
          <w:lang w:val="en-US"/>
        </w:rPr>
        <w:t xml:space="preserve"> </w:t>
      </w:r>
      <w:r w:rsidR="00586515">
        <w:rPr>
          <w:rFonts w:ascii="Century" w:hAnsi="Century"/>
          <w:sz w:val="22"/>
          <w:szCs w:val="22"/>
          <w:lang w:val="en-US"/>
        </w:rPr>
        <w:t>when introducing FE</w:t>
      </w:r>
      <w:r w:rsidR="00843F87">
        <w:rPr>
          <w:rFonts w:ascii="Century" w:hAnsi="Century"/>
          <w:sz w:val="22"/>
          <w:szCs w:val="22"/>
          <w:lang w:val="en-US"/>
        </w:rPr>
        <w:t xml:space="preserve"> </w:t>
      </w:r>
      <w:r w:rsidR="00586515">
        <w:rPr>
          <w:rFonts w:ascii="Century" w:hAnsi="Century"/>
          <w:sz w:val="22"/>
          <w:szCs w:val="22"/>
          <w:lang w:val="en-US"/>
        </w:rPr>
        <w:t>while</w:t>
      </w:r>
      <w:r w:rsidR="00843F87">
        <w:rPr>
          <w:rFonts w:ascii="Century" w:hAnsi="Century"/>
          <w:sz w:val="22"/>
          <w:szCs w:val="22"/>
          <w:lang w:val="en-US"/>
        </w:rPr>
        <w:t xml:space="preserve"> also </w:t>
      </w:r>
      <w:r w:rsidR="00586515">
        <w:rPr>
          <w:rFonts w:ascii="Century" w:hAnsi="Century"/>
          <w:sz w:val="22"/>
          <w:szCs w:val="22"/>
          <w:lang w:val="en-US"/>
        </w:rPr>
        <w:t>becoming</w:t>
      </w:r>
      <w:r w:rsidR="00843F87">
        <w:rPr>
          <w:rFonts w:ascii="Century" w:hAnsi="Century"/>
          <w:sz w:val="22"/>
          <w:szCs w:val="22"/>
          <w:lang w:val="en-US"/>
        </w:rPr>
        <w:t xml:space="preserve"> less noisy.</w:t>
      </w:r>
      <w:r w:rsidR="001A3954">
        <w:rPr>
          <w:rFonts w:ascii="Century" w:hAnsi="Century"/>
          <w:sz w:val="22"/>
          <w:szCs w:val="22"/>
          <w:lang w:val="en-US"/>
        </w:rPr>
        <w:t xml:space="preserve"> Overall, we believe that not including the product exposure channel is a gap in our setup</w:t>
      </w:r>
      <w:r w:rsidR="000276B5">
        <w:rPr>
          <w:rFonts w:ascii="Century" w:hAnsi="Century"/>
          <w:sz w:val="22"/>
          <w:szCs w:val="22"/>
          <w:lang w:val="en-US"/>
        </w:rPr>
        <w:t>, explaining the magnitude difference. Eisfeldt highest-level Exposure significance with that specification, even with the FF. Regarding FE, the original paper’s within-industry coefficients are also not always more efficient than without FE, being only true for baseline and FF. The</w:t>
      </w:r>
      <w:r w:rsidR="008C644C">
        <w:rPr>
          <w:rFonts w:ascii="Century" w:hAnsi="Century"/>
          <w:sz w:val="22"/>
          <w:szCs w:val="22"/>
          <w:lang w:val="en-US"/>
        </w:rPr>
        <w:t xml:space="preserve"> paper’s</w:t>
      </w:r>
      <w:r w:rsidR="000276B5">
        <w:rPr>
          <w:rFonts w:ascii="Century" w:hAnsi="Century"/>
          <w:sz w:val="22"/>
          <w:szCs w:val="22"/>
          <w:lang w:val="en-US"/>
        </w:rPr>
        <w:t xml:space="preserve"> </w:t>
      </w:r>
      <w:r w:rsidR="00783BF5">
        <w:rPr>
          <w:rFonts w:ascii="Century" w:hAnsi="Century"/>
          <w:sz w:val="22"/>
          <w:szCs w:val="22"/>
          <w:lang w:val="en-US"/>
        </w:rPr>
        <w:t>estimates of Exposure</w:t>
      </w:r>
      <w:r w:rsidR="000276B5">
        <w:rPr>
          <w:rFonts w:ascii="Century" w:hAnsi="Century"/>
          <w:sz w:val="22"/>
          <w:szCs w:val="22"/>
          <w:lang w:val="en-US"/>
        </w:rPr>
        <w:t xml:space="preserve"> </w:t>
      </w:r>
      <w:r w:rsidR="00783BF5">
        <w:rPr>
          <w:rFonts w:ascii="Century" w:hAnsi="Century"/>
          <w:sz w:val="22"/>
          <w:szCs w:val="22"/>
          <w:lang w:val="en-US"/>
        </w:rPr>
        <w:t>always</w:t>
      </w:r>
      <w:r w:rsidR="000276B5">
        <w:rPr>
          <w:rFonts w:ascii="Century" w:hAnsi="Century"/>
          <w:sz w:val="22"/>
          <w:szCs w:val="22"/>
          <w:lang w:val="en-US"/>
        </w:rPr>
        <w:t xml:space="preserve"> </w:t>
      </w:r>
      <w:r w:rsidR="00783BF5">
        <w:rPr>
          <w:rFonts w:ascii="Century" w:hAnsi="Century"/>
          <w:sz w:val="22"/>
          <w:szCs w:val="22"/>
          <w:lang w:val="en-US"/>
        </w:rPr>
        <w:t>increase</w:t>
      </w:r>
      <w:r w:rsidR="000276B5">
        <w:rPr>
          <w:rFonts w:ascii="Century" w:hAnsi="Century"/>
          <w:sz w:val="22"/>
          <w:szCs w:val="22"/>
          <w:lang w:val="en-US"/>
        </w:rPr>
        <w:t xml:space="preserve"> when introducing FE which we’ve observed to only be true for our FF estimates. </w:t>
      </w:r>
    </w:p>
    <w:p w14:paraId="69884AE9" w14:textId="633E74BA" w:rsidR="008B517D" w:rsidRPr="00F414EA" w:rsidRDefault="008B517D" w:rsidP="00205711">
      <w:pPr>
        <w:spacing w:line="360" w:lineRule="auto"/>
        <w:ind w:firstLine="360"/>
        <w:jc w:val="both"/>
        <w:rPr>
          <w:rFonts w:ascii="Century" w:hAnsi="Century"/>
          <w:sz w:val="22"/>
          <w:szCs w:val="22"/>
          <w:lang w:val="en-US"/>
        </w:rPr>
      </w:pPr>
      <w:r w:rsidRPr="00F414EA">
        <w:rPr>
          <w:rFonts w:ascii="Century" w:hAnsi="Century"/>
          <w:sz w:val="22"/>
          <w:szCs w:val="22"/>
          <w:lang w:val="en-US"/>
        </w:rPr>
        <w:t>We run the test described in 3.</w:t>
      </w:r>
      <w:r w:rsidR="00205711" w:rsidRPr="00F414EA">
        <w:rPr>
          <w:rFonts w:ascii="Century" w:hAnsi="Century"/>
          <w:sz w:val="22"/>
          <w:szCs w:val="22"/>
          <w:lang w:val="en-US"/>
        </w:rPr>
        <w:t xml:space="preserve"> and consider the change in the regressor estimated on</w:t>
      </w:r>
      <w:r w:rsidRPr="00F414EA">
        <w:rPr>
          <w:rFonts w:ascii="Century" w:hAnsi="Century"/>
          <w:sz w:val="22"/>
          <w:szCs w:val="22"/>
          <w:lang w:val="en-US"/>
        </w:rPr>
        <w:t xml:space="preserve"> </w:t>
      </w:r>
      <w:r w:rsidR="00205711" w:rsidRPr="00F414EA">
        <w:rPr>
          <w:rFonts w:ascii="Century" w:hAnsi="Century"/>
          <w:sz w:val="22"/>
          <w:szCs w:val="22"/>
          <w:lang w:val="en-US"/>
        </w:rPr>
        <w:t>CAPM model without fixed effects CAR including and excluding the Dec 13-14 pair.</w:t>
      </w:r>
      <w:r w:rsidRPr="00F414EA">
        <w:rPr>
          <w:rFonts w:ascii="Century" w:hAnsi="Century"/>
          <w:sz w:val="22"/>
          <w:szCs w:val="22"/>
          <w:lang w:val="en-US"/>
        </w:rPr>
        <w:t xml:space="preserve"> </w:t>
      </w:r>
      <w:r w:rsidR="00DD6EE1" w:rsidRPr="00F414EA">
        <w:rPr>
          <w:rFonts w:ascii="Century" w:hAnsi="Century"/>
          <w:sz w:val="22"/>
          <w:szCs w:val="22"/>
          <w:lang w:val="en-US"/>
        </w:rPr>
        <w:t xml:space="preserve">We </w:t>
      </w:r>
      <w:r w:rsidR="00FD2D8B" w:rsidRPr="00F414EA">
        <w:rPr>
          <w:rFonts w:ascii="Century" w:hAnsi="Century"/>
          <w:sz w:val="22"/>
          <w:szCs w:val="22"/>
          <w:lang w:val="en-US"/>
        </w:rPr>
        <w:t>fail to reject</w:t>
      </w:r>
      <w:r w:rsidRPr="00F414EA">
        <w:rPr>
          <w:rFonts w:ascii="Century" w:hAnsi="Century"/>
          <w:sz w:val="22"/>
          <w:szCs w:val="22"/>
          <w:lang w:val="en-US"/>
        </w:rPr>
        <w:t xml:space="preserve"> that </w:t>
      </w:r>
      <m:oMath>
        <m:r>
          <w:rPr>
            <w:rFonts w:ascii="Cambria Math" w:hAnsi="Cambria Math"/>
            <w:sz w:val="22"/>
            <w:szCs w:val="22"/>
            <w:lang w:val="en-US"/>
          </w:rPr>
          <m:t>Δβ</m:t>
        </m:r>
      </m:oMath>
      <w:r w:rsidRPr="00F414EA">
        <w:rPr>
          <w:rFonts w:ascii="Century" w:hAnsi="Century"/>
          <w:sz w:val="22"/>
          <w:szCs w:val="22"/>
          <w:lang w:val="en-US"/>
        </w:rPr>
        <w:t xml:space="preserve"> is statistically different from 0, meaning that the concerns raised in section 2.2. are not empirically supported.</w:t>
      </w:r>
      <w:r w:rsidR="00247F26" w:rsidRPr="00F414EA">
        <w:rPr>
          <w:rFonts w:ascii="Century" w:hAnsi="Century"/>
          <w:sz w:val="22"/>
          <w:szCs w:val="22"/>
          <w:lang w:val="en-US"/>
        </w:rPr>
        <w:t xml:space="preserve"> Given that the days have no effect on Exposure value or significance, we assess that the labor exposure construction is robust</w:t>
      </w:r>
      <w:r w:rsidRPr="00F414EA">
        <w:rPr>
          <w:rFonts w:ascii="Century" w:hAnsi="Century"/>
          <w:sz w:val="22"/>
          <w:szCs w:val="22"/>
          <w:lang w:val="en-US"/>
        </w:rPr>
        <w:t xml:space="preserve"> </w:t>
      </w:r>
      <w:r w:rsidR="00247F26" w:rsidRPr="00F414EA">
        <w:rPr>
          <w:rFonts w:ascii="Century" w:hAnsi="Century"/>
          <w:sz w:val="22"/>
          <w:szCs w:val="22"/>
          <w:lang w:val="en-US"/>
        </w:rPr>
        <w:t xml:space="preserve">to </w:t>
      </w:r>
      <w:r w:rsidR="000D6E60" w:rsidRPr="00F414EA">
        <w:rPr>
          <w:rFonts w:ascii="Century" w:hAnsi="Century"/>
          <w:sz w:val="22"/>
          <w:szCs w:val="22"/>
          <w:lang w:val="en-US"/>
        </w:rPr>
        <w:t xml:space="preserve">risk </w:t>
      </w:r>
      <w:r w:rsidR="000D6E60" w:rsidRPr="00F414EA">
        <w:rPr>
          <w:rFonts w:ascii="Century" w:hAnsi="Century"/>
          <w:sz w:val="22"/>
          <w:szCs w:val="22"/>
          <w:lang w:val="en-US"/>
        </w:rPr>
        <w:lastRenderedPageBreak/>
        <w:t xml:space="preserve">factors, even when considering larger event windows </w:t>
      </w:r>
      <w:r w:rsidR="00202AC2" w:rsidRPr="00F414EA">
        <w:rPr>
          <w:rFonts w:ascii="Century" w:hAnsi="Century"/>
          <w:sz w:val="22"/>
          <w:szCs w:val="22"/>
          <w:lang w:val="en-US"/>
        </w:rPr>
        <w:t xml:space="preserve">that include significant </w:t>
      </w:r>
      <w:r w:rsidR="00726DB7" w:rsidRPr="00F414EA">
        <w:rPr>
          <w:rFonts w:ascii="Century" w:hAnsi="Century"/>
          <w:sz w:val="22"/>
          <w:szCs w:val="22"/>
          <w:lang w:val="en-US"/>
        </w:rPr>
        <w:t>m</w:t>
      </w:r>
      <w:r w:rsidR="00202AC2" w:rsidRPr="00F414EA">
        <w:rPr>
          <w:rFonts w:ascii="Century" w:hAnsi="Century"/>
          <w:sz w:val="22"/>
          <w:szCs w:val="22"/>
          <w:lang w:val="en-US"/>
        </w:rPr>
        <w:t xml:space="preserve">acroeconomic </w:t>
      </w:r>
      <w:r w:rsidR="00726DB7" w:rsidRPr="00F414EA">
        <w:rPr>
          <w:rFonts w:ascii="Century" w:hAnsi="Century"/>
          <w:sz w:val="22"/>
          <w:szCs w:val="22"/>
          <w:lang w:val="en-US"/>
        </w:rPr>
        <w:t>events</w:t>
      </w:r>
      <w:r w:rsidR="00FB363F" w:rsidRPr="00F414EA">
        <w:rPr>
          <w:rFonts w:ascii="Century" w:hAnsi="Century"/>
          <w:sz w:val="22"/>
          <w:szCs w:val="22"/>
          <w:lang w:val="en-US"/>
        </w:rPr>
        <w:t xml:space="preserve">, like the data releases </w:t>
      </w:r>
      <w:r w:rsidR="002738CF" w:rsidRPr="00F414EA">
        <w:rPr>
          <w:rFonts w:ascii="Century" w:hAnsi="Century"/>
          <w:sz w:val="22"/>
          <w:szCs w:val="22"/>
          <w:lang w:val="en-US"/>
        </w:rPr>
        <w:t>we</w:t>
      </w:r>
      <w:r w:rsidR="00FB363F" w:rsidRPr="00F414EA">
        <w:rPr>
          <w:rFonts w:ascii="Century" w:hAnsi="Century"/>
          <w:sz w:val="22"/>
          <w:szCs w:val="22"/>
          <w:lang w:val="en-US"/>
        </w:rPr>
        <w:t xml:space="preserve"> considered</w:t>
      </w:r>
      <w:r w:rsidR="007D0342" w:rsidRPr="00F414EA">
        <w:rPr>
          <w:rFonts w:ascii="Century" w:hAnsi="Century"/>
          <w:sz w:val="22"/>
          <w:szCs w:val="22"/>
          <w:lang w:val="en-US"/>
        </w:rPr>
        <w:t>.</w:t>
      </w:r>
    </w:p>
    <w:p w14:paraId="524275A5" w14:textId="17B8920E" w:rsidR="004E4A30" w:rsidRDefault="00495E5B" w:rsidP="002A3817">
      <w:pPr>
        <w:spacing w:line="360" w:lineRule="auto"/>
        <w:ind w:firstLine="360"/>
        <w:jc w:val="both"/>
        <w:rPr>
          <w:rFonts w:ascii="Century" w:hAnsi="Century"/>
          <w:sz w:val="22"/>
          <w:szCs w:val="22"/>
          <w:lang w:val="en-US"/>
        </w:rPr>
      </w:pPr>
      <w:r w:rsidRPr="000276B5">
        <w:rPr>
          <w:rFonts w:ascii="Century" w:hAnsi="Century"/>
          <w:sz w:val="22"/>
          <w:szCs w:val="22"/>
          <w:lang w:val="en-US"/>
        </w:rPr>
        <w:t>T</w:t>
      </w:r>
      <w:r w:rsidR="00F043B6" w:rsidRPr="000276B5">
        <w:rPr>
          <w:rFonts w:ascii="Century" w:hAnsi="Century"/>
          <w:sz w:val="22"/>
          <w:szCs w:val="22"/>
          <w:lang w:val="en-US"/>
        </w:rPr>
        <w:t xml:space="preserve">he placebo test conducted </w:t>
      </w:r>
      <w:r w:rsidR="00224BBC" w:rsidRPr="000276B5">
        <w:rPr>
          <w:rFonts w:ascii="Century" w:hAnsi="Century"/>
          <w:sz w:val="22"/>
          <w:szCs w:val="22"/>
          <w:lang w:val="en-US"/>
        </w:rPr>
        <w:t xml:space="preserve">fails to reject </w:t>
      </w:r>
      <w:r w:rsidR="00F043B6" w:rsidRPr="000276B5">
        <w:rPr>
          <w:rFonts w:ascii="Century" w:hAnsi="Century"/>
          <w:sz w:val="22"/>
          <w:szCs w:val="22"/>
          <w:lang w:val="en-US"/>
        </w:rPr>
        <w:t xml:space="preserve">that the critical Dec 13-14 pair is as good as random, </w:t>
      </w:r>
      <w:r w:rsidR="00536E82" w:rsidRPr="000276B5">
        <w:rPr>
          <w:rFonts w:ascii="Century" w:hAnsi="Century"/>
          <w:sz w:val="22"/>
          <w:szCs w:val="22"/>
          <w:lang w:val="en-US"/>
        </w:rPr>
        <w:t>meaning that we draw</w:t>
      </w:r>
      <w:r w:rsidR="00F043B6" w:rsidRPr="000276B5">
        <w:rPr>
          <w:rFonts w:ascii="Century" w:hAnsi="Century"/>
          <w:sz w:val="22"/>
          <w:szCs w:val="22"/>
          <w:lang w:val="en-US"/>
        </w:rPr>
        <w:t xml:space="preserve"> </w:t>
      </w:r>
      <w:r w:rsidR="00224BBC" w:rsidRPr="000276B5">
        <w:rPr>
          <w:rFonts w:ascii="Century" w:hAnsi="Century"/>
          <w:sz w:val="22"/>
          <w:szCs w:val="22"/>
          <w:lang w:val="en-US"/>
        </w:rPr>
        <w:t>no</w:t>
      </w:r>
      <w:r w:rsidR="00F043B6" w:rsidRPr="000276B5">
        <w:rPr>
          <w:rFonts w:ascii="Century" w:hAnsi="Century"/>
          <w:sz w:val="22"/>
          <w:szCs w:val="22"/>
          <w:lang w:val="en-US"/>
        </w:rPr>
        <w:t xml:space="preserve"> statistically significant difference </w:t>
      </w:r>
      <w:r w:rsidR="00224BBC" w:rsidRPr="000276B5">
        <w:rPr>
          <w:rFonts w:ascii="Century" w:hAnsi="Century"/>
          <w:sz w:val="22"/>
          <w:szCs w:val="22"/>
          <w:lang w:val="en-US"/>
        </w:rPr>
        <w:t>from the Exposure coefficient</w:t>
      </w:r>
      <w:r w:rsidR="00536E82" w:rsidRPr="000276B5">
        <w:rPr>
          <w:rFonts w:ascii="Century" w:hAnsi="Century"/>
          <w:sz w:val="22"/>
          <w:szCs w:val="22"/>
          <w:lang w:val="en-US"/>
        </w:rPr>
        <w:t xml:space="preserve"> excluding the pair of interest</w:t>
      </w:r>
      <w:r w:rsidR="00C27A77" w:rsidRPr="000276B5">
        <w:rPr>
          <w:rFonts w:ascii="Century" w:hAnsi="Century"/>
          <w:sz w:val="22"/>
          <w:szCs w:val="22"/>
          <w:lang w:val="en-US"/>
        </w:rPr>
        <w:t xml:space="preserve"> and the coefficient</w:t>
      </w:r>
      <w:r w:rsidR="00224BBC" w:rsidRPr="000276B5">
        <w:rPr>
          <w:rFonts w:ascii="Century" w:hAnsi="Century"/>
          <w:sz w:val="22"/>
          <w:szCs w:val="22"/>
          <w:lang w:val="en-US"/>
        </w:rPr>
        <w:t xml:space="preserve"> </w:t>
      </w:r>
      <w:r w:rsidR="00C27A77" w:rsidRPr="000276B5">
        <w:rPr>
          <w:rFonts w:ascii="Century" w:hAnsi="Century"/>
          <w:sz w:val="22"/>
          <w:szCs w:val="22"/>
          <w:lang w:val="en-US"/>
        </w:rPr>
        <w:t>from</w:t>
      </w:r>
      <w:r w:rsidR="00224BBC" w:rsidRPr="000276B5">
        <w:rPr>
          <w:rFonts w:ascii="Century" w:hAnsi="Century"/>
          <w:sz w:val="22"/>
          <w:szCs w:val="22"/>
          <w:lang w:val="en-US"/>
        </w:rPr>
        <w:t xml:space="preserve"> a regression that excludes any other pair of days in the Nov 30 – Dec 12 window except for the Nov 30</w:t>
      </w:r>
      <w:r w:rsidR="006574E2" w:rsidRPr="000276B5">
        <w:rPr>
          <w:rFonts w:ascii="Century" w:hAnsi="Century"/>
          <w:sz w:val="22"/>
          <w:szCs w:val="22"/>
          <w:lang w:val="en-US"/>
        </w:rPr>
        <w:t xml:space="preserve"> </w:t>
      </w:r>
      <w:r w:rsidR="00224BBC" w:rsidRPr="000276B5">
        <w:rPr>
          <w:rFonts w:ascii="Century" w:hAnsi="Century"/>
          <w:sz w:val="22"/>
          <w:szCs w:val="22"/>
          <w:lang w:val="en-US"/>
        </w:rPr>
        <w:t>- Dec 1</w:t>
      </w:r>
      <w:r w:rsidR="00E92837" w:rsidRPr="000276B5">
        <w:rPr>
          <w:rFonts w:ascii="Century" w:hAnsi="Century"/>
          <w:sz w:val="22"/>
          <w:szCs w:val="22"/>
          <w:lang w:val="en-US"/>
        </w:rPr>
        <w:t xml:space="preserve"> and Dec 9-12</w:t>
      </w:r>
      <w:r w:rsidR="00224BBC" w:rsidRPr="000276B5">
        <w:rPr>
          <w:rFonts w:ascii="Century" w:hAnsi="Century"/>
          <w:sz w:val="22"/>
          <w:szCs w:val="22"/>
          <w:lang w:val="en-US"/>
        </w:rPr>
        <w:t xml:space="preserve"> pair</w:t>
      </w:r>
      <w:r w:rsidR="00E92837" w:rsidRPr="000276B5">
        <w:rPr>
          <w:rFonts w:ascii="Century" w:hAnsi="Century"/>
          <w:sz w:val="22"/>
          <w:szCs w:val="22"/>
          <w:lang w:val="en-US"/>
        </w:rPr>
        <w:t>s</w:t>
      </w:r>
      <w:r w:rsidR="00224BBC" w:rsidRPr="000276B5">
        <w:rPr>
          <w:rFonts w:ascii="Century" w:hAnsi="Century"/>
          <w:sz w:val="22"/>
          <w:szCs w:val="22"/>
          <w:lang w:val="en-US"/>
        </w:rPr>
        <w:t>.</w:t>
      </w:r>
      <w:r w:rsidR="00642F98" w:rsidRPr="000276B5">
        <w:rPr>
          <w:rFonts w:ascii="Century" w:hAnsi="Century"/>
          <w:sz w:val="22"/>
          <w:szCs w:val="22"/>
          <w:lang w:val="en-US"/>
        </w:rPr>
        <w:t xml:space="preserve"> </w:t>
      </w:r>
      <w:r w:rsidR="00224BBC" w:rsidRPr="000276B5">
        <w:rPr>
          <w:rFonts w:ascii="Century" w:hAnsi="Century"/>
          <w:sz w:val="22"/>
          <w:szCs w:val="22"/>
          <w:lang w:val="en-US"/>
        </w:rPr>
        <w:t>The test results are</w:t>
      </w:r>
      <w:r w:rsidR="00F043B6" w:rsidRPr="000276B5">
        <w:rPr>
          <w:rFonts w:ascii="Century" w:hAnsi="Century"/>
          <w:sz w:val="22"/>
          <w:szCs w:val="22"/>
          <w:lang w:val="en-US"/>
        </w:rPr>
        <w:t xml:space="preserve"> reported in the Appendix Table </w:t>
      </w:r>
      <w:r w:rsidR="00FA7A81" w:rsidRPr="000276B5">
        <w:rPr>
          <w:rFonts w:ascii="Century" w:hAnsi="Century"/>
          <w:sz w:val="22"/>
          <w:szCs w:val="22"/>
          <w:lang w:val="en-US"/>
        </w:rPr>
        <w:t>A</w:t>
      </w:r>
      <w:r w:rsidR="00A9332D" w:rsidRPr="000276B5">
        <w:rPr>
          <w:rFonts w:ascii="Century" w:hAnsi="Century"/>
          <w:sz w:val="22"/>
          <w:szCs w:val="22"/>
          <w:lang w:val="en-US"/>
        </w:rPr>
        <w:t>2</w:t>
      </w:r>
      <w:r w:rsidR="00F043B6" w:rsidRPr="000276B5">
        <w:rPr>
          <w:rFonts w:ascii="Century" w:hAnsi="Century"/>
          <w:sz w:val="22"/>
          <w:szCs w:val="22"/>
          <w:lang w:val="en-US"/>
        </w:rPr>
        <w:t>.</w:t>
      </w:r>
      <w:r w:rsidR="00986A7D">
        <w:rPr>
          <w:rFonts w:ascii="Century" w:hAnsi="Century"/>
          <w:sz w:val="22"/>
          <w:szCs w:val="22"/>
          <w:lang w:val="en-US"/>
        </w:rPr>
        <w:t xml:space="preserve"> We find that our original test can be limited to spills from other day pairs that are explained by slow incorporation of news. </w:t>
      </w:r>
      <w:r w:rsidR="00847ABC">
        <w:rPr>
          <w:rFonts w:ascii="Century" w:hAnsi="Century"/>
          <w:sz w:val="22"/>
          <w:szCs w:val="22"/>
          <w:lang w:val="en-US"/>
        </w:rPr>
        <w:t xml:space="preserve">It is unclear that news are incorporated within the </w:t>
      </w:r>
      <w:r w:rsidR="000A1D3E">
        <w:rPr>
          <w:rFonts w:ascii="Century" w:hAnsi="Century"/>
          <w:sz w:val="22"/>
          <w:szCs w:val="22"/>
          <w:lang w:val="en-US"/>
        </w:rPr>
        <w:t>two-</w:t>
      </w:r>
      <w:r w:rsidR="00847ABC">
        <w:rPr>
          <w:rFonts w:ascii="Century" w:hAnsi="Century"/>
          <w:sz w:val="22"/>
          <w:szCs w:val="22"/>
          <w:lang w:val="en-US"/>
        </w:rPr>
        <w:t>day</w:t>
      </w:r>
      <w:r w:rsidR="000A1D3E">
        <w:rPr>
          <w:rFonts w:ascii="Century" w:hAnsi="Century"/>
          <w:sz w:val="22"/>
          <w:szCs w:val="22"/>
          <w:lang w:val="en-US"/>
        </w:rPr>
        <w:t xml:space="preserve"> pair</w:t>
      </w:r>
      <w:r w:rsidR="00847ABC">
        <w:rPr>
          <w:rFonts w:ascii="Century" w:hAnsi="Century"/>
          <w:sz w:val="22"/>
          <w:szCs w:val="22"/>
          <w:lang w:val="en-US"/>
        </w:rPr>
        <w:t xml:space="preserve">, that news always arise </w:t>
      </w:r>
      <w:r w:rsidR="00637F12">
        <w:rPr>
          <w:rFonts w:ascii="Century" w:hAnsi="Century"/>
          <w:sz w:val="22"/>
          <w:szCs w:val="22"/>
          <w:lang w:val="en-US"/>
        </w:rPr>
        <w:t>during</w:t>
      </w:r>
      <w:r w:rsidR="00847ABC">
        <w:rPr>
          <w:rFonts w:ascii="Century" w:hAnsi="Century"/>
          <w:sz w:val="22"/>
          <w:szCs w:val="22"/>
          <w:lang w:val="en-US"/>
        </w:rPr>
        <w:t xml:space="preserve"> trading days or that these effects are unreversed by the next pair of days.</w:t>
      </w:r>
      <w:r w:rsidR="007F0DE9">
        <w:rPr>
          <w:rFonts w:ascii="Century" w:hAnsi="Century"/>
          <w:sz w:val="22"/>
          <w:szCs w:val="22"/>
          <w:lang w:val="en-US"/>
        </w:rPr>
        <w:t xml:space="preserve"> Our choice of macro days then becomes ad-hoc without the required statistical support. It is true that the paper’s results are robust to the </w:t>
      </w:r>
      <w:r w:rsidR="00F06B09">
        <w:rPr>
          <w:rFonts w:ascii="Century" w:hAnsi="Century"/>
          <w:sz w:val="22"/>
          <w:szCs w:val="22"/>
          <w:lang w:val="en-US"/>
        </w:rPr>
        <w:t>interest-news</w:t>
      </w:r>
      <w:r w:rsidR="007F0DE9">
        <w:rPr>
          <w:rFonts w:ascii="Century" w:hAnsi="Century"/>
          <w:sz w:val="22"/>
          <w:szCs w:val="22"/>
          <w:lang w:val="en-US"/>
        </w:rPr>
        <w:t xml:space="preserve"> pair</w:t>
      </w:r>
      <w:r w:rsidR="00F06B09">
        <w:rPr>
          <w:rFonts w:ascii="Century" w:hAnsi="Century"/>
          <w:sz w:val="22"/>
          <w:szCs w:val="22"/>
          <w:lang w:val="en-US"/>
        </w:rPr>
        <w:t xml:space="preserve"> (CPI and rate hike)</w:t>
      </w:r>
      <w:r w:rsidR="007F0DE9">
        <w:rPr>
          <w:rFonts w:ascii="Century" w:hAnsi="Century"/>
          <w:sz w:val="22"/>
          <w:szCs w:val="22"/>
          <w:lang w:val="en-US"/>
        </w:rPr>
        <w:t xml:space="preserve">, but it is also robust to </w:t>
      </w:r>
      <w:r w:rsidR="0049791E">
        <w:rPr>
          <w:rFonts w:ascii="Century" w:hAnsi="Century"/>
          <w:sz w:val="22"/>
          <w:szCs w:val="22"/>
          <w:lang w:val="en-US"/>
        </w:rPr>
        <w:t xml:space="preserve">almost </w:t>
      </w:r>
      <w:r w:rsidR="007F0DE9">
        <w:rPr>
          <w:rFonts w:ascii="Century" w:hAnsi="Century"/>
          <w:sz w:val="22"/>
          <w:szCs w:val="22"/>
          <w:lang w:val="en-US"/>
        </w:rPr>
        <w:t>any other pair</w:t>
      </w:r>
      <w:r w:rsidR="00F06B09">
        <w:rPr>
          <w:rFonts w:ascii="Century" w:hAnsi="Century"/>
          <w:sz w:val="22"/>
          <w:szCs w:val="22"/>
          <w:lang w:val="en-US"/>
        </w:rPr>
        <w:t xml:space="preserve"> of days, even days without news that would have a similar expected effect</w:t>
      </w:r>
      <w:r w:rsidR="007F0DE9">
        <w:rPr>
          <w:rFonts w:ascii="Century" w:hAnsi="Century"/>
          <w:sz w:val="22"/>
          <w:szCs w:val="22"/>
          <w:lang w:val="en-US"/>
        </w:rPr>
        <w:t>.</w:t>
      </w:r>
      <w:r w:rsidR="006353D6">
        <w:rPr>
          <w:rFonts w:ascii="Century" w:hAnsi="Century"/>
          <w:sz w:val="22"/>
          <w:szCs w:val="22"/>
          <w:lang w:val="en-US"/>
        </w:rPr>
        <w:t xml:space="preserve"> </w:t>
      </w:r>
    </w:p>
    <w:p w14:paraId="42D7D25B" w14:textId="77777777" w:rsidR="00141B7E" w:rsidRDefault="00141B7E" w:rsidP="008B517D">
      <w:pPr>
        <w:jc w:val="both"/>
        <w:rPr>
          <w:rFonts w:ascii="Century" w:hAnsi="Century"/>
          <w:sz w:val="22"/>
          <w:szCs w:val="22"/>
          <w:lang w:val="en-US"/>
        </w:rPr>
      </w:pPr>
    </w:p>
    <w:p w14:paraId="3F8FD5C6" w14:textId="77777777" w:rsidR="00986A7D" w:rsidRPr="00F414EA" w:rsidRDefault="00986A7D" w:rsidP="008B517D">
      <w:pPr>
        <w:jc w:val="both"/>
        <w:rPr>
          <w:rFonts w:ascii="Century" w:hAnsi="Century"/>
          <w:sz w:val="22"/>
          <w:szCs w:val="22"/>
          <w:lang w:val="en-US"/>
        </w:rPr>
      </w:pPr>
    </w:p>
    <w:p w14:paraId="1C99A403" w14:textId="50E5CD96" w:rsidR="00DB1248" w:rsidRPr="00F414EA" w:rsidRDefault="007E4732" w:rsidP="00DB1248">
      <w:pPr>
        <w:pStyle w:val="PargrafodaLista"/>
        <w:numPr>
          <w:ilvl w:val="0"/>
          <w:numId w:val="6"/>
        </w:numPr>
        <w:jc w:val="center"/>
        <w:rPr>
          <w:rFonts w:ascii="Century" w:hAnsi="Century"/>
          <w:sz w:val="18"/>
          <w:szCs w:val="18"/>
          <w:lang w:val="en-US"/>
        </w:rPr>
      </w:pPr>
      <w:r w:rsidRPr="00F414EA">
        <w:rPr>
          <w:rFonts w:ascii="Century" w:hAnsi="Century"/>
          <w:sz w:val="18"/>
          <w:szCs w:val="18"/>
          <w:lang w:val="en-US"/>
        </w:rPr>
        <w:t>REFERENCES</w:t>
      </w:r>
    </w:p>
    <w:p w14:paraId="0C7EDF69" w14:textId="77777777" w:rsidR="00087CF9" w:rsidRPr="00F414EA" w:rsidRDefault="00087CF9" w:rsidP="00087CF9">
      <w:pPr>
        <w:rPr>
          <w:rFonts w:ascii="Century" w:hAnsi="Century"/>
          <w:sz w:val="18"/>
          <w:szCs w:val="18"/>
          <w:lang w:val="en-US"/>
        </w:rPr>
      </w:pPr>
    </w:p>
    <w:p w14:paraId="4AACAB6F" w14:textId="77777777" w:rsidR="00DB1248" w:rsidRPr="00F414EA" w:rsidRDefault="00DB1248" w:rsidP="00DB1248">
      <w:pPr>
        <w:spacing w:line="264" w:lineRule="auto"/>
        <w:rPr>
          <w:rFonts w:ascii="Century" w:hAnsi="Century" w:cs="Big Caslon Medium"/>
          <w:sz w:val="21"/>
          <w:szCs w:val="21"/>
          <w:lang w:val="en-US"/>
        </w:rPr>
      </w:pPr>
    </w:p>
    <w:p w14:paraId="4A737D6C" w14:textId="71CBE87B" w:rsidR="00840C7B" w:rsidRPr="00F414EA" w:rsidRDefault="00784F47" w:rsidP="00884DE4">
      <w:pPr>
        <w:spacing w:after="240" w:line="360" w:lineRule="auto"/>
        <w:ind w:left="360" w:hanging="360"/>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Eisfeldt, A. L., Schubert, G., &amp; Zhang, M. B. (2023). Generative AI and firm values (NBER Working Paper No. 31222). National Bureau of Economic Research.) </w:t>
      </w:r>
    </w:p>
    <w:p w14:paraId="444E1221" w14:textId="77777777" w:rsidR="00840C7B" w:rsidRPr="00F414EA" w:rsidRDefault="00840C7B" w:rsidP="00840C7B">
      <w:pPr>
        <w:spacing w:after="240" w:line="360" w:lineRule="auto"/>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 xml:space="preserve">French, K. R. (2022). </w:t>
      </w:r>
      <w:r w:rsidRPr="00F414EA">
        <w:rPr>
          <w:rFonts w:ascii="Century" w:hAnsi="Century"/>
          <w:i/>
          <w:iCs/>
          <w:color w:val="000000" w:themeColor="text1"/>
          <w:sz w:val="22"/>
          <w:szCs w:val="22"/>
          <w:lang w:val="en-US"/>
        </w:rPr>
        <w:t>Fama/French 5 factors (daily) &amp; U.S. research returns Data Details</w:t>
      </w:r>
      <w:r w:rsidRPr="00F414EA">
        <w:rPr>
          <w:rFonts w:ascii="Century" w:hAnsi="Century"/>
          <w:color w:val="000000" w:themeColor="text1"/>
          <w:sz w:val="22"/>
          <w:szCs w:val="22"/>
          <w:lang w:val="en-US"/>
        </w:rPr>
        <w:t xml:space="preserve">  </w:t>
      </w:r>
      <w:r w:rsidRPr="00F414EA">
        <w:rPr>
          <w:rFonts w:ascii="Century" w:hAnsi="Century"/>
          <w:color w:val="000000" w:themeColor="text1"/>
          <w:sz w:val="22"/>
          <w:szCs w:val="22"/>
          <w:lang w:val="en-US"/>
        </w:rPr>
        <w:tab/>
        <w:t xml:space="preserve">[Data set]. Kenneth R. French Data Library. </w:t>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hyperlink r:id="rId10" w:history="1">
        <w:r w:rsidRPr="00F414EA">
          <w:rPr>
            <w:rStyle w:val="Hiperligao"/>
            <w:rFonts w:ascii="Century" w:hAnsi="Century"/>
            <w:color w:val="000000" w:themeColor="text1"/>
            <w:sz w:val="22"/>
            <w:szCs w:val="22"/>
            <w:lang w:val="en-US"/>
          </w:rPr>
          <w:t>http://mba.tuck.dartmouth.edu/pages/faculty/ken.french/data_library.html</w:t>
        </w:r>
      </w:hyperlink>
    </w:p>
    <w:p w14:paraId="2DB7E3A3" w14:textId="4F03DCD8" w:rsidR="004F0336" w:rsidRPr="00DB0C49" w:rsidRDefault="00840C7B" w:rsidP="00DB0C49">
      <w:pPr>
        <w:spacing w:line="360" w:lineRule="auto"/>
        <w:jc w:val="both"/>
        <w:rPr>
          <w:color w:val="000000" w:themeColor="text1"/>
          <w:lang w:val="en-US"/>
        </w:rPr>
      </w:pPr>
      <w:r w:rsidRPr="00F414EA">
        <w:rPr>
          <w:color w:val="000000" w:themeColor="text1"/>
          <w:lang w:val="en-US"/>
        </w:rPr>
        <w:t xml:space="preserve">S&amp;P Global Market Intelligence. (n.d.). </w:t>
      </w:r>
      <w:r w:rsidRPr="00F414EA">
        <w:rPr>
          <w:rStyle w:val="nfase"/>
          <w:color w:val="000000" w:themeColor="text1"/>
          <w:lang w:val="en-US"/>
        </w:rPr>
        <w:t>Compustat [Data set]</w:t>
      </w:r>
      <w:r w:rsidRPr="00F414EA">
        <w:rPr>
          <w:color w:val="000000" w:themeColor="text1"/>
          <w:lang w:val="en-US"/>
        </w:rPr>
        <w:t xml:space="preserve">. Wharton Research Data </w:t>
      </w:r>
      <w:r w:rsidRPr="00F414EA">
        <w:rPr>
          <w:color w:val="000000" w:themeColor="text1"/>
          <w:lang w:val="en-US"/>
        </w:rPr>
        <w:tab/>
        <w:t xml:space="preserve">Services. Retrieved [access date], from </w:t>
      </w:r>
      <w:hyperlink r:id="rId11" w:history="1">
        <w:r w:rsidRPr="00F414EA">
          <w:rPr>
            <w:rStyle w:val="Hiperligao"/>
            <w:color w:val="000000" w:themeColor="text1"/>
            <w:lang w:val="en-US"/>
          </w:rPr>
          <w:t>https://wrds-www.wharton.upenn.edu/</w:t>
        </w:r>
      </w:hyperlink>
    </w:p>
    <w:p w14:paraId="6CC56EFE" w14:textId="77777777" w:rsidR="00B764CA" w:rsidRDefault="00B764CA" w:rsidP="00FA7A81">
      <w:pPr>
        <w:spacing w:line="360" w:lineRule="auto"/>
        <w:jc w:val="center"/>
        <w:rPr>
          <w:rFonts w:ascii="Century" w:hAnsi="Century"/>
          <w:color w:val="000000" w:themeColor="text1"/>
          <w:sz w:val="18"/>
          <w:szCs w:val="18"/>
          <w:lang w:val="en-US"/>
        </w:rPr>
      </w:pPr>
    </w:p>
    <w:p w14:paraId="6F07A2B0" w14:textId="77777777" w:rsidR="00BB40D1" w:rsidRDefault="00BB40D1" w:rsidP="00FA7A81">
      <w:pPr>
        <w:spacing w:line="360" w:lineRule="auto"/>
        <w:jc w:val="center"/>
        <w:rPr>
          <w:rFonts w:ascii="Century" w:hAnsi="Century"/>
          <w:color w:val="000000" w:themeColor="text1"/>
          <w:sz w:val="18"/>
          <w:szCs w:val="18"/>
          <w:lang w:val="en-US"/>
        </w:rPr>
      </w:pPr>
    </w:p>
    <w:p w14:paraId="313D61F2" w14:textId="77777777" w:rsidR="006E271B" w:rsidRDefault="006E271B" w:rsidP="00FA7A81">
      <w:pPr>
        <w:spacing w:line="360" w:lineRule="auto"/>
        <w:jc w:val="center"/>
        <w:rPr>
          <w:rFonts w:ascii="Century" w:hAnsi="Century"/>
          <w:color w:val="000000" w:themeColor="text1"/>
          <w:sz w:val="18"/>
          <w:szCs w:val="18"/>
          <w:lang w:val="en-US"/>
        </w:rPr>
      </w:pPr>
    </w:p>
    <w:p w14:paraId="1E6B37CE" w14:textId="77777777" w:rsidR="006E271B" w:rsidRDefault="006E271B" w:rsidP="00FA7A81">
      <w:pPr>
        <w:spacing w:line="360" w:lineRule="auto"/>
        <w:jc w:val="center"/>
        <w:rPr>
          <w:rFonts w:ascii="Century" w:hAnsi="Century"/>
          <w:color w:val="000000" w:themeColor="text1"/>
          <w:sz w:val="18"/>
          <w:szCs w:val="18"/>
          <w:lang w:val="en-US"/>
        </w:rPr>
      </w:pPr>
    </w:p>
    <w:p w14:paraId="081C5CCD" w14:textId="77777777" w:rsidR="006E271B" w:rsidRDefault="006E271B" w:rsidP="00FA7A81">
      <w:pPr>
        <w:spacing w:line="360" w:lineRule="auto"/>
        <w:jc w:val="center"/>
        <w:rPr>
          <w:rFonts w:ascii="Century" w:hAnsi="Century"/>
          <w:color w:val="000000" w:themeColor="text1"/>
          <w:sz w:val="18"/>
          <w:szCs w:val="18"/>
          <w:lang w:val="en-US"/>
        </w:rPr>
      </w:pPr>
    </w:p>
    <w:p w14:paraId="5FE6817B" w14:textId="77777777" w:rsidR="006E271B" w:rsidRDefault="006E271B" w:rsidP="00FA7A81">
      <w:pPr>
        <w:spacing w:line="360" w:lineRule="auto"/>
        <w:jc w:val="center"/>
        <w:rPr>
          <w:rFonts w:ascii="Century" w:hAnsi="Century"/>
          <w:color w:val="000000" w:themeColor="text1"/>
          <w:sz w:val="18"/>
          <w:szCs w:val="18"/>
          <w:lang w:val="en-US"/>
        </w:rPr>
      </w:pPr>
    </w:p>
    <w:p w14:paraId="534C4D01" w14:textId="77777777" w:rsidR="006E271B" w:rsidRDefault="006E271B" w:rsidP="00FA7A81">
      <w:pPr>
        <w:spacing w:line="360" w:lineRule="auto"/>
        <w:jc w:val="center"/>
        <w:rPr>
          <w:rFonts w:ascii="Century" w:hAnsi="Century"/>
          <w:color w:val="000000" w:themeColor="text1"/>
          <w:sz w:val="18"/>
          <w:szCs w:val="18"/>
          <w:lang w:val="en-US"/>
        </w:rPr>
      </w:pPr>
    </w:p>
    <w:p w14:paraId="0DD3B771" w14:textId="77777777" w:rsidR="006E271B" w:rsidRDefault="006E271B" w:rsidP="00FA7A81">
      <w:pPr>
        <w:spacing w:line="360" w:lineRule="auto"/>
        <w:jc w:val="center"/>
        <w:rPr>
          <w:rFonts w:ascii="Century" w:hAnsi="Century"/>
          <w:color w:val="000000" w:themeColor="text1"/>
          <w:sz w:val="18"/>
          <w:szCs w:val="18"/>
          <w:lang w:val="en-US"/>
        </w:rPr>
      </w:pPr>
    </w:p>
    <w:p w14:paraId="0EF00294" w14:textId="77777777" w:rsidR="006E271B" w:rsidRDefault="006E271B" w:rsidP="00FA7A81">
      <w:pPr>
        <w:spacing w:line="360" w:lineRule="auto"/>
        <w:jc w:val="center"/>
        <w:rPr>
          <w:rFonts w:ascii="Century" w:hAnsi="Century"/>
          <w:color w:val="000000" w:themeColor="text1"/>
          <w:sz w:val="18"/>
          <w:szCs w:val="18"/>
          <w:lang w:val="en-US"/>
        </w:rPr>
      </w:pPr>
    </w:p>
    <w:p w14:paraId="0E97A540" w14:textId="77777777" w:rsidR="006E271B" w:rsidRDefault="006E271B" w:rsidP="00FA7A81">
      <w:pPr>
        <w:spacing w:line="360" w:lineRule="auto"/>
        <w:jc w:val="center"/>
        <w:rPr>
          <w:rFonts w:ascii="Century" w:hAnsi="Century"/>
          <w:color w:val="000000" w:themeColor="text1"/>
          <w:sz w:val="18"/>
          <w:szCs w:val="18"/>
          <w:lang w:val="en-US"/>
        </w:rPr>
      </w:pPr>
    </w:p>
    <w:p w14:paraId="46641D23" w14:textId="77777777" w:rsidR="006E271B" w:rsidRDefault="006E271B" w:rsidP="00FA7A81">
      <w:pPr>
        <w:spacing w:line="360" w:lineRule="auto"/>
        <w:jc w:val="center"/>
        <w:rPr>
          <w:rFonts w:ascii="Century" w:hAnsi="Century"/>
          <w:color w:val="000000" w:themeColor="text1"/>
          <w:sz w:val="18"/>
          <w:szCs w:val="18"/>
          <w:lang w:val="en-US"/>
        </w:rPr>
      </w:pPr>
    </w:p>
    <w:p w14:paraId="73A43B19" w14:textId="77777777" w:rsidR="006E271B" w:rsidRDefault="006E271B" w:rsidP="00FA7A81">
      <w:pPr>
        <w:spacing w:line="360" w:lineRule="auto"/>
        <w:jc w:val="center"/>
        <w:rPr>
          <w:rFonts w:ascii="Century" w:hAnsi="Century"/>
          <w:color w:val="000000" w:themeColor="text1"/>
          <w:sz w:val="18"/>
          <w:szCs w:val="18"/>
          <w:lang w:val="en-US"/>
        </w:rPr>
      </w:pPr>
    </w:p>
    <w:p w14:paraId="57E579A7" w14:textId="46CE2FAC" w:rsidR="00FA7A81" w:rsidRPr="00F414EA" w:rsidRDefault="00FA7A81" w:rsidP="00FA7A81">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lastRenderedPageBreak/>
        <w:t>APPENDIX</w:t>
      </w:r>
    </w:p>
    <w:p w14:paraId="6EF3B9A7" w14:textId="77777777" w:rsidR="00A716AF" w:rsidRDefault="00A716AF" w:rsidP="00FA7A81">
      <w:pPr>
        <w:spacing w:line="360" w:lineRule="auto"/>
        <w:jc w:val="center"/>
        <w:rPr>
          <w:rFonts w:ascii="Century" w:hAnsi="Century"/>
          <w:color w:val="000000" w:themeColor="text1"/>
          <w:sz w:val="18"/>
          <w:szCs w:val="18"/>
          <w:lang w:val="en-US"/>
        </w:rPr>
      </w:pPr>
    </w:p>
    <w:p w14:paraId="3DC4A5AE" w14:textId="60EC32A3" w:rsidR="005D1AD0" w:rsidRDefault="005D1AD0" w:rsidP="005D1AD0">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Pr>
          <w:rFonts w:ascii="Century" w:hAnsi="Century"/>
          <w:color w:val="000000" w:themeColor="text1"/>
          <w:sz w:val="18"/>
          <w:szCs w:val="18"/>
          <w:lang w:val="en-US"/>
        </w:rPr>
        <w:t>1</w:t>
      </w:r>
      <w:r w:rsidRPr="00F414EA">
        <w:rPr>
          <w:rFonts w:ascii="Century" w:hAnsi="Century"/>
          <w:color w:val="000000" w:themeColor="text1"/>
          <w:sz w:val="18"/>
          <w:szCs w:val="18"/>
          <w:lang w:val="en-US"/>
        </w:rPr>
        <w:t xml:space="preserve"> –</w:t>
      </w:r>
      <w:r w:rsidR="008E740F">
        <w:rPr>
          <w:rFonts w:ascii="Century" w:hAnsi="Century"/>
          <w:color w:val="000000" w:themeColor="text1"/>
          <w:sz w:val="18"/>
          <w:szCs w:val="18"/>
          <w:lang w:val="en-US"/>
        </w:rPr>
        <w:t xml:space="preserve"> AR</w:t>
      </w:r>
      <w:r w:rsidRPr="00F414EA">
        <w:rPr>
          <w:rFonts w:ascii="Century" w:hAnsi="Century"/>
          <w:color w:val="000000" w:themeColor="text1"/>
          <w:sz w:val="18"/>
          <w:szCs w:val="18"/>
          <w:lang w:val="en-US"/>
        </w:rPr>
        <w:t xml:space="preserve"> </w:t>
      </w:r>
      <w:r>
        <w:rPr>
          <w:rFonts w:ascii="Century" w:hAnsi="Century"/>
          <w:color w:val="000000" w:themeColor="text1"/>
          <w:sz w:val="18"/>
          <w:szCs w:val="18"/>
          <w:lang w:val="en-US"/>
        </w:rPr>
        <w:t>BENCHMARK TEST</w:t>
      </w:r>
    </w:p>
    <w:p w14:paraId="4ACE9900" w14:textId="77777777" w:rsidR="005D1AD0" w:rsidRDefault="005D1AD0" w:rsidP="005D1AD0">
      <w:pPr>
        <w:spacing w:line="360" w:lineRule="auto"/>
        <w:jc w:val="center"/>
        <w:rPr>
          <w:rFonts w:ascii="Century" w:hAnsi="Century"/>
          <w:color w:val="000000" w:themeColor="text1"/>
          <w:sz w:val="18"/>
          <w:szCs w:val="18"/>
          <w:lang w:val="en-US"/>
        </w:rPr>
      </w:pPr>
    </w:p>
    <w:p w14:paraId="07E8C4E9" w14:textId="34D10255" w:rsidR="005D1AD0" w:rsidRDefault="005D1AD0" w:rsidP="00930298">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Abnormal returns from own computations and the paper’s reported estimates, per the CAPM and Fama-French 5 Factors model. Paired t-statistics between our computed CAPM and FF5 daily abnormal returns in the [0,10] window and the paper’s benchmark.</w:t>
      </w:r>
    </w:p>
    <w:tbl>
      <w:tblPr>
        <w:tblStyle w:val="SimplesTabela2"/>
        <w:tblpPr w:leftFromText="141" w:rightFromText="141" w:vertAnchor="text" w:horzAnchor="margin" w:tblpXSpec="center" w:tblpY="158"/>
        <w:tblW w:w="0" w:type="auto"/>
        <w:tblLook w:val="04A0" w:firstRow="1" w:lastRow="0" w:firstColumn="1" w:lastColumn="0" w:noHBand="0" w:noVBand="1"/>
      </w:tblPr>
      <w:tblGrid>
        <w:gridCol w:w="1682"/>
        <w:gridCol w:w="1682"/>
        <w:gridCol w:w="1682"/>
        <w:gridCol w:w="1682"/>
      </w:tblGrid>
      <w:tr w:rsidR="005D1AD0" w:rsidRPr="00A9332D" w14:paraId="5F770211" w14:textId="77777777" w:rsidTr="00A06F71">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07D6D6FF"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Model</w:t>
            </w:r>
          </w:p>
        </w:tc>
        <w:tc>
          <w:tcPr>
            <w:tcW w:w="1682" w:type="dxa"/>
          </w:tcPr>
          <w:p w14:paraId="58029887"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Own</w:t>
            </w:r>
            <w:r>
              <w:rPr>
                <w:rFonts w:ascii="Century" w:hAnsi="Century"/>
                <w:b w:val="0"/>
                <w:bCs w:val="0"/>
                <w:color w:val="000000" w:themeColor="text1"/>
                <w:sz w:val="18"/>
                <w:szCs w:val="18"/>
                <w:lang w:val="en-US"/>
              </w:rPr>
              <w:t>, %</w:t>
            </w:r>
          </w:p>
        </w:tc>
        <w:tc>
          <w:tcPr>
            <w:tcW w:w="1682" w:type="dxa"/>
          </w:tcPr>
          <w:p w14:paraId="76A24D1B"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Benchmark</w:t>
            </w:r>
            <w:r>
              <w:rPr>
                <w:rFonts w:ascii="Century" w:hAnsi="Century"/>
                <w:b w:val="0"/>
                <w:bCs w:val="0"/>
                <w:color w:val="000000" w:themeColor="text1"/>
                <w:sz w:val="18"/>
                <w:szCs w:val="18"/>
                <w:lang w:val="en-US"/>
              </w:rPr>
              <w:t>, %</w:t>
            </w:r>
          </w:p>
        </w:tc>
        <w:tc>
          <w:tcPr>
            <w:tcW w:w="1682" w:type="dxa"/>
          </w:tcPr>
          <w:p w14:paraId="4B74EB63"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t-stat</w:t>
            </w:r>
          </w:p>
        </w:tc>
      </w:tr>
      <w:tr w:rsidR="005D1AD0" w:rsidRPr="00A9332D" w14:paraId="65D5ED82" w14:textId="77777777" w:rsidTr="00A06F71">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73971C7E"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CAPM</w:t>
            </w:r>
          </w:p>
        </w:tc>
        <w:tc>
          <w:tcPr>
            <w:tcW w:w="1682" w:type="dxa"/>
          </w:tcPr>
          <w:p w14:paraId="072CF13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0.5260366</w:t>
            </w:r>
          </w:p>
        </w:tc>
        <w:tc>
          <w:tcPr>
            <w:tcW w:w="1682" w:type="dxa"/>
          </w:tcPr>
          <w:p w14:paraId="622E333A"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0.44         </w:t>
            </w:r>
          </w:p>
        </w:tc>
        <w:tc>
          <w:tcPr>
            <w:tcW w:w="1682" w:type="dxa"/>
          </w:tcPr>
          <w:p w14:paraId="2170220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0.5090251</w:t>
            </w:r>
          </w:p>
        </w:tc>
      </w:tr>
      <w:tr w:rsidR="005D1AD0" w:rsidRPr="00A9332D" w14:paraId="56CC7935" w14:textId="77777777" w:rsidTr="00A06F71">
        <w:trPr>
          <w:trHeight w:val="386"/>
        </w:trPr>
        <w:tc>
          <w:tcPr>
            <w:cnfStyle w:val="001000000000" w:firstRow="0" w:lastRow="0" w:firstColumn="1" w:lastColumn="0" w:oddVBand="0" w:evenVBand="0" w:oddHBand="0" w:evenHBand="0" w:firstRowFirstColumn="0" w:firstRowLastColumn="0" w:lastRowFirstColumn="0" w:lastRowLastColumn="0"/>
            <w:tcW w:w="1682" w:type="dxa"/>
          </w:tcPr>
          <w:p w14:paraId="5B05904E" w14:textId="300AAB10"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FF5</w:t>
            </w:r>
          </w:p>
        </w:tc>
        <w:tc>
          <w:tcPr>
            <w:tcW w:w="1682" w:type="dxa"/>
          </w:tcPr>
          <w:p w14:paraId="7F7DF8BE"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Pr>
                <w:rFonts w:ascii="Century" w:hAnsi="Century"/>
                <w:color w:val="000000" w:themeColor="text1"/>
                <w:sz w:val="18"/>
                <w:szCs w:val="18"/>
                <w:lang w:val="en-US"/>
              </w:rPr>
              <w:t>0.</w:t>
            </w:r>
            <w:r w:rsidRPr="00A9332D">
              <w:rPr>
                <w:rFonts w:ascii="Century" w:hAnsi="Century"/>
                <w:color w:val="000000" w:themeColor="text1"/>
                <w:sz w:val="18"/>
                <w:szCs w:val="18"/>
                <w:lang w:val="en-US"/>
              </w:rPr>
              <w:t xml:space="preserve">2934758          </w:t>
            </w:r>
          </w:p>
        </w:tc>
        <w:tc>
          <w:tcPr>
            <w:tcW w:w="1682" w:type="dxa"/>
          </w:tcPr>
          <w:p w14:paraId="1EBC8D42"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0.35         </w:t>
            </w:r>
          </w:p>
        </w:tc>
        <w:tc>
          <w:tcPr>
            <w:tcW w:w="1682" w:type="dxa"/>
          </w:tcPr>
          <w:p w14:paraId="4283D699"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-0.3956986</w:t>
            </w:r>
          </w:p>
        </w:tc>
      </w:tr>
    </w:tbl>
    <w:p w14:paraId="7D52C6FC" w14:textId="77777777" w:rsidR="005D1AD0" w:rsidRDefault="005D1AD0" w:rsidP="005D1AD0">
      <w:pPr>
        <w:spacing w:line="360" w:lineRule="auto"/>
        <w:ind w:firstLine="708"/>
        <w:jc w:val="both"/>
        <w:rPr>
          <w:rFonts w:ascii="Century" w:hAnsi="Century"/>
          <w:color w:val="000000" w:themeColor="text1"/>
          <w:sz w:val="18"/>
          <w:szCs w:val="18"/>
          <w:lang w:val="en-US"/>
        </w:rPr>
      </w:pPr>
    </w:p>
    <w:p w14:paraId="076F2C35" w14:textId="77777777" w:rsidR="005D1AD0" w:rsidRDefault="005D1AD0" w:rsidP="00FA7A81">
      <w:pPr>
        <w:spacing w:line="360" w:lineRule="auto"/>
        <w:jc w:val="center"/>
        <w:rPr>
          <w:rFonts w:ascii="Century" w:hAnsi="Century"/>
          <w:color w:val="000000" w:themeColor="text1"/>
          <w:sz w:val="18"/>
          <w:szCs w:val="18"/>
          <w:lang w:val="en-US"/>
        </w:rPr>
      </w:pPr>
    </w:p>
    <w:p w14:paraId="429A5704" w14:textId="77777777" w:rsidR="005D1AD0" w:rsidRDefault="005D1AD0" w:rsidP="00FA7A81">
      <w:pPr>
        <w:spacing w:line="360" w:lineRule="auto"/>
        <w:jc w:val="center"/>
        <w:rPr>
          <w:rFonts w:ascii="Century" w:hAnsi="Century"/>
          <w:color w:val="000000" w:themeColor="text1"/>
          <w:sz w:val="18"/>
          <w:szCs w:val="18"/>
          <w:lang w:val="en-US"/>
        </w:rPr>
      </w:pPr>
    </w:p>
    <w:p w14:paraId="13FD6A5A" w14:textId="77777777" w:rsidR="005D1AD0" w:rsidRDefault="005D1AD0" w:rsidP="00FA7A81">
      <w:pPr>
        <w:spacing w:line="360" w:lineRule="auto"/>
        <w:jc w:val="center"/>
        <w:rPr>
          <w:rFonts w:ascii="Century" w:hAnsi="Century"/>
          <w:color w:val="000000" w:themeColor="text1"/>
          <w:sz w:val="18"/>
          <w:szCs w:val="18"/>
          <w:lang w:val="en-US"/>
        </w:rPr>
      </w:pPr>
    </w:p>
    <w:p w14:paraId="474E9415" w14:textId="77777777" w:rsidR="00AF54A4" w:rsidRDefault="00AF54A4" w:rsidP="00930298">
      <w:pPr>
        <w:spacing w:line="360" w:lineRule="auto"/>
        <w:rPr>
          <w:rFonts w:ascii="Century" w:hAnsi="Century"/>
          <w:color w:val="000000" w:themeColor="text1"/>
          <w:sz w:val="18"/>
          <w:szCs w:val="18"/>
          <w:lang w:val="en-US"/>
        </w:rPr>
      </w:pPr>
    </w:p>
    <w:p w14:paraId="7BE80DA2" w14:textId="77777777" w:rsidR="00FD1E02" w:rsidRPr="00F414EA" w:rsidRDefault="00FD1E02" w:rsidP="00930298">
      <w:pPr>
        <w:spacing w:line="360" w:lineRule="auto"/>
        <w:rPr>
          <w:rFonts w:ascii="Century" w:hAnsi="Century"/>
          <w:color w:val="000000" w:themeColor="text1"/>
          <w:sz w:val="18"/>
          <w:szCs w:val="18"/>
          <w:lang w:val="en-US"/>
        </w:rPr>
      </w:pPr>
    </w:p>
    <w:p w14:paraId="3174A484" w14:textId="0F6ECC94" w:rsidR="00A716AF" w:rsidRPr="00F414EA" w:rsidRDefault="00A716AF" w:rsidP="00A716AF">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sidR="00A9332D">
        <w:rPr>
          <w:rFonts w:ascii="Century" w:hAnsi="Century"/>
          <w:color w:val="000000" w:themeColor="text1"/>
          <w:sz w:val="18"/>
          <w:szCs w:val="18"/>
          <w:lang w:val="en-US"/>
        </w:rPr>
        <w:t>2</w:t>
      </w:r>
      <w:r w:rsidRPr="00F414EA">
        <w:rPr>
          <w:rFonts w:ascii="Century" w:hAnsi="Century"/>
          <w:color w:val="000000" w:themeColor="text1"/>
          <w:sz w:val="18"/>
          <w:szCs w:val="18"/>
          <w:lang w:val="en-US"/>
        </w:rPr>
        <w:t xml:space="preserve"> – EXCLUDED PAIRS PLACEBO TEST </w:t>
      </w:r>
    </w:p>
    <w:tbl>
      <w:tblPr>
        <w:tblStyle w:val="SimplesTabela2"/>
        <w:tblpPr w:leftFromText="141" w:rightFromText="141" w:vertAnchor="text" w:horzAnchor="margin" w:tblpXSpec="center" w:tblpY="1703"/>
        <w:tblW w:w="0" w:type="auto"/>
        <w:tblLook w:val="04A0" w:firstRow="1" w:lastRow="0" w:firstColumn="1" w:lastColumn="0" w:noHBand="0" w:noVBand="1"/>
      </w:tblPr>
      <w:tblGrid>
        <w:gridCol w:w="1294"/>
        <w:gridCol w:w="1079"/>
        <w:gridCol w:w="767"/>
        <w:gridCol w:w="767"/>
        <w:gridCol w:w="767"/>
        <w:gridCol w:w="827"/>
        <w:gridCol w:w="767"/>
        <w:gridCol w:w="767"/>
        <w:gridCol w:w="767"/>
      </w:tblGrid>
      <w:tr w:rsidR="00F414EA" w:rsidRPr="00F414EA" w14:paraId="3E37A0CA" w14:textId="77777777" w:rsidTr="000660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A5B98" w14:textId="77777777" w:rsidR="00F414EA" w:rsidRPr="00F414EA" w:rsidRDefault="00F414EA" w:rsidP="000660C3">
            <w:pPr>
              <w:rPr>
                <w:rFonts w:ascii="Century" w:hAnsi="Century"/>
                <w:b w:val="0"/>
                <w:bCs w:val="0"/>
                <w:sz w:val="18"/>
                <w:szCs w:val="18"/>
                <w:lang w:val="en-US"/>
              </w:rPr>
            </w:pPr>
          </w:p>
        </w:tc>
        <w:tc>
          <w:tcPr>
            <w:tcW w:w="0" w:type="auto"/>
            <w:hideMark/>
          </w:tcPr>
          <w:p w14:paraId="3DE896E2"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excl. t=0-1</w:t>
            </w:r>
          </w:p>
        </w:tc>
        <w:tc>
          <w:tcPr>
            <w:tcW w:w="0" w:type="auto"/>
            <w:hideMark/>
          </w:tcPr>
          <w:p w14:paraId="1EF12C9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t=1-2</w:t>
            </w:r>
          </w:p>
        </w:tc>
        <w:tc>
          <w:tcPr>
            <w:tcW w:w="0" w:type="auto"/>
            <w:hideMark/>
          </w:tcPr>
          <w:p w14:paraId="2547E06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t=2-3</w:t>
            </w:r>
          </w:p>
        </w:tc>
        <w:tc>
          <w:tcPr>
            <w:tcW w:w="0" w:type="auto"/>
            <w:hideMark/>
          </w:tcPr>
          <w:p w14:paraId="51781FC3"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t=3-4</w:t>
            </w:r>
          </w:p>
        </w:tc>
        <w:tc>
          <w:tcPr>
            <w:tcW w:w="0" w:type="auto"/>
            <w:hideMark/>
          </w:tcPr>
          <w:p w14:paraId="086767F7"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t=4-5</w:t>
            </w:r>
          </w:p>
        </w:tc>
        <w:tc>
          <w:tcPr>
            <w:tcW w:w="0" w:type="auto"/>
            <w:hideMark/>
          </w:tcPr>
          <w:p w14:paraId="020C2655"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t=5-6</w:t>
            </w:r>
          </w:p>
        </w:tc>
        <w:tc>
          <w:tcPr>
            <w:tcW w:w="0" w:type="auto"/>
            <w:hideMark/>
          </w:tcPr>
          <w:p w14:paraId="272735D1"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t=6-7</w:t>
            </w:r>
          </w:p>
        </w:tc>
        <w:tc>
          <w:tcPr>
            <w:tcW w:w="0" w:type="auto"/>
            <w:hideMark/>
          </w:tcPr>
          <w:p w14:paraId="2648497A"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t=7-8</w:t>
            </w:r>
          </w:p>
        </w:tc>
      </w:tr>
      <w:tr w:rsidR="00F414EA" w:rsidRPr="00F414EA" w14:paraId="470F0F80"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04C8E" w14:textId="34E77CFD"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Placebo Beta</w:t>
            </w:r>
          </w:p>
        </w:tc>
        <w:tc>
          <w:tcPr>
            <w:tcW w:w="0" w:type="auto"/>
            <w:hideMark/>
          </w:tcPr>
          <w:p w14:paraId="2D25E85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0.1469</w:t>
            </w:r>
          </w:p>
        </w:tc>
        <w:tc>
          <w:tcPr>
            <w:tcW w:w="0" w:type="auto"/>
            <w:hideMark/>
          </w:tcPr>
          <w:p w14:paraId="224FE6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0.2523</w:t>
            </w:r>
          </w:p>
        </w:tc>
        <w:tc>
          <w:tcPr>
            <w:tcW w:w="0" w:type="auto"/>
            <w:hideMark/>
          </w:tcPr>
          <w:p w14:paraId="6E3DC3CE"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0.2525</w:t>
            </w:r>
          </w:p>
        </w:tc>
        <w:tc>
          <w:tcPr>
            <w:tcW w:w="0" w:type="auto"/>
            <w:hideMark/>
          </w:tcPr>
          <w:p w14:paraId="528D9AE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0.2271</w:t>
            </w:r>
          </w:p>
        </w:tc>
        <w:tc>
          <w:tcPr>
            <w:tcW w:w="0" w:type="auto"/>
            <w:hideMark/>
          </w:tcPr>
          <w:p w14:paraId="1D7CDE33"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0.2538</w:t>
            </w:r>
          </w:p>
        </w:tc>
        <w:tc>
          <w:tcPr>
            <w:tcW w:w="0" w:type="auto"/>
            <w:hideMark/>
          </w:tcPr>
          <w:p w14:paraId="5A65002D"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0.2224</w:t>
            </w:r>
          </w:p>
        </w:tc>
        <w:tc>
          <w:tcPr>
            <w:tcW w:w="0" w:type="auto"/>
            <w:hideMark/>
          </w:tcPr>
          <w:p w14:paraId="6FC49A48"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0.2134</w:t>
            </w:r>
          </w:p>
        </w:tc>
        <w:tc>
          <w:tcPr>
            <w:tcW w:w="0" w:type="auto"/>
            <w:hideMark/>
          </w:tcPr>
          <w:p w14:paraId="645FB77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0.2072</w:t>
            </w:r>
          </w:p>
        </w:tc>
      </w:tr>
      <w:tr w:rsidR="00F414EA" w:rsidRPr="00F414EA" w14:paraId="2C3C3B07" w14:textId="77777777" w:rsidTr="000660C3">
        <w:tc>
          <w:tcPr>
            <w:cnfStyle w:val="001000000000" w:firstRow="0" w:lastRow="0" w:firstColumn="1" w:lastColumn="0" w:oddVBand="0" w:evenVBand="0" w:oddHBand="0" w:evenHBand="0" w:firstRowFirstColumn="0" w:firstRowLastColumn="0" w:lastRowFirstColumn="0" w:lastRowLastColumn="0"/>
            <w:tcW w:w="0" w:type="auto"/>
            <w:hideMark/>
          </w:tcPr>
          <w:p w14:paraId="27D27A38" w14:textId="777777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Diff</w:t>
            </w:r>
          </w:p>
        </w:tc>
        <w:tc>
          <w:tcPr>
            <w:tcW w:w="0" w:type="auto"/>
            <w:hideMark/>
          </w:tcPr>
          <w:p w14:paraId="50A76C37"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0.1064</w:t>
            </w:r>
          </w:p>
        </w:tc>
        <w:tc>
          <w:tcPr>
            <w:tcW w:w="0" w:type="auto"/>
            <w:hideMark/>
          </w:tcPr>
          <w:p w14:paraId="41EF6AD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0.0010</w:t>
            </w:r>
          </w:p>
        </w:tc>
        <w:tc>
          <w:tcPr>
            <w:tcW w:w="0" w:type="auto"/>
            <w:hideMark/>
          </w:tcPr>
          <w:p w14:paraId="18E1E94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0.0009</w:t>
            </w:r>
          </w:p>
        </w:tc>
        <w:tc>
          <w:tcPr>
            <w:tcW w:w="0" w:type="auto"/>
            <w:hideMark/>
          </w:tcPr>
          <w:p w14:paraId="2DBE6331"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0.0262</w:t>
            </w:r>
          </w:p>
        </w:tc>
        <w:tc>
          <w:tcPr>
            <w:tcW w:w="0" w:type="auto"/>
            <w:hideMark/>
          </w:tcPr>
          <w:p w14:paraId="7BF01CF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-0.0005</w:t>
            </w:r>
          </w:p>
        </w:tc>
        <w:tc>
          <w:tcPr>
            <w:tcW w:w="0" w:type="auto"/>
            <w:hideMark/>
          </w:tcPr>
          <w:p w14:paraId="4593816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0.0309</w:t>
            </w:r>
          </w:p>
        </w:tc>
        <w:tc>
          <w:tcPr>
            <w:tcW w:w="0" w:type="auto"/>
            <w:hideMark/>
          </w:tcPr>
          <w:p w14:paraId="46D902B2"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0.0399</w:t>
            </w:r>
          </w:p>
        </w:tc>
        <w:tc>
          <w:tcPr>
            <w:tcW w:w="0" w:type="auto"/>
            <w:hideMark/>
          </w:tcPr>
          <w:p w14:paraId="0E49472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0.0461</w:t>
            </w:r>
          </w:p>
        </w:tc>
      </w:tr>
      <w:tr w:rsidR="00F414EA" w:rsidRPr="00F414EA" w14:paraId="3CF27124"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3F6E" w14:textId="76AF75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t</w:t>
            </w:r>
            <w:r>
              <w:rPr>
                <w:rFonts w:ascii="Century" w:hAnsi="Century"/>
                <w:b w:val="0"/>
                <w:bCs w:val="0"/>
                <w:sz w:val="18"/>
                <w:szCs w:val="18"/>
                <w:lang w:val="en-US"/>
              </w:rPr>
              <w:t>-</w:t>
            </w:r>
            <w:r w:rsidRPr="00F414EA">
              <w:rPr>
                <w:rFonts w:ascii="Century" w:hAnsi="Century"/>
                <w:b w:val="0"/>
                <w:bCs w:val="0"/>
                <w:sz w:val="18"/>
                <w:szCs w:val="18"/>
                <w:lang w:val="en-US"/>
              </w:rPr>
              <w:t>stat</w:t>
            </w:r>
          </w:p>
        </w:tc>
        <w:tc>
          <w:tcPr>
            <w:tcW w:w="0" w:type="auto"/>
            <w:hideMark/>
          </w:tcPr>
          <w:p w14:paraId="33DB28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2.47</w:t>
            </w:r>
          </w:p>
        </w:tc>
        <w:tc>
          <w:tcPr>
            <w:tcW w:w="0" w:type="auto"/>
            <w:hideMark/>
          </w:tcPr>
          <w:p w14:paraId="79A0BED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6C6AB1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E9EF2A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0.81</w:t>
            </w:r>
          </w:p>
        </w:tc>
        <w:tc>
          <w:tcPr>
            <w:tcW w:w="0" w:type="auto"/>
            <w:hideMark/>
          </w:tcPr>
          <w:p w14:paraId="22D0450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w:t>
            </w:r>
          </w:p>
        </w:tc>
        <w:tc>
          <w:tcPr>
            <w:tcW w:w="0" w:type="auto"/>
            <w:hideMark/>
          </w:tcPr>
          <w:p w14:paraId="2AF47B7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1.05</w:t>
            </w:r>
          </w:p>
        </w:tc>
        <w:tc>
          <w:tcPr>
            <w:tcW w:w="0" w:type="auto"/>
            <w:hideMark/>
          </w:tcPr>
          <w:p w14:paraId="0030D22F"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0.88</w:t>
            </w:r>
          </w:p>
        </w:tc>
        <w:tc>
          <w:tcPr>
            <w:tcW w:w="0" w:type="auto"/>
            <w:hideMark/>
          </w:tcPr>
          <w:p w14:paraId="6BFBFBA9"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2.04</w:t>
            </w:r>
          </w:p>
        </w:tc>
      </w:tr>
    </w:tbl>
    <w:p w14:paraId="5B9C6E14" w14:textId="49A64610" w:rsidR="00FA7A81" w:rsidRDefault="00FA7A81" w:rsidP="000660C3">
      <w:pPr>
        <w:spacing w:line="360" w:lineRule="auto"/>
        <w:rPr>
          <w:rFonts w:ascii="Century" w:hAnsi="Century"/>
          <w:color w:val="000000" w:themeColor="text1"/>
          <w:sz w:val="16"/>
          <w:szCs w:val="16"/>
          <w:lang w:val="en-US"/>
        </w:rPr>
      </w:pPr>
    </w:p>
    <w:p w14:paraId="3E16CA1F" w14:textId="54C748D0" w:rsidR="000660C3" w:rsidRDefault="000660C3" w:rsidP="00406D25">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Paired t-statistics on the difference between the Placebo coefficients produced by the regressions excluding any two consecutive trading days except the pair of interest (Dec 13-14) and the pair of interest. Differences significant at the 5% level (Nov 30 – Dec 1 and Dec 9-12) highlighted.</w:t>
      </w:r>
    </w:p>
    <w:p w14:paraId="784ECAE1" w14:textId="77777777" w:rsidR="0041271D" w:rsidRDefault="0041271D" w:rsidP="00E45F67">
      <w:pPr>
        <w:spacing w:line="360" w:lineRule="auto"/>
        <w:ind w:firstLine="708"/>
        <w:rPr>
          <w:rFonts w:ascii="Century" w:hAnsi="Century"/>
          <w:color w:val="000000" w:themeColor="text1"/>
          <w:sz w:val="18"/>
          <w:szCs w:val="18"/>
          <w:lang w:val="en-US"/>
        </w:rPr>
      </w:pPr>
    </w:p>
    <w:p w14:paraId="42F5B16B" w14:textId="77777777" w:rsidR="0041271D" w:rsidRDefault="0041271D" w:rsidP="00785182">
      <w:pPr>
        <w:spacing w:line="360" w:lineRule="auto"/>
        <w:ind w:firstLine="708"/>
        <w:jc w:val="center"/>
        <w:rPr>
          <w:rFonts w:ascii="Century" w:hAnsi="Century"/>
          <w:color w:val="000000" w:themeColor="text1"/>
          <w:sz w:val="18"/>
          <w:szCs w:val="18"/>
          <w:lang w:val="en-US"/>
        </w:rPr>
      </w:pPr>
    </w:p>
    <w:p w14:paraId="49174200" w14:textId="77777777" w:rsidR="00BB1A16" w:rsidRDefault="00BB1A16" w:rsidP="00BB1A16">
      <w:pPr>
        <w:spacing w:line="360" w:lineRule="auto"/>
        <w:rPr>
          <w:rFonts w:ascii="Century" w:hAnsi="Century"/>
          <w:color w:val="000000" w:themeColor="text1"/>
          <w:sz w:val="18"/>
          <w:szCs w:val="18"/>
          <w:lang w:val="en-US"/>
        </w:rPr>
      </w:pPr>
    </w:p>
    <w:p w14:paraId="2B42D3B1" w14:textId="77777777" w:rsidR="006042A2" w:rsidRDefault="006042A2" w:rsidP="00BB1A16">
      <w:pPr>
        <w:spacing w:line="360" w:lineRule="auto"/>
        <w:rPr>
          <w:rFonts w:ascii="Century" w:hAnsi="Century"/>
          <w:color w:val="000000" w:themeColor="text1"/>
          <w:sz w:val="18"/>
          <w:szCs w:val="18"/>
          <w:lang w:val="en-US"/>
        </w:rPr>
      </w:pPr>
    </w:p>
    <w:p w14:paraId="05E5720C" w14:textId="77777777" w:rsidR="006042A2" w:rsidRDefault="006042A2" w:rsidP="00BB1A16">
      <w:pPr>
        <w:spacing w:line="360" w:lineRule="auto"/>
        <w:rPr>
          <w:rFonts w:ascii="Century" w:hAnsi="Century"/>
          <w:color w:val="000000" w:themeColor="text1"/>
          <w:sz w:val="18"/>
          <w:szCs w:val="18"/>
          <w:lang w:val="en-US"/>
        </w:rPr>
      </w:pPr>
    </w:p>
    <w:p w14:paraId="2C8FB1EA" w14:textId="77777777" w:rsidR="006042A2" w:rsidRDefault="006042A2" w:rsidP="00BB1A16">
      <w:pPr>
        <w:spacing w:line="360" w:lineRule="auto"/>
        <w:rPr>
          <w:rFonts w:ascii="Century" w:hAnsi="Century"/>
          <w:color w:val="000000" w:themeColor="text1"/>
          <w:sz w:val="18"/>
          <w:szCs w:val="18"/>
          <w:lang w:val="en-US"/>
        </w:rPr>
      </w:pPr>
    </w:p>
    <w:p w14:paraId="35C58010" w14:textId="77777777" w:rsidR="006042A2" w:rsidRDefault="006042A2" w:rsidP="00BB1A16">
      <w:pPr>
        <w:spacing w:line="360" w:lineRule="auto"/>
        <w:rPr>
          <w:rFonts w:ascii="Century" w:hAnsi="Century"/>
          <w:color w:val="000000" w:themeColor="text1"/>
          <w:sz w:val="18"/>
          <w:szCs w:val="18"/>
          <w:lang w:val="en-US"/>
        </w:rPr>
      </w:pPr>
    </w:p>
    <w:p w14:paraId="38A711D8" w14:textId="77777777" w:rsidR="006042A2" w:rsidRDefault="006042A2" w:rsidP="00BB1A16">
      <w:pPr>
        <w:spacing w:line="360" w:lineRule="auto"/>
        <w:rPr>
          <w:rFonts w:ascii="Century" w:hAnsi="Century"/>
          <w:color w:val="000000" w:themeColor="text1"/>
          <w:sz w:val="18"/>
          <w:szCs w:val="18"/>
          <w:lang w:val="en-US"/>
        </w:rPr>
      </w:pPr>
    </w:p>
    <w:p w14:paraId="30B7EE95" w14:textId="77777777" w:rsidR="006042A2" w:rsidRDefault="006042A2" w:rsidP="00BB1A16">
      <w:pPr>
        <w:spacing w:line="360" w:lineRule="auto"/>
        <w:rPr>
          <w:rFonts w:ascii="Century" w:hAnsi="Century"/>
          <w:color w:val="000000" w:themeColor="text1"/>
          <w:sz w:val="18"/>
          <w:szCs w:val="18"/>
          <w:lang w:val="en-US"/>
        </w:rPr>
      </w:pPr>
    </w:p>
    <w:p w14:paraId="142A4CD1" w14:textId="77777777" w:rsidR="006042A2" w:rsidRDefault="006042A2" w:rsidP="00BB1A16">
      <w:pPr>
        <w:spacing w:line="360" w:lineRule="auto"/>
        <w:rPr>
          <w:rFonts w:ascii="Century" w:hAnsi="Century"/>
          <w:color w:val="000000" w:themeColor="text1"/>
          <w:sz w:val="18"/>
          <w:szCs w:val="18"/>
          <w:lang w:val="en-US"/>
        </w:rPr>
      </w:pPr>
    </w:p>
    <w:p w14:paraId="1E89F366" w14:textId="77777777" w:rsidR="00604923" w:rsidRDefault="00604923" w:rsidP="00BB1A16">
      <w:pPr>
        <w:spacing w:line="360" w:lineRule="auto"/>
        <w:rPr>
          <w:rFonts w:ascii="Century" w:hAnsi="Century"/>
          <w:color w:val="000000" w:themeColor="text1"/>
          <w:sz w:val="18"/>
          <w:szCs w:val="18"/>
          <w:lang w:val="en-US"/>
        </w:rPr>
      </w:pPr>
    </w:p>
    <w:p w14:paraId="1301C34E" w14:textId="23FCA32D" w:rsidR="00785182" w:rsidRDefault="00785182" w:rsidP="00CB6D92">
      <w:pPr>
        <w:spacing w:line="360" w:lineRule="auto"/>
        <w:ind w:firstLine="708"/>
        <w:jc w:val="center"/>
        <w:rPr>
          <w:rFonts w:ascii="Century" w:hAnsi="Century"/>
          <w:color w:val="000000" w:themeColor="text1"/>
          <w:sz w:val="18"/>
          <w:szCs w:val="18"/>
          <w:lang w:val="en-US"/>
        </w:rPr>
      </w:pPr>
      <w:r>
        <w:rPr>
          <w:rFonts w:ascii="Century" w:hAnsi="Century"/>
          <w:color w:val="000000" w:themeColor="text1"/>
          <w:sz w:val="18"/>
          <w:szCs w:val="18"/>
          <w:lang w:val="en-US"/>
        </w:rPr>
        <w:t xml:space="preserve">DISCLAIMER </w:t>
      </w:r>
      <w:r w:rsidR="00782502">
        <w:rPr>
          <w:rFonts w:ascii="Century" w:hAnsi="Century"/>
          <w:color w:val="000000" w:themeColor="text1"/>
          <w:sz w:val="18"/>
          <w:szCs w:val="18"/>
          <w:lang w:val="en-US"/>
        </w:rPr>
        <w:t>ON THE</w:t>
      </w:r>
      <w:r>
        <w:rPr>
          <w:rFonts w:ascii="Century" w:hAnsi="Century"/>
          <w:color w:val="000000" w:themeColor="text1"/>
          <w:sz w:val="18"/>
          <w:szCs w:val="18"/>
          <w:lang w:val="en-US"/>
        </w:rPr>
        <w:t xml:space="preserve"> USE</w:t>
      </w:r>
      <w:r w:rsidR="00CB6D92">
        <w:rPr>
          <w:rFonts w:ascii="Century" w:hAnsi="Century"/>
          <w:color w:val="000000" w:themeColor="text1"/>
          <w:sz w:val="18"/>
          <w:szCs w:val="18"/>
          <w:lang w:val="en-US"/>
        </w:rPr>
        <w:t xml:space="preserve"> OF AI</w:t>
      </w:r>
    </w:p>
    <w:p w14:paraId="201790C0" w14:textId="77777777" w:rsidR="005D1AD0" w:rsidRPr="00785182" w:rsidRDefault="005D1AD0" w:rsidP="000660C3">
      <w:pPr>
        <w:spacing w:line="360" w:lineRule="auto"/>
        <w:ind w:firstLine="708"/>
        <w:jc w:val="both"/>
        <w:rPr>
          <w:rFonts w:ascii="Century" w:hAnsi="Century"/>
          <w:color w:val="000000" w:themeColor="text1"/>
          <w:sz w:val="16"/>
          <w:szCs w:val="16"/>
          <w:lang w:val="en-US"/>
        </w:rPr>
      </w:pPr>
    </w:p>
    <w:p w14:paraId="21CAE519" w14:textId="597A9CFA" w:rsidR="00A9332D" w:rsidRPr="000660C3" w:rsidRDefault="00785182" w:rsidP="00604923">
      <w:pPr>
        <w:spacing w:line="360" w:lineRule="auto"/>
        <w:ind w:firstLine="708"/>
        <w:jc w:val="both"/>
        <w:rPr>
          <w:rFonts w:ascii="Century" w:hAnsi="Century"/>
          <w:color w:val="000000" w:themeColor="text1"/>
          <w:sz w:val="18"/>
          <w:szCs w:val="18"/>
          <w:lang w:val="en-US"/>
        </w:rPr>
      </w:pPr>
      <w:r w:rsidRPr="00785182">
        <w:rPr>
          <w:rFonts w:ascii="Century" w:hAnsi="Century"/>
          <w:sz w:val="22"/>
          <w:szCs w:val="22"/>
          <w:lang w:val="en-US"/>
        </w:rPr>
        <w:t xml:space="preserve">Generative AI (Claude, Anthropic) assisted in writing and revising the R code for this paper's empirical pipeline, including sample construction, event-study CAR calculations, portfolio sorts, and regression specifications. It also helped construct </w:t>
      </w:r>
      <w:r w:rsidR="00782502">
        <w:rPr>
          <w:rFonts w:ascii="Century" w:hAnsi="Century"/>
          <w:sz w:val="22"/>
          <w:szCs w:val="22"/>
          <w:lang w:val="en-US"/>
        </w:rPr>
        <w:t xml:space="preserve">the </w:t>
      </w:r>
      <w:r w:rsidRPr="00785182">
        <w:rPr>
          <w:rFonts w:ascii="Century" w:hAnsi="Century"/>
          <w:sz w:val="22"/>
          <w:szCs w:val="22"/>
          <w:lang w:val="en-US"/>
        </w:rPr>
        <w:t xml:space="preserve">placebo and significance tests and cross-check </w:t>
      </w:r>
      <w:r w:rsidR="00782502">
        <w:rPr>
          <w:rFonts w:ascii="Century" w:hAnsi="Century"/>
          <w:sz w:val="22"/>
          <w:szCs w:val="22"/>
          <w:lang w:val="en-US"/>
        </w:rPr>
        <w:t xml:space="preserve">our </w:t>
      </w:r>
      <w:r w:rsidRPr="00785182">
        <w:rPr>
          <w:rFonts w:ascii="Century" w:hAnsi="Century"/>
          <w:sz w:val="22"/>
          <w:szCs w:val="22"/>
          <w:lang w:val="en-US"/>
        </w:rPr>
        <w:t xml:space="preserve">methodological choices against the </w:t>
      </w:r>
      <w:r w:rsidR="006912BC">
        <w:rPr>
          <w:rFonts w:ascii="Century" w:hAnsi="Century"/>
          <w:sz w:val="22"/>
          <w:szCs w:val="22"/>
          <w:lang w:val="en-US"/>
        </w:rPr>
        <w:t>Eisfeldt et al.</w:t>
      </w:r>
      <w:r w:rsidRPr="00785182">
        <w:rPr>
          <w:rFonts w:ascii="Century" w:hAnsi="Century"/>
          <w:sz w:val="22"/>
          <w:szCs w:val="22"/>
          <w:lang w:val="en-US"/>
        </w:rPr>
        <w:t xml:space="preserve"> paper. All research design decisions, code review, and interpretation of results are </w:t>
      </w:r>
      <w:r w:rsidR="006912BC">
        <w:rPr>
          <w:rFonts w:ascii="Century" w:hAnsi="Century"/>
          <w:sz w:val="22"/>
          <w:szCs w:val="22"/>
          <w:lang w:val="en-US"/>
        </w:rPr>
        <w:t>our</w:t>
      </w:r>
      <w:r w:rsidRPr="00785182">
        <w:rPr>
          <w:rFonts w:ascii="Century" w:hAnsi="Century"/>
          <w:sz w:val="22"/>
          <w:szCs w:val="22"/>
          <w:lang w:val="en-US"/>
        </w:rPr>
        <w:t xml:space="preserve"> own. The AI</w:t>
      </w:r>
      <w:r w:rsidR="00A467DE">
        <w:rPr>
          <w:rFonts w:ascii="Century" w:hAnsi="Century"/>
          <w:sz w:val="22"/>
          <w:szCs w:val="22"/>
          <w:lang w:val="en-US"/>
        </w:rPr>
        <w:t xml:space="preserve"> model also</w:t>
      </w:r>
      <w:r w:rsidRPr="00785182">
        <w:rPr>
          <w:rFonts w:ascii="Century" w:hAnsi="Century"/>
          <w:sz w:val="22"/>
          <w:szCs w:val="22"/>
          <w:lang w:val="en-US"/>
        </w:rPr>
        <w:t xml:space="preserve"> had no independent access to the data </w:t>
      </w:r>
      <w:r w:rsidR="00A467DE">
        <w:rPr>
          <w:rFonts w:ascii="Century" w:hAnsi="Century"/>
          <w:sz w:val="22"/>
          <w:szCs w:val="22"/>
          <w:lang w:val="en-US"/>
        </w:rPr>
        <w:t>and</w:t>
      </w:r>
      <w:r w:rsidRPr="00785182">
        <w:rPr>
          <w:rFonts w:ascii="Century" w:hAnsi="Century"/>
          <w:sz w:val="22"/>
          <w:szCs w:val="22"/>
          <w:lang w:val="en-US"/>
        </w:rPr>
        <w:t xml:space="preserve"> did not generate or verify any findings</w:t>
      </w:r>
      <w:r w:rsidR="00A467DE">
        <w:rPr>
          <w:rFonts w:ascii="Century" w:hAnsi="Century"/>
          <w:sz w:val="22"/>
          <w:szCs w:val="22"/>
          <w:lang w:val="en-US"/>
        </w:rPr>
        <w:t xml:space="preserve"> directly</w:t>
      </w:r>
      <w:r w:rsidRPr="00785182">
        <w:rPr>
          <w:lang w:val="en-US"/>
        </w:rPr>
        <w:t>.</w:t>
      </w:r>
    </w:p>
    <w:sectPr w:rsidR="00A9332D" w:rsidRPr="000660C3" w:rsidSect="00860E87">
      <w:headerReference w:type="even" r:id="rId12"/>
      <w:headerReference w:type="default" r:id="rId13"/>
      <w:footerReference w:type="even" r:id="rId14"/>
      <w:footerReference w:type="default" r:id="rId15"/>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513DBC" w14:textId="77777777" w:rsidR="000F7BDE" w:rsidRDefault="000F7BDE" w:rsidP="00933EC9">
      <w:r>
        <w:separator/>
      </w:r>
    </w:p>
  </w:endnote>
  <w:endnote w:type="continuationSeparator" w:id="0">
    <w:p w14:paraId="203388F3" w14:textId="77777777" w:rsidR="000F7BDE" w:rsidRDefault="000F7BDE" w:rsidP="00933E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w:panose1 w:val="02040604050505020304"/>
    <w:charset w:val="00"/>
    <w:family w:val="roman"/>
    <w:pitch w:val="variable"/>
    <w:sig w:usb0="00000287" w:usb1="00000000" w:usb2="00000000" w:usb3="00000000" w:csb0="0000009F" w:csb1="00000000"/>
  </w:font>
  <w:font w:name="Big Caslon Medium">
    <w:altName w:val="BIG CASLON MEDIUM"/>
    <w:panose1 w:val="02000603090000020003"/>
    <w:charset w:val="B1"/>
    <w:family w:val="auto"/>
    <w:pitch w:val="variable"/>
    <w:sig w:usb0="80000863" w:usb1="00000000" w:usb2="00000000" w:usb3="00000000" w:csb0="000001FB"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00876891"/>
      <w:docPartObj>
        <w:docPartGallery w:val="Page Numbers (Bottom of Page)"/>
        <w:docPartUnique/>
      </w:docPartObj>
    </w:sdtPr>
    <w:sdtContent>
      <w:p w14:paraId="6E716220" w14:textId="1B6DD27F" w:rsidR="00933EC9" w:rsidRDefault="00933EC9" w:rsidP="007E5566">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0240492" w14:textId="77777777" w:rsidR="00933EC9" w:rsidRDefault="00933EC9" w:rsidP="00933EC9">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F011C" w14:textId="77777777" w:rsidR="00933EC9" w:rsidRDefault="00933EC9" w:rsidP="00933EC9">
    <w:pPr>
      <w:pStyle w:val="Rodap"/>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3080F" w14:textId="77777777" w:rsidR="000F7BDE" w:rsidRDefault="000F7BDE" w:rsidP="00933EC9">
      <w:r>
        <w:separator/>
      </w:r>
    </w:p>
  </w:footnote>
  <w:footnote w:type="continuationSeparator" w:id="0">
    <w:p w14:paraId="027DA6ED" w14:textId="77777777" w:rsidR="000F7BDE" w:rsidRDefault="000F7BDE" w:rsidP="00933E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435905770"/>
      <w:docPartObj>
        <w:docPartGallery w:val="Page Numbers (Top of Page)"/>
        <w:docPartUnique/>
      </w:docPartObj>
    </w:sdtPr>
    <w:sdtContent>
      <w:p w14:paraId="65377389" w14:textId="2364F474" w:rsidR="00933EC9" w:rsidRDefault="00933EC9" w:rsidP="007E5566">
        <w:pPr>
          <w:pStyle w:val="Cabealh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82E9BFD" w14:textId="77777777" w:rsidR="00933EC9" w:rsidRDefault="00933EC9" w:rsidP="00933EC9">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Fonts w:ascii="Century" w:hAnsi="Century"/>
        <w:sz w:val="20"/>
        <w:szCs w:val="20"/>
      </w:rPr>
      <w:id w:val="98689731"/>
      <w:docPartObj>
        <w:docPartGallery w:val="Page Numbers (Top of Page)"/>
        <w:docPartUnique/>
      </w:docPartObj>
    </w:sdtPr>
    <w:sdtContent>
      <w:p w14:paraId="033AB940" w14:textId="61630F7C" w:rsidR="00933EC9" w:rsidRPr="00933EC9" w:rsidRDefault="00933EC9" w:rsidP="005F0F1B">
        <w:pPr>
          <w:pStyle w:val="Cabealho"/>
          <w:framePr w:wrap="none" w:vAnchor="text" w:hAnchor="page" w:x="10537" w:y="-15"/>
          <w:rPr>
            <w:rStyle w:val="Nmerodepgina"/>
            <w:rFonts w:ascii="Century" w:hAnsi="Century"/>
            <w:sz w:val="20"/>
            <w:szCs w:val="20"/>
          </w:rPr>
        </w:pPr>
        <w:r w:rsidRPr="005F0F1B">
          <w:rPr>
            <w:rStyle w:val="Nmerodepgina"/>
            <w:rFonts w:ascii="Century" w:hAnsi="Century"/>
            <w:sz w:val="18"/>
            <w:szCs w:val="18"/>
          </w:rPr>
          <w:fldChar w:fldCharType="begin"/>
        </w:r>
        <w:r w:rsidRPr="005F0F1B">
          <w:rPr>
            <w:rStyle w:val="Nmerodepgina"/>
            <w:rFonts w:ascii="Century" w:hAnsi="Century"/>
            <w:sz w:val="18"/>
            <w:szCs w:val="18"/>
          </w:rPr>
          <w:instrText xml:space="preserve"> PAGE </w:instrText>
        </w:r>
        <w:r w:rsidRPr="005F0F1B">
          <w:rPr>
            <w:rStyle w:val="Nmerodepgina"/>
            <w:rFonts w:ascii="Century" w:hAnsi="Century"/>
            <w:sz w:val="18"/>
            <w:szCs w:val="18"/>
          </w:rPr>
          <w:fldChar w:fldCharType="separate"/>
        </w:r>
        <w:r w:rsidRPr="005F0F1B">
          <w:rPr>
            <w:rStyle w:val="Nmerodepgina"/>
            <w:rFonts w:ascii="Century" w:hAnsi="Century"/>
            <w:noProof/>
            <w:sz w:val="18"/>
            <w:szCs w:val="18"/>
          </w:rPr>
          <w:t>2</w:t>
        </w:r>
        <w:r w:rsidRPr="005F0F1B">
          <w:rPr>
            <w:rStyle w:val="Nmerodepgina"/>
            <w:rFonts w:ascii="Century" w:hAnsi="Century"/>
            <w:sz w:val="18"/>
            <w:szCs w:val="18"/>
          </w:rPr>
          <w:fldChar w:fldCharType="end"/>
        </w:r>
      </w:p>
    </w:sdtContent>
  </w:sdt>
  <w:p w14:paraId="2EEC8DC9" w14:textId="524666EB" w:rsidR="00933EC9" w:rsidRPr="00933EC9" w:rsidRDefault="00933EC9" w:rsidP="00933EC9">
    <w:pPr>
      <w:spacing w:line="264" w:lineRule="auto"/>
      <w:ind w:right="360"/>
      <w:jc w:val="center"/>
      <w:rPr>
        <w:rFonts w:ascii="Century" w:hAnsi="Century" w:cs="Big Caslon Medium"/>
        <w:sz w:val="16"/>
        <w:szCs w:val="16"/>
        <w:lang w:val="en-US"/>
      </w:rPr>
    </w:pPr>
    <w:r w:rsidRPr="00933EC9">
      <w:rPr>
        <w:rFonts w:ascii="Century" w:hAnsi="Century" w:cs="Big Caslon Medium"/>
        <w:sz w:val="16"/>
        <w:szCs w:val="16"/>
        <w:lang w:val="en-US"/>
      </w:rPr>
      <w:t>CLÉMENT LEGRAND, CLOÉ DELLAC, LOUIS BLONDEAU, MARGUERITE AYMON, TIAGO</w:t>
    </w:r>
    <w:r w:rsidR="00915FED">
      <w:rPr>
        <w:rFonts w:ascii="Century" w:hAnsi="Century" w:cs="Big Caslon Medium"/>
        <w:sz w:val="16"/>
        <w:szCs w:val="16"/>
        <w:lang w:val="en-US"/>
      </w:rPr>
      <w:t xml:space="preserve"> B. </w:t>
    </w:r>
    <w:r w:rsidRPr="00933EC9">
      <w:rPr>
        <w:rFonts w:ascii="Century" w:hAnsi="Century" w:cs="Big Caslon Medium"/>
        <w:sz w:val="16"/>
        <w:szCs w:val="16"/>
        <w:lang w:val="en-US"/>
      </w:rPr>
      <w:t>LOPES</w:t>
    </w:r>
  </w:p>
  <w:p w14:paraId="320B76CF" w14:textId="77777777" w:rsidR="00933EC9" w:rsidRDefault="00933E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439B6"/>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4DF31650"/>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663C4D3E"/>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6E3002B9"/>
    <w:multiLevelType w:val="hybridMultilevel"/>
    <w:tmpl w:val="3A3C6442"/>
    <w:lvl w:ilvl="0" w:tplc="BE5C526A">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4" w15:restartNumberingAfterBreak="0">
    <w:nsid w:val="7CCE4715"/>
    <w:multiLevelType w:val="multilevel"/>
    <w:tmpl w:val="57720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B5522F"/>
    <w:multiLevelType w:val="hybridMultilevel"/>
    <w:tmpl w:val="43E8B22E"/>
    <w:lvl w:ilvl="0" w:tplc="FD380A9C">
      <w:start w:val="5"/>
      <w:numFmt w:val="decimal"/>
      <w:lvlText w:val="%1."/>
      <w:lvlJc w:val="left"/>
      <w:pPr>
        <w:ind w:left="720" w:hanging="360"/>
      </w:pPr>
      <w:rPr>
        <w:rFonts w:hint="default"/>
        <w:sz w:val="22"/>
        <w:szCs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4281985">
    <w:abstractNumId w:val="3"/>
  </w:num>
  <w:num w:numId="2" w16cid:durableId="64618619">
    <w:abstractNumId w:val="2"/>
  </w:num>
  <w:num w:numId="3" w16cid:durableId="1019240330">
    <w:abstractNumId w:val="0"/>
  </w:num>
  <w:num w:numId="4" w16cid:durableId="1057512825">
    <w:abstractNumId w:val="1"/>
  </w:num>
  <w:num w:numId="5" w16cid:durableId="119079719">
    <w:abstractNumId w:val="4"/>
  </w:num>
  <w:num w:numId="6" w16cid:durableId="14330895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3ED"/>
    <w:rsid w:val="00005935"/>
    <w:rsid w:val="000153ED"/>
    <w:rsid w:val="000276B5"/>
    <w:rsid w:val="0003421E"/>
    <w:rsid w:val="00043A71"/>
    <w:rsid w:val="00046FBB"/>
    <w:rsid w:val="00056838"/>
    <w:rsid w:val="000606A4"/>
    <w:rsid w:val="00061A1A"/>
    <w:rsid w:val="000657C9"/>
    <w:rsid w:val="000660C3"/>
    <w:rsid w:val="00082CFD"/>
    <w:rsid w:val="00084930"/>
    <w:rsid w:val="0008652B"/>
    <w:rsid w:val="00087CF9"/>
    <w:rsid w:val="000A0148"/>
    <w:rsid w:val="000A1D3E"/>
    <w:rsid w:val="000B6917"/>
    <w:rsid w:val="000C6321"/>
    <w:rsid w:val="000C6555"/>
    <w:rsid w:val="000C69CA"/>
    <w:rsid w:val="000D0FA8"/>
    <w:rsid w:val="000D1A03"/>
    <w:rsid w:val="000D6E60"/>
    <w:rsid w:val="000F74AC"/>
    <w:rsid w:val="000F7BDE"/>
    <w:rsid w:val="00100FEE"/>
    <w:rsid w:val="00101DA0"/>
    <w:rsid w:val="00106819"/>
    <w:rsid w:val="0012529E"/>
    <w:rsid w:val="001310F7"/>
    <w:rsid w:val="00131194"/>
    <w:rsid w:val="00141B7E"/>
    <w:rsid w:val="00151520"/>
    <w:rsid w:val="00155DF2"/>
    <w:rsid w:val="001569F7"/>
    <w:rsid w:val="0016039C"/>
    <w:rsid w:val="0016317F"/>
    <w:rsid w:val="001703B7"/>
    <w:rsid w:val="001802E6"/>
    <w:rsid w:val="00190381"/>
    <w:rsid w:val="001A3954"/>
    <w:rsid w:val="001D3EBB"/>
    <w:rsid w:val="001D6475"/>
    <w:rsid w:val="001E6CB5"/>
    <w:rsid w:val="001F7289"/>
    <w:rsid w:val="00202AC2"/>
    <w:rsid w:val="0020304C"/>
    <w:rsid w:val="00205711"/>
    <w:rsid w:val="00211415"/>
    <w:rsid w:val="00222455"/>
    <w:rsid w:val="00224801"/>
    <w:rsid w:val="00224BBC"/>
    <w:rsid w:val="0023029F"/>
    <w:rsid w:val="00235E00"/>
    <w:rsid w:val="00247F26"/>
    <w:rsid w:val="00253DE2"/>
    <w:rsid w:val="002608CA"/>
    <w:rsid w:val="00261529"/>
    <w:rsid w:val="00261B78"/>
    <w:rsid w:val="0026207B"/>
    <w:rsid w:val="00264E62"/>
    <w:rsid w:val="00267342"/>
    <w:rsid w:val="002738CF"/>
    <w:rsid w:val="00277484"/>
    <w:rsid w:val="002A22B9"/>
    <w:rsid w:val="002A3817"/>
    <w:rsid w:val="002B71A6"/>
    <w:rsid w:val="002B7DE3"/>
    <w:rsid w:val="002C3D78"/>
    <w:rsid w:val="002D10A3"/>
    <w:rsid w:val="002F7900"/>
    <w:rsid w:val="00300E93"/>
    <w:rsid w:val="0030168A"/>
    <w:rsid w:val="00305939"/>
    <w:rsid w:val="0030718C"/>
    <w:rsid w:val="003164E5"/>
    <w:rsid w:val="00320D7D"/>
    <w:rsid w:val="003262F5"/>
    <w:rsid w:val="003270CA"/>
    <w:rsid w:val="00330F3E"/>
    <w:rsid w:val="00335281"/>
    <w:rsid w:val="00351031"/>
    <w:rsid w:val="0035158B"/>
    <w:rsid w:val="00352965"/>
    <w:rsid w:val="00357094"/>
    <w:rsid w:val="00361272"/>
    <w:rsid w:val="003630EB"/>
    <w:rsid w:val="00365C66"/>
    <w:rsid w:val="0036785F"/>
    <w:rsid w:val="00367A5F"/>
    <w:rsid w:val="00373025"/>
    <w:rsid w:val="00377ED0"/>
    <w:rsid w:val="003829BD"/>
    <w:rsid w:val="00385C77"/>
    <w:rsid w:val="00394098"/>
    <w:rsid w:val="0039460C"/>
    <w:rsid w:val="00396DFE"/>
    <w:rsid w:val="003A51F5"/>
    <w:rsid w:val="003A6DD7"/>
    <w:rsid w:val="003B18D0"/>
    <w:rsid w:val="003B234B"/>
    <w:rsid w:val="003B6DEC"/>
    <w:rsid w:val="003C0269"/>
    <w:rsid w:val="003C282A"/>
    <w:rsid w:val="003C3C18"/>
    <w:rsid w:val="003C5EF0"/>
    <w:rsid w:val="003C6156"/>
    <w:rsid w:val="003C7BB5"/>
    <w:rsid w:val="003D43C6"/>
    <w:rsid w:val="003F4D8E"/>
    <w:rsid w:val="00406D25"/>
    <w:rsid w:val="0041271D"/>
    <w:rsid w:val="00412F5E"/>
    <w:rsid w:val="00417CDD"/>
    <w:rsid w:val="00421A22"/>
    <w:rsid w:val="00427BDB"/>
    <w:rsid w:val="0047210E"/>
    <w:rsid w:val="004774FE"/>
    <w:rsid w:val="00484F90"/>
    <w:rsid w:val="00486DFC"/>
    <w:rsid w:val="00487875"/>
    <w:rsid w:val="00492ED3"/>
    <w:rsid w:val="00495E5B"/>
    <w:rsid w:val="0049791E"/>
    <w:rsid w:val="004B7C5C"/>
    <w:rsid w:val="004C3CB7"/>
    <w:rsid w:val="004C76FB"/>
    <w:rsid w:val="004C7905"/>
    <w:rsid w:val="004D2907"/>
    <w:rsid w:val="004D2AFD"/>
    <w:rsid w:val="004E1388"/>
    <w:rsid w:val="004E4A30"/>
    <w:rsid w:val="004F0336"/>
    <w:rsid w:val="004F3F21"/>
    <w:rsid w:val="004F4428"/>
    <w:rsid w:val="005008A5"/>
    <w:rsid w:val="00502E9F"/>
    <w:rsid w:val="00511F71"/>
    <w:rsid w:val="00512664"/>
    <w:rsid w:val="00517D52"/>
    <w:rsid w:val="005304C0"/>
    <w:rsid w:val="00531708"/>
    <w:rsid w:val="00532C05"/>
    <w:rsid w:val="005369F8"/>
    <w:rsid w:val="00536B7B"/>
    <w:rsid w:val="00536E82"/>
    <w:rsid w:val="00573925"/>
    <w:rsid w:val="00574848"/>
    <w:rsid w:val="00586515"/>
    <w:rsid w:val="00591AF8"/>
    <w:rsid w:val="00595283"/>
    <w:rsid w:val="005962E9"/>
    <w:rsid w:val="005978B4"/>
    <w:rsid w:val="005B1F35"/>
    <w:rsid w:val="005B3AAA"/>
    <w:rsid w:val="005D1AD0"/>
    <w:rsid w:val="005D2984"/>
    <w:rsid w:val="005D4107"/>
    <w:rsid w:val="005E4DDB"/>
    <w:rsid w:val="005E74AC"/>
    <w:rsid w:val="005F0F1B"/>
    <w:rsid w:val="006006A2"/>
    <w:rsid w:val="006042A2"/>
    <w:rsid w:val="00604923"/>
    <w:rsid w:val="00617CE0"/>
    <w:rsid w:val="00632153"/>
    <w:rsid w:val="00633586"/>
    <w:rsid w:val="006353D6"/>
    <w:rsid w:val="00637F12"/>
    <w:rsid w:val="00642F98"/>
    <w:rsid w:val="0064570C"/>
    <w:rsid w:val="00645EE5"/>
    <w:rsid w:val="006574E2"/>
    <w:rsid w:val="00660755"/>
    <w:rsid w:val="0066634F"/>
    <w:rsid w:val="00690F22"/>
    <w:rsid w:val="006912BC"/>
    <w:rsid w:val="006920EB"/>
    <w:rsid w:val="006964EF"/>
    <w:rsid w:val="006A0619"/>
    <w:rsid w:val="006A6EC1"/>
    <w:rsid w:val="006A728C"/>
    <w:rsid w:val="006C4FD7"/>
    <w:rsid w:val="006C62BF"/>
    <w:rsid w:val="006D2B7E"/>
    <w:rsid w:val="006D2CF9"/>
    <w:rsid w:val="006E0B1A"/>
    <w:rsid w:val="006E271B"/>
    <w:rsid w:val="006E739E"/>
    <w:rsid w:val="00710ACE"/>
    <w:rsid w:val="00711062"/>
    <w:rsid w:val="00711BCD"/>
    <w:rsid w:val="007210CC"/>
    <w:rsid w:val="007228EF"/>
    <w:rsid w:val="00726DB7"/>
    <w:rsid w:val="00735D82"/>
    <w:rsid w:val="0074441E"/>
    <w:rsid w:val="007625D1"/>
    <w:rsid w:val="00763710"/>
    <w:rsid w:val="0076539A"/>
    <w:rsid w:val="00766435"/>
    <w:rsid w:val="00777454"/>
    <w:rsid w:val="007778B4"/>
    <w:rsid w:val="00782502"/>
    <w:rsid w:val="00783BF5"/>
    <w:rsid w:val="00784F47"/>
    <w:rsid w:val="00785182"/>
    <w:rsid w:val="00791736"/>
    <w:rsid w:val="007A0036"/>
    <w:rsid w:val="007A7F31"/>
    <w:rsid w:val="007C0371"/>
    <w:rsid w:val="007C6235"/>
    <w:rsid w:val="007D0342"/>
    <w:rsid w:val="007D5DFC"/>
    <w:rsid w:val="007E4732"/>
    <w:rsid w:val="007F0DE9"/>
    <w:rsid w:val="007F73D4"/>
    <w:rsid w:val="007F7EB4"/>
    <w:rsid w:val="00801B7F"/>
    <w:rsid w:val="0081548B"/>
    <w:rsid w:val="00822131"/>
    <w:rsid w:val="00834EA4"/>
    <w:rsid w:val="00840C7B"/>
    <w:rsid w:val="00843F87"/>
    <w:rsid w:val="00846194"/>
    <w:rsid w:val="00847ABC"/>
    <w:rsid w:val="00860E3F"/>
    <w:rsid w:val="00860E87"/>
    <w:rsid w:val="0086402C"/>
    <w:rsid w:val="0087038F"/>
    <w:rsid w:val="008708D0"/>
    <w:rsid w:val="00884331"/>
    <w:rsid w:val="00884603"/>
    <w:rsid w:val="00884DE4"/>
    <w:rsid w:val="00892269"/>
    <w:rsid w:val="008A48C6"/>
    <w:rsid w:val="008B517D"/>
    <w:rsid w:val="008C644C"/>
    <w:rsid w:val="008D3AA2"/>
    <w:rsid w:val="008D5431"/>
    <w:rsid w:val="008E074F"/>
    <w:rsid w:val="008E740F"/>
    <w:rsid w:val="008F696E"/>
    <w:rsid w:val="009030FF"/>
    <w:rsid w:val="00905B57"/>
    <w:rsid w:val="009068C5"/>
    <w:rsid w:val="00910441"/>
    <w:rsid w:val="00910FB3"/>
    <w:rsid w:val="00915FED"/>
    <w:rsid w:val="00930298"/>
    <w:rsid w:val="00930F01"/>
    <w:rsid w:val="0093294C"/>
    <w:rsid w:val="00933EC9"/>
    <w:rsid w:val="009637AB"/>
    <w:rsid w:val="00965A84"/>
    <w:rsid w:val="00972139"/>
    <w:rsid w:val="00982B84"/>
    <w:rsid w:val="00986A7D"/>
    <w:rsid w:val="0099297B"/>
    <w:rsid w:val="009B232F"/>
    <w:rsid w:val="009B31BE"/>
    <w:rsid w:val="009B57EB"/>
    <w:rsid w:val="009C7696"/>
    <w:rsid w:val="009D0867"/>
    <w:rsid w:val="009D1C42"/>
    <w:rsid w:val="009D493F"/>
    <w:rsid w:val="009E0CC3"/>
    <w:rsid w:val="009E1957"/>
    <w:rsid w:val="009F4583"/>
    <w:rsid w:val="00A1112B"/>
    <w:rsid w:val="00A24170"/>
    <w:rsid w:val="00A27951"/>
    <w:rsid w:val="00A32FE7"/>
    <w:rsid w:val="00A3682F"/>
    <w:rsid w:val="00A37E07"/>
    <w:rsid w:val="00A43FC9"/>
    <w:rsid w:val="00A4464A"/>
    <w:rsid w:val="00A467DE"/>
    <w:rsid w:val="00A60701"/>
    <w:rsid w:val="00A638FE"/>
    <w:rsid w:val="00A65256"/>
    <w:rsid w:val="00A66F6B"/>
    <w:rsid w:val="00A716AF"/>
    <w:rsid w:val="00A77831"/>
    <w:rsid w:val="00A81BDA"/>
    <w:rsid w:val="00A83F10"/>
    <w:rsid w:val="00A84DF4"/>
    <w:rsid w:val="00A858B8"/>
    <w:rsid w:val="00A90B48"/>
    <w:rsid w:val="00A9332D"/>
    <w:rsid w:val="00AA1AEF"/>
    <w:rsid w:val="00AB2309"/>
    <w:rsid w:val="00AC3704"/>
    <w:rsid w:val="00AC4DCE"/>
    <w:rsid w:val="00AC4E2B"/>
    <w:rsid w:val="00AD161C"/>
    <w:rsid w:val="00AF2699"/>
    <w:rsid w:val="00AF54A4"/>
    <w:rsid w:val="00B038C1"/>
    <w:rsid w:val="00B04AE7"/>
    <w:rsid w:val="00B04F3F"/>
    <w:rsid w:val="00B1710D"/>
    <w:rsid w:val="00B20EF9"/>
    <w:rsid w:val="00B23272"/>
    <w:rsid w:val="00B24800"/>
    <w:rsid w:val="00B46678"/>
    <w:rsid w:val="00B5080F"/>
    <w:rsid w:val="00B620B2"/>
    <w:rsid w:val="00B62426"/>
    <w:rsid w:val="00B7621B"/>
    <w:rsid w:val="00B764CA"/>
    <w:rsid w:val="00B76A58"/>
    <w:rsid w:val="00B771FA"/>
    <w:rsid w:val="00B93403"/>
    <w:rsid w:val="00B94162"/>
    <w:rsid w:val="00BA64ED"/>
    <w:rsid w:val="00BB1A16"/>
    <w:rsid w:val="00BB40D1"/>
    <w:rsid w:val="00BE431E"/>
    <w:rsid w:val="00C014C6"/>
    <w:rsid w:val="00C14FFA"/>
    <w:rsid w:val="00C23E9F"/>
    <w:rsid w:val="00C27A77"/>
    <w:rsid w:val="00C3304D"/>
    <w:rsid w:val="00C41480"/>
    <w:rsid w:val="00C417F0"/>
    <w:rsid w:val="00C469F8"/>
    <w:rsid w:val="00C53710"/>
    <w:rsid w:val="00C569CA"/>
    <w:rsid w:val="00C57F90"/>
    <w:rsid w:val="00C700A8"/>
    <w:rsid w:val="00C70C0C"/>
    <w:rsid w:val="00C80F05"/>
    <w:rsid w:val="00C901D2"/>
    <w:rsid w:val="00C95180"/>
    <w:rsid w:val="00CA4573"/>
    <w:rsid w:val="00CB08CC"/>
    <w:rsid w:val="00CB6D92"/>
    <w:rsid w:val="00CC0A30"/>
    <w:rsid w:val="00CD387A"/>
    <w:rsid w:val="00CF1E2D"/>
    <w:rsid w:val="00CF2BC1"/>
    <w:rsid w:val="00D04648"/>
    <w:rsid w:val="00D11C44"/>
    <w:rsid w:val="00D21CA1"/>
    <w:rsid w:val="00D25819"/>
    <w:rsid w:val="00D25CEE"/>
    <w:rsid w:val="00D440B9"/>
    <w:rsid w:val="00D45C3D"/>
    <w:rsid w:val="00D507B9"/>
    <w:rsid w:val="00D714EC"/>
    <w:rsid w:val="00D72915"/>
    <w:rsid w:val="00D77EBA"/>
    <w:rsid w:val="00D85924"/>
    <w:rsid w:val="00DB0C49"/>
    <w:rsid w:val="00DB1248"/>
    <w:rsid w:val="00DC07BB"/>
    <w:rsid w:val="00DC73D9"/>
    <w:rsid w:val="00DD10AD"/>
    <w:rsid w:val="00DD23EB"/>
    <w:rsid w:val="00DD2511"/>
    <w:rsid w:val="00DD3F2B"/>
    <w:rsid w:val="00DD6EE1"/>
    <w:rsid w:val="00DE1564"/>
    <w:rsid w:val="00DE1617"/>
    <w:rsid w:val="00DE6FCC"/>
    <w:rsid w:val="00DF7594"/>
    <w:rsid w:val="00E006F6"/>
    <w:rsid w:val="00E02639"/>
    <w:rsid w:val="00E15641"/>
    <w:rsid w:val="00E33DF3"/>
    <w:rsid w:val="00E34852"/>
    <w:rsid w:val="00E42FA9"/>
    <w:rsid w:val="00E45F67"/>
    <w:rsid w:val="00E46E69"/>
    <w:rsid w:val="00E504C6"/>
    <w:rsid w:val="00E67A1D"/>
    <w:rsid w:val="00E738AD"/>
    <w:rsid w:val="00E8211E"/>
    <w:rsid w:val="00E8750B"/>
    <w:rsid w:val="00E908FA"/>
    <w:rsid w:val="00E91543"/>
    <w:rsid w:val="00E92837"/>
    <w:rsid w:val="00E92F38"/>
    <w:rsid w:val="00EA6F63"/>
    <w:rsid w:val="00EB376E"/>
    <w:rsid w:val="00ED3015"/>
    <w:rsid w:val="00EE10AE"/>
    <w:rsid w:val="00EE148C"/>
    <w:rsid w:val="00EE151F"/>
    <w:rsid w:val="00EE74BB"/>
    <w:rsid w:val="00EF22C7"/>
    <w:rsid w:val="00EF4BF8"/>
    <w:rsid w:val="00EF5094"/>
    <w:rsid w:val="00EF5FEA"/>
    <w:rsid w:val="00EF64E3"/>
    <w:rsid w:val="00F013AD"/>
    <w:rsid w:val="00F025D4"/>
    <w:rsid w:val="00F043B6"/>
    <w:rsid w:val="00F06B09"/>
    <w:rsid w:val="00F147FA"/>
    <w:rsid w:val="00F405F5"/>
    <w:rsid w:val="00F414EA"/>
    <w:rsid w:val="00F57A0A"/>
    <w:rsid w:val="00F63896"/>
    <w:rsid w:val="00F655C8"/>
    <w:rsid w:val="00F65EA3"/>
    <w:rsid w:val="00F70213"/>
    <w:rsid w:val="00F7050B"/>
    <w:rsid w:val="00F779B4"/>
    <w:rsid w:val="00F8130C"/>
    <w:rsid w:val="00F81795"/>
    <w:rsid w:val="00F82154"/>
    <w:rsid w:val="00F900D2"/>
    <w:rsid w:val="00F92FF3"/>
    <w:rsid w:val="00FA093E"/>
    <w:rsid w:val="00FA5027"/>
    <w:rsid w:val="00FA72EB"/>
    <w:rsid w:val="00FA7A81"/>
    <w:rsid w:val="00FB363F"/>
    <w:rsid w:val="00FB6365"/>
    <w:rsid w:val="00FB7D9D"/>
    <w:rsid w:val="00FC0314"/>
    <w:rsid w:val="00FC485B"/>
    <w:rsid w:val="00FD1E02"/>
    <w:rsid w:val="00FD2D8B"/>
    <w:rsid w:val="00FF594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65AB2"/>
  <w15:chartTrackingRefBased/>
  <w15:docId w15:val="{2450B609-96CB-A643-A21B-ABC78EB94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4EF"/>
    <w:pPr>
      <w:spacing w:after="0" w:line="240" w:lineRule="auto"/>
    </w:pPr>
    <w:rPr>
      <w:rFonts w:ascii="Times New Roman" w:eastAsia="Times New Roman" w:hAnsi="Times New Roman" w:cs="Times New Roman"/>
      <w:kern w:val="0"/>
      <w:lang w:eastAsia="pt-PT"/>
      <w14:ligatures w14:val="none"/>
    </w:rPr>
  </w:style>
  <w:style w:type="paragraph" w:styleId="Ttulo1">
    <w:name w:val="heading 1"/>
    <w:basedOn w:val="Normal"/>
    <w:next w:val="Normal"/>
    <w:link w:val="Ttulo1Carter"/>
    <w:uiPriority w:val="9"/>
    <w:qFormat/>
    <w:rsid w:val="000153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0153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0153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0153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153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153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153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153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153ED"/>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153E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0153E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0153E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153E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153E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153E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153E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153E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153ED"/>
    <w:rPr>
      <w:rFonts w:eastAsiaTheme="majorEastAsia" w:cstheme="majorBidi"/>
      <w:color w:val="272727" w:themeColor="text1" w:themeTint="D8"/>
    </w:rPr>
  </w:style>
  <w:style w:type="paragraph" w:styleId="Ttulo">
    <w:name w:val="Title"/>
    <w:basedOn w:val="Normal"/>
    <w:next w:val="Normal"/>
    <w:link w:val="TtuloCarter"/>
    <w:uiPriority w:val="10"/>
    <w:qFormat/>
    <w:rsid w:val="000153ED"/>
    <w:pPr>
      <w:spacing w:after="80"/>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153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153E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153E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153E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153ED"/>
    <w:rPr>
      <w:i/>
      <w:iCs/>
      <w:color w:val="404040" w:themeColor="text1" w:themeTint="BF"/>
    </w:rPr>
  </w:style>
  <w:style w:type="paragraph" w:styleId="PargrafodaLista">
    <w:name w:val="List Paragraph"/>
    <w:basedOn w:val="Normal"/>
    <w:uiPriority w:val="34"/>
    <w:qFormat/>
    <w:rsid w:val="000153ED"/>
    <w:pPr>
      <w:ind w:left="720"/>
      <w:contextualSpacing/>
    </w:pPr>
  </w:style>
  <w:style w:type="character" w:styleId="nfaseIntensa">
    <w:name w:val="Intense Emphasis"/>
    <w:basedOn w:val="Tipodeletrapredefinidodopargrafo"/>
    <w:uiPriority w:val="21"/>
    <w:qFormat/>
    <w:rsid w:val="000153ED"/>
    <w:rPr>
      <w:i/>
      <w:iCs/>
      <w:color w:val="0F4761" w:themeColor="accent1" w:themeShade="BF"/>
    </w:rPr>
  </w:style>
  <w:style w:type="paragraph" w:styleId="CitaoIntensa">
    <w:name w:val="Intense Quote"/>
    <w:basedOn w:val="Normal"/>
    <w:next w:val="Normal"/>
    <w:link w:val="CitaoIntensaCarter"/>
    <w:uiPriority w:val="30"/>
    <w:qFormat/>
    <w:rsid w:val="000153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153ED"/>
    <w:rPr>
      <w:i/>
      <w:iCs/>
      <w:color w:val="0F4761" w:themeColor="accent1" w:themeShade="BF"/>
    </w:rPr>
  </w:style>
  <w:style w:type="character" w:styleId="RefernciaIntensa">
    <w:name w:val="Intense Reference"/>
    <w:basedOn w:val="Tipodeletrapredefinidodopargrafo"/>
    <w:uiPriority w:val="32"/>
    <w:qFormat/>
    <w:rsid w:val="000153ED"/>
    <w:rPr>
      <w:b/>
      <w:bCs/>
      <w:smallCaps/>
      <w:color w:val="0F4761" w:themeColor="accent1" w:themeShade="BF"/>
      <w:spacing w:val="5"/>
    </w:rPr>
  </w:style>
  <w:style w:type="paragraph" w:styleId="Cabealho">
    <w:name w:val="header"/>
    <w:basedOn w:val="Normal"/>
    <w:link w:val="CabealhoCarter"/>
    <w:uiPriority w:val="99"/>
    <w:unhideWhenUsed/>
    <w:rsid w:val="00933EC9"/>
    <w:pPr>
      <w:tabs>
        <w:tab w:val="center" w:pos="4252"/>
        <w:tab w:val="right" w:pos="8504"/>
      </w:tabs>
    </w:pPr>
  </w:style>
  <w:style w:type="character" w:customStyle="1" w:styleId="CabealhoCarter">
    <w:name w:val="Cabeçalho Caráter"/>
    <w:basedOn w:val="Tipodeletrapredefinidodopargrafo"/>
    <w:link w:val="Cabealho"/>
    <w:uiPriority w:val="99"/>
    <w:rsid w:val="00933EC9"/>
  </w:style>
  <w:style w:type="paragraph" w:styleId="Rodap">
    <w:name w:val="footer"/>
    <w:basedOn w:val="Normal"/>
    <w:link w:val="RodapCarter"/>
    <w:uiPriority w:val="99"/>
    <w:unhideWhenUsed/>
    <w:rsid w:val="00933EC9"/>
    <w:pPr>
      <w:tabs>
        <w:tab w:val="center" w:pos="4252"/>
        <w:tab w:val="right" w:pos="8504"/>
      </w:tabs>
    </w:pPr>
  </w:style>
  <w:style w:type="character" w:customStyle="1" w:styleId="RodapCarter">
    <w:name w:val="Rodapé Caráter"/>
    <w:basedOn w:val="Tipodeletrapredefinidodopargrafo"/>
    <w:link w:val="Rodap"/>
    <w:uiPriority w:val="99"/>
    <w:rsid w:val="00933EC9"/>
  </w:style>
  <w:style w:type="character" w:styleId="Nmerodepgina">
    <w:name w:val="page number"/>
    <w:basedOn w:val="Tipodeletrapredefinidodopargrafo"/>
    <w:uiPriority w:val="99"/>
    <w:semiHidden/>
    <w:unhideWhenUsed/>
    <w:rsid w:val="00933EC9"/>
  </w:style>
  <w:style w:type="paragraph" w:styleId="NormalWeb">
    <w:name w:val="Normal (Web)"/>
    <w:basedOn w:val="Normal"/>
    <w:uiPriority w:val="99"/>
    <w:semiHidden/>
    <w:unhideWhenUsed/>
    <w:rsid w:val="006964EF"/>
    <w:pPr>
      <w:spacing w:before="100" w:beforeAutospacing="1" w:after="100" w:afterAutospacing="1"/>
    </w:pPr>
  </w:style>
  <w:style w:type="character" w:styleId="Hiperligao">
    <w:name w:val="Hyperlink"/>
    <w:basedOn w:val="Tipodeletrapredefinidodopargrafo"/>
    <w:uiPriority w:val="99"/>
    <w:unhideWhenUsed/>
    <w:rsid w:val="00DB1248"/>
    <w:rPr>
      <w:color w:val="0000FF"/>
      <w:u w:val="single"/>
    </w:rPr>
  </w:style>
  <w:style w:type="character" w:styleId="nfase">
    <w:name w:val="Emphasis"/>
    <w:basedOn w:val="Tipodeletrapredefinidodopargrafo"/>
    <w:uiPriority w:val="20"/>
    <w:qFormat/>
    <w:rsid w:val="00784F47"/>
    <w:rPr>
      <w:i/>
      <w:iCs/>
    </w:rPr>
  </w:style>
  <w:style w:type="character" w:customStyle="1" w:styleId="nmq1me">
    <w:name w:val="nmq1me"/>
    <w:basedOn w:val="Tipodeletrapredefinidodopargrafo"/>
    <w:rsid w:val="00784F47"/>
  </w:style>
  <w:style w:type="character" w:styleId="Hiperligaovisitada">
    <w:name w:val="FollowedHyperlink"/>
    <w:basedOn w:val="Tipodeletrapredefinidodopargrafo"/>
    <w:uiPriority w:val="99"/>
    <w:semiHidden/>
    <w:unhideWhenUsed/>
    <w:rsid w:val="00B620B2"/>
    <w:rPr>
      <w:color w:val="96607D" w:themeColor="followedHyperlink"/>
      <w:u w:val="single"/>
    </w:rPr>
  </w:style>
  <w:style w:type="character" w:styleId="MenoNoResolvida">
    <w:name w:val="Unresolved Mention"/>
    <w:basedOn w:val="Tipodeletrapredefinidodopargrafo"/>
    <w:uiPriority w:val="99"/>
    <w:semiHidden/>
    <w:unhideWhenUsed/>
    <w:rsid w:val="00B771FA"/>
    <w:rPr>
      <w:color w:val="605E5C"/>
      <w:shd w:val="clear" w:color="auto" w:fill="E1DFDD"/>
    </w:rPr>
  </w:style>
  <w:style w:type="table" w:styleId="TabelaSimples5">
    <w:name w:val="Plain Table 5"/>
    <w:basedOn w:val="Tabelanormal"/>
    <w:uiPriority w:val="45"/>
    <w:rsid w:val="00FA7A8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SimplesTabela3">
    <w:name w:val="Plain Table 3"/>
    <w:basedOn w:val="Tabelanormal"/>
    <w:uiPriority w:val="43"/>
    <w:rsid w:val="00FA7A8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A7A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1">
    <w:name w:val="Plain Table 1"/>
    <w:basedOn w:val="Tabelanormal"/>
    <w:uiPriority w:val="41"/>
    <w:rsid w:val="00FA7A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A7A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
    <w:name w:val="Table"/>
    <w:semiHidden/>
    <w:unhideWhenUsed/>
    <w:qFormat/>
    <w:rsid w:val="00E91543"/>
    <w:pPr>
      <w:spacing w:after="200" w:line="240" w:lineRule="auto"/>
    </w:pPr>
    <w:rPr>
      <w:rFonts w:eastAsiaTheme="minorEastAsia"/>
      <w:kern w:val="0"/>
      <w:sz w:val="20"/>
      <w:szCs w:val="2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elacomGrelhaClara">
    <w:name w:val="Grid Table Light"/>
    <w:basedOn w:val="Tabelanormal"/>
    <w:uiPriority w:val="40"/>
    <w:rsid w:val="00E9154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elha1Clara">
    <w:name w:val="Grid Table 1 Light"/>
    <w:basedOn w:val="Tabelanormal"/>
    <w:uiPriority w:val="46"/>
    <w:rsid w:val="00E915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comGrelha">
    <w:name w:val="Table Grid"/>
    <w:basedOn w:val="Tabelanormal"/>
    <w:uiPriority w:val="39"/>
    <w:rsid w:val="00A93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rds-www.wharton.upenn.edu/"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mba.tuck.dartmouth.edu/pages/faculty/ken.french/data_librar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D4446-C07A-6045-A83F-11449DB79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5548</Words>
  <Characters>29960</Characters>
  <Application>Microsoft Office Word</Application>
  <DocSecurity>0</DocSecurity>
  <Lines>249</Lines>
  <Paragraphs>70</Paragraphs>
  <ScaleCrop>false</ScaleCrop>
  <Company/>
  <LinksUpToDate>false</LinksUpToDate>
  <CharactersWithSpaces>35438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Frazão Botelho Baptista Lopes</dc:creator>
  <cp:keywords/>
  <dc:description/>
  <cp:lastModifiedBy>Tiago Frazão Botelho Baptista Lopes</cp:lastModifiedBy>
  <cp:revision>5</cp:revision>
  <cp:lastPrinted>2026-09-29T15:09:00Z</cp:lastPrinted>
  <dcterms:created xsi:type="dcterms:W3CDTF">2026-09-29T15:09:00Z</dcterms:created>
  <dcterms:modified xsi:type="dcterms:W3CDTF">2026-09-29T15:12:00Z</dcterms:modified>
</cp:coreProperties>
</file>