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14450" w:hRule="atLeast"/>
        </w:trPr>
        <w:tc>
          <w:tcPr>
            <w:tcW w:type="dxa" w:w="9638"/>
            <w:tcBorders>
              <w:top w:val="none" w:color="FFFFFF" w:sz="0"/>
              <w:left w:val="none" w:color="FFFFFF" w:sz="0"/>
              <w:bottom w:val="none" w:color="FFFFFF" w:sz="0"/>
              <w:right w:val="none" w:color="FFFFFF" w:sz="0"/>
            </w:tcBorders>
            <w:shd w:fill="0E1116" w:color="auto" w:val="clear"/>
            <w:tcMar>
              <w:top w:type="dxa" w:w="520"/>
              <w:left w:type="dxa" w:w="360"/>
              <w:bottom w:type="dxa" w:w="420"/>
              <w:right w:type="dxa" w:w="360"/>
            </w:tcMar>
          </w:tcPr>
          <w:p>
            <w:pPr>
              <w:spacing w:after="160"/>
            </w:pPr>
            <w:r>
              <w:rPr>
                <w:b/>
                <w:bCs/>
                <w:color w:val="38BDF8"/>
                <w:spacing w:val="40"/>
                <w:sz w:val="18"/>
                <w:szCs w:val="18"/>
              </w:rPr>
              <w:t xml:space="preserve">DOCUMENT DE PRÉPARATION AU DÉVELOPPEMENT</w:t>
            </w:r>
          </w:p>
          <w:p>
            <w:pPr>
              <w:spacing w:after="80"/>
            </w:pPr>
            <w:r>
              <w:rPr>
                <w:b/>
                <w:bCs/>
                <w:color w:val="FFFFFF"/>
                <w:sz w:val="76"/>
                <w:szCs w:val="76"/>
              </w:rPr>
              <w:t xml:space="preserve">Flux2D</w:t>
            </w:r>
          </w:p>
          <w:p>
            <w:pPr>
              <w:spacing w:after="60"/>
            </w:pPr>
            <w:r>
              <w:rPr>
                <w:color w:val="E6EAF2"/>
                <w:sz w:val="32"/>
                <w:szCs w:val="32"/>
              </w:rPr>
              <w:t xml:space="preserve">Simulateur interactif de champs magnétiques</w:t>
            </w:r>
          </w:p>
          <w:p>
            <w:pPr>
              <w:spacing w:after="360"/>
            </w:pPr>
            <w:r>
              <w:rPr>
                <w:color w:val="9AA4B2"/>
                <w:sz w:val="22"/>
                <w:szCs w:val="22"/>
              </w:rPr>
              <w:t xml:space="preserve">2D aujourd’hui, 3D demain · Rust · calcul sur GPU (wgpu) · interface sombre</w:t>
            </w:r>
          </w:p>
          <w:p>
            <w:pPr>
              <w:spacing w:after="120"/>
              <w:jc w:val="center"/>
            </w:pPr>
            <w:r>
              <w:drawing>
                <wp:inline distT="0" distB="0" distL="0" distR="0">
                  <wp:extent cx="5629275" cy="3514725"/>
                  <wp:effectExtent t="0" r="0" b="0" l="0"/>
                  <wp:docPr id="1" name="cover" descr="Maquette de l’interface en mode sombre" title="Ma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29275" cy="3514725"/>
                          </a:xfrm>
                          <a:prstGeom prst="rect">
                            <a:avLst/>
                          </a:prstGeom>
                        </pic:spPr>
                      </pic:pic>
                    </a:graphicData>
                  </a:graphic>
                </wp:inline>
              </w:drawing>
            </w:r>
          </w:p>
          <w:p>
            <w:pPr>
              <w:spacing w:after="300"/>
            </w:pPr>
            <w:r>
              <w:rPr>
                <w:i/>
                <w:iCs/>
                <w:color w:val="9AA4B2"/>
                <w:sz w:val="17"/>
                <w:szCs w:val="17"/>
              </w:rPr>
              <w:t xml:space="preserve">Maquette de l’interface cible. Le champ affiché est un vrai calcul réalisé avec la méthode recommandée dans ce document.</w:t>
            </w:r>
          </w:p>
          <w:p>
            <w:pPr>
              <w:spacing w:after="0"/>
            </w:pPr>
            <w:r>
              <w:rPr>
                <w:b/>
                <w:bCs/>
                <w:color w:val="E6EAF2"/>
                <w:sz w:val="19"/>
                <w:szCs w:val="19"/>
              </w:rPr>
              <w:t xml:space="preserve">Version 0.1</w:t>
            </w:r>
            <w:r>
              <w:rPr>
                <w:color w:val="9AA4B2"/>
                <w:sz w:val="19"/>
                <w:szCs w:val="19"/>
              </w:rPr>
              <w:t xml:space="preserve">   ·   5 octobre 2026   ·   « Flux2D » est un nom de code provisoire</w:t>
            </w:r>
          </w:p>
          <w:p>
            <w:pPr>
              <w:pBdr>
                <w:top w:val="single" w:color="2A3140" w:sz="6" w:space="14"/>
              </w:pBdr>
              <w:spacing w:after="120" w:before="900"/>
            </w:pPr>
            <w:r>
              <w:rPr>
                <w:b/>
                <w:bCs/>
                <w:color w:val="38BDF8"/>
                <w:spacing w:val="30"/>
                <w:sz w:val="16"/>
                <w:szCs w:val="16"/>
              </w:rPr>
              <w:t xml:space="preserve">CE QUE CONTIENT CE DOCUMENT</w:t>
            </w:r>
          </w:p>
          <w:p>
            <w:pPr>
              <w:spacing w:after="70"/>
            </w:pPr>
            <w:r>
              <w:rPr>
                <w:b/>
                <w:bCs/>
                <w:color w:val="FFFFFF"/>
                <w:sz w:val="19"/>
                <w:szCs w:val="19"/>
              </w:rPr>
              <w:t xml:space="preserve">Physique   </w:t>
            </w:r>
            <w:r>
              <w:rPr>
                <w:color w:val="9AA4B2"/>
                <w:sz w:val="19"/>
                <w:szCs w:val="19"/>
              </w:rPr>
              <w:t xml:space="preserve">magnétostatique 2D, matériaux ferro/para/dia, aimants, température, forces, frottement</w:t>
            </w:r>
          </w:p>
          <w:p>
            <w:pPr>
              <w:spacing w:after="70"/>
            </w:pPr>
            <w:r>
              <w:rPr>
                <w:b/>
                <w:bCs/>
                <w:color w:val="FFFFFF"/>
                <w:sz w:val="19"/>
                <w:szCs w:val="19"/>
              </w:rPr>
              <w:t xml:space="preserve">Calcul   </w:t>
            </w:r>
            <w:r>
              <w:rPr>
                <w:color w:val="9AA4B2"/>
                <w:sz w:val="19"/>
                <w:szCs w:val="19"/>
              </w:rPr>
              <w:t xml:space="preserve">éléments finis sur grille + multigrille sur GPU, validé par un prototype de 441 000 inconnues</w:t>
            </w:r>
          </w:p>
          <w:p>
            <w:pPr>
              <w:spacing w:after="70"/>
            </w:pPr>
            <w:r>
              <w:rPr>
                <w:b/>
                <w:bCs/>
                <w:color w:val="FFFFFF"/>
                <w:sz w:val="19"/>
                <w:szCs w:val="19"/>
              </w:rPr>
              <w:t xml:space="preserve">Architecture   </w:t>
            </w:r>
            <w:r>
              <w:rPr>
                <w:color w:val="9AA4B2"/>
                <w:sz w:val="19"/>
                <w:szCs w:val="19"/>
              </w:rPr>
              <w:t xml:space="preserve">workspace Rust en couches, wgpu 30, egui, Rapier, chemin tracé vers la 3D</w:t>
            </w:r>
          </w:p>
          <w:p>
            <w:pPr>
              <w:spacing w:after="70"/>
            </w:pPr>
            <w:r>
              <w:rPr>
                <w:b/>
                <w:bCs/>
                <w:color w:val="FFFFFF"/>
                <w:sz w:val="19"/>
                <w:szCs w:val="19"/>
              </w:rPr>
              <w:t xml:space="preserve">Expérience   </w:t>
            </w:r>
            <w:r>
              <w:rPr>
                <w:color w:val="9AA4B2"/>
                <w:sz w:val="19"/>
                <w:szCs w:val="19"/>
              </w:rPr>
              <w:t xml:space="preserve">six représentations du champ, instruments de mesure, interface sombre et fluide</w:t>
            </w:r>
          </w:p>
          <w:p>
            <w:pPr>
              <w:spacing w:after="70"/>
            </w:pPr>
            <w:r>
              <w:rPr>
                <w:b/>
                <w:bCs/>
                <w:color w:val="FFFFFF"/>
                <w:sz w:val="19"/>
                <w:szCs w:val="19"/>
              </w:rPr>
              <w:t xml:space="preserve">Feuille de route   </w:t>
            </w:r>
            <w:r>
              <w:rPr>
                <w:color w:val="9AA4B2"/>
                <w:sz w:val="19"/>
                <w:szCs w:val="19"/>
              </w:rPr>
              <w:t xml:space="preserve">six phases à critères de sortie mesurables, risques et questions ouvertes</w:t>
            </w:r>
          </w:p>
        </w:tc>
      </w:tr>
    </w:tbl>
    <w:p>
      <w:pPr>
        <w:sectPr>
          <w:pgSz w:w="11906" w:h="16838" w:orient="portrait"/>
          <w:pgMar w:top="1134" w:right="1134" w:bottom="1134" w:left="1134" w:header="560" w:footer="560" w:gutter="0"/>
          <w:pgNumType/>
          <w:docGrid w:linePitch="360"/>
        </w:sectPr>
      </w:pPr>
    </w:p>
    <w:p>
      <w:pPr>
        <w:spacing w:after="240"/>
      </w:pPr>
      <w:r>
        <w:rPr>
          <w:b/>
          <w:bCs/>
          <w:color w:val="0E1116"/>
          <w:sz w:val="36"/>
          <w:szCs w:val="36"/>
        </w:rPr>
        <w:t xml:space="preserve">Sommaire</w:t>
      </w:r>
    </w:p>
    <w:p>
      <w:pPr>
        <w:spacing w:after="30" w:before="110"/>
        <w:ind w:left="400" w:hanging="400"/>
      </w:pPr>
      <w:hyperlink w:history="1" w:anchor="sec_1">
        <w:r>
          <w:rPr>
            <w:b/>
            <w:bCs/>
            <w:color w:val="0369A1"/>
            <w:sz w:val="22"/>
            <w:szCs w:val="22"/>
          </w:rPr>
        </w:r>
        <w:r>
          <w:rPr>
            <w:b/>
            <w:bCs/>
            <w:color w:val="0E1116"/>
            <w:sz w:val="22"/>
            <w:szCs w:val="22"/>
          </w:rPr>
          <w:t xml:space="preserve">Synthèse et décisions clés</w:t>
        </w:r>
      </w:hyperlink>
    </w:p>
    <w:p>
      <w:pPr>
        <w:spacing w:after="30" w:before="110"/>
        <w:ind w:left="400" w:hanging="400"/>
      </w:pPr>
      <w:hyperlink w:history="1" w:anchor="sec_2">
        <w:r>
          <w:rPr>
            <w:b/>
            <w:bCs/>
            <w:color w:val="0369A1"/>
            <w:sz w:val="22"/>
            <w:szCs w:val="22"/>
          </w:rPr>
          <w:t xml:space="preserve">1</w:t>
          <w:tab/>
        </w:r>
        <w:r>
          <w:rPr>
            <w:b/>
            <w:bCs/>
            <w:color w:val="0E1116"/>
            <w:sz w:val="22"/>
            <w:szCs w:val="22"/>
          </w:rPr>
          <w:t xml:space="preserve">Vision, objectifs et périmètre</w:t>
        </w:r>
      </w:hyperlink>
    </w:p>
    <w:p>
      <w:pPr>
        <w:spacing w:after="6" w:line="240"/>
        <w:ind w:left="900" w:hanging="460"/>
      </w:pPr>
      <w:hyperlink w:history="1" w:anchor="sec_3">
        <w:r>
          <w:rPr>
            <w:color w:val="5B6573"/>
            <w:sz w:val="18"/>
            <w:szCs w:val="18"/>
          </w:rPr>
          <w:t xml:space="preserve">1.1</w:t>
          <w:tab/>
        </w:r>
        <w:r>
          <w:rPr>
            <w:color w:val="1F2937"/>
            <w:sz w:val="18"/>
            <w:szCs w:val="18"/>
          </w:rPr>
          <w:t xml:space="preserve">Vision</w:t>
        </w:r>
      </w:hyperlink>
    </w:p>
    <w:p>
      <w:pPr>
        <w:spacing w:after="6" w:line="240"/>
        <w:ind w:left="900" w:hanging="460"/>
      </w:pPr>
      <w:hyperlink w:history="1" w:anchor="sec_4">
        <w:r>
          <w:rPr>
            <w:color w:val="5B6573"/>
            <w:sz w:val="18"/>
            <w:szCs w:val="18"/>
          </w:rPr>
          <w:t xml:space="preserve">1.2</w:t>
          <w:tab/>
        </w:r>
        <w:r>
          <w:rPr>
            <w:color w:val="1F2937"/>
            <w:sz w:val="18"/>
            <w:szCs w:val="18"/>
          </w:rPr>
          <w:t xml:space="preserve">Objectifs</w:t>
        </w:r>
      </w:hyperlink>
    </w:p>
    <w:p>
      <w:pPr>
        <w:spacing w:after="6" w:line="240"/>
        <w:ind w:left="900" w:hanging="460"/>
      </w:pPr>
      <w:hyperlink w:history="1" w:anchor="sec_5">
        <w:r>
          <w:rPr>
            <w:color w:val="5B6573"/>
            <w:sz w:val="18"/>
            <w:szCs w:val="18"/>
          </w:rPr>
          <w:t xml:space="preserve">1.3</w:t>
          <w:tab/>
        </w:r>
        <w:r>
          <w:rPr>
            <w:color w:val="1F2937"/>
            <w:sz w:val="18"/>
            <w:szCs w:val="18"/>
          </w:rPr>
          <w:t xml:space="preserve">Hors périmètre initial</w:t>
        </w:r>
      </w:hyperlink>
    </w:p>
    <w:p>
      <w:pPr>
        <w:spacing w:after="6" w:line="240"/>
        <w:ind w:left="900" w:hanging="460"/>
      </w:pPr>
      <w:hyperlink w:history="1" w:anchor="sec_6">
        <w:r>
          <w:rPr>
            <w:color w:val="5B6573"/>
            <w:sz w:val="18"/>
            <w:szCs w:val="18"/>
          </w:rPr>
          <w:t xml:space="preserve">1.4</w:t>
          <w:tab/>
        </w:r>
        <w:r>
          <w:rPr>
            <w:color w:val="1F2937"/>
            <w:sz w:val="18"/>
            <w:szCs w:val="18"/>
          </w:rPr>
          <w:t xml:space="preserve">Hypothèses de travail</w:t>
        </w:r>
      </w:hyperlink>
    </w:p>
    <w:p>
      <w:pPr>
        <w:spacing w:after="30" w:before="110"/>
        <w:ind w:left="400" w:hanging="400"/>
      </w:pPr>
      <w:hyperlink w:history="1" w:anchor="sec_7">
        <w:r>
          <w:rPr>
            <w:b/>
            <w:bCs/>
            <w:color w:val="0369A1"/>
            <w:sz w:val="22"/>
            <w:szCs w:val="22"/>
          </w:rPr>
          <w:t xml:space="preserve">2</w:t>
          <w:tab/>
        </w:r>
        <w:r>
          <w:rPr>
            <w:b/>
            <w:bCs/>
            <w:color w:val="0E1116"/>
            <w:sz w:val="22"/>
            <w:szCs w:val="22"/>
          </w:rPr>
          <w:t xml:space="preserve">Modèle physique</w:t>
        </w:r>
      </w:hyperlink>
    </w:p>
    <w:p>
      <w:pPr>
        <w:spacing w:after="6" w:line="240"/>
        <w:ind w:left="900" w:hanging="460"/>
      </w:pPr>
      <w:hyperlink w:history="1" w:anchor="sec_8">
        <w:r>
          <w:rPr>
            <w:color w:val="5B6573"/>
            <w:sz w:val="18"/>
            <w:szCs w:val="18"/>
          </w:rPr>
          <w:t xml:space="preserve">2.1</w:t>
          <w:tab/>
        </w:r>
        <w:r>
          <w:rPr>
            <w:color w:val="1F2937"/>
            <w:sz w:val="18"/>
            <w:szCs w:val="18"/>
          </w:rPr>
          <w:t xml:space="preserve">Équations de base</w:t>
        </w:r>
      </w:hyperlink>
    </w:p>
    <w:p>
      <w:pPr>
        <w:spacing w:after="6" w:line="240"/>
        <w:ind w:left="900" w:hanging="460"/>
      </w:pPr>
      <w:hyperlink w:history="1" w:anchor="sec_9">
        <w:r>
          <w:rPr>
            <w:color w:val="5B6573"/>
            <w:sz w:val="18"/>
            <w:szCs w:val="18"/>
          </w:rPr>
          <w:t xml:space="preserve">2.2</w:t>
          <w:tab/>
        </w:r>
        <w:r>
          <w:rPr>
            <w:color w:val="1F2937"/>
            <w:sz w:val="18"/>
            <w:szCs w:val="18"/>
          </w:rPr>
          <w:t xml:space="preserve">Le choix de la 2D</w:t>
        </w:r>
      </w:hyperlink>
    </w:p>
    <w:p>
      <w:pPr>
        <w:spacing w:after="6" w:line="240"/>
        <w:ind w:left="900" w:hanging="460"/>
      </w:pPr>
      <w:hyperlink w:history="1" w:anchor="sec_10">
        <w:r>
          <w:rPr>
            <w:color w:val="5B6573"/>
            <w:sz w:val="18"/>
            <w:szCs w:val="18"/>
          </w:rPr>
          <w:t xml:space="preserve">2.3</w:t>
          <w:tab/>
        </w:r>
        <w:r>
          <w:rPr>
            <w:color w:val="1F2937"/>
            <w:sz w:val="18"/>
            <w:szCs w:val="18"/>
          </w:rPr>
          <w:t xml:space="preserve">Formulation en potentiel vecteur</w:t>
        </w:r>
      </w:hyperlink>
    </w:p>
    <w:p>
      <w:pPr>
        <w:spacing w:after="6" w:line="240"/>
        <w:ind w:left="900" w:hanging="460"/>
      </w:pPr>
      <w:hyperlink w:history="1" w:anchor="sec_11">
        <w:r>
          <w:rPr>
            <w:color w:val="5B6573"/>
            <w:sz w:val="18"/>
            <w:szCs w:val="18"/>
          </w:rPr>
          <w:t xml:space="preserve">2.4</w:t>
          <w:tab/>
        </w:r>
        <w:r>
          <w:rPr>
            <w:color w:val="1F2937"/>
            <w:sz w:val="18"/>
            <w:szCs w:val="18"/>
          </w:rPr>
          <w:t xml:space="preserve">Lois de comportement des matériaux</w:t>
        </w:r>
      </w:hyperlink>
    </w:p>
    <w:p>
      <w:pPr>
        <w:spacing w:after="6" w:line="240"/>
        <w:ind w:left="900" w:hanging="460"/>
      </w:pPr>
      <w:hyperlink w:history="1" w:anchor="sec_12">
        <w:r>
          <w:rPr>
            <w:color w:val="5B6573"/>
            <w:sz w:val="18"/>
            <w:szCs w:val="18"/>
          </w:rPr>
          <w:t xml:space="preserve">2.5</w:t>
          <w:tab/>
        </w:r>
        <w:r>
          <w:rPr>
            <w:color w:val="1F2937"/>
            <w:sz w:val="18"/>
            <w:szCs w:val="18"/>
          </w:rPr>
          <w:t xml:space="preserve">Température</w:t>
        </w:r>
      </w:hyperlink>
    </w:p>
    <w:p>
      <w:pPr>
        <w:spacing w:after="6" w:line="240"/>
        <w:ind w:left="900" w:hanging="460"/>
      </w:pPr>
      <w:hyperlink w:history="1" w:anchor="sec_13">
        <w:r>
          <w:rPr>
            <w:color w:val="5B6573"/>
            <w:sz w:val="18"/>
            <w:szCs w:val="18"/>
          </w:rPr>
          <w:t xml:space="preserve">2.6</w:t>
          <w:tab/>
        </w:r>
        <w:r>
          <w:rPr>
            <w:color w:val="1F2937"/>
            <w:sz w:val="18"/>
            <w:szCs w:val="18"/>
          </w:rPr>
          <w:t xml:space="preserve">Forces et couples</w:t>
        </w:r>
      </w:hyperlink>
    </w:p>
    <w:p>
      <w:pPr>
        <w:spacing w:after="6" w:line="240"/>
        <w:ind w:left="900" w:hanging="460"/>
      </w:pPr>
      <w:hyperlink w:history="1" w:anchor="sec_14">
        <w:r>
          <w:rPr>
            <w:color w:val="5B6573"/>
            <w:sz w:val="18"/>
            <w:szCs w:val="18"/>
          </w:rPr>
          <w:t xml:space="preserve">2.7</w:t>
          <w:tab/>
        </w:r>
        <w:r>
          <w:rPr>
            <w:color w:val="1F2937"/>
            <w:sz w:val="18"/>
            <w:szCs w:val="18"/>
          </w:rPr>
          <w:t xml:space="preserve">Mécanique : masse, gravité, frottement</w:t>
        </w:r>
      </w:hyperlink>
    </w:p>
    <w:p>
      <w:pPr>
        <w:spacing w:after="6" w:line="240"/>
        <w:ind w:left="900" w:hanging="460"/>
      </w:pPr>
      <w:hyperlink w:history="1" w:anchor="sec_15">
        <w:r>
          <w:rPr>
            <w:color w:val="5B6573"/>
            <w:sz w:val="18"/>
            <w:szCs w:val="18"/>
          </w:rPr>
          <w:t xml:space="preserve">2.8</w:t>
          <w:tab/>
        </w:r>
        <w:r>
          <w:rPr>
            <w:color w:val="1F2937"/>
            <w:sz w:val="18"/>
            <w:szCs w:val="18"/>
          </w:rPr>
          <w:t xml:space="preserve">Électroaimants et circuits</w:t>
        </w:r>
      </w:hyperlink>
    </w:p>
    <w:p>
      <w:pPr>
        <w:spacing w:after="6" w:line="240"/>
        <w:ind w:left="900" w:hanging="460"/>
      </w:pPr>
      <w:hyperlink w:history="1" w:anchor="sec_16">
        <w:r>
          <w:rPr>
            <w:color w:val="5B6573"/>
            <w:sz w:val="18"/>
            <w:szCs w:val="18"/>
          </w:rPr>
          <w:t xml:space="preserve">2.9</w:t>
          <w:tab/>
        </w:r>
        <w:r>
          <w:rPr>
            <w:color w:val="1F2937"/>
            <w:sz w:val="18"/>
            <w:szCs w:val="18"/>
          </w:rPr>
          <w:t xml:space="preserve">Extension dynamique : courants de Foucault (phase 4)</w:t>
        </w:r>
      </w:hyperlink>
    </w:p>
    <w:p>
      <w:pPr>
        <w:spacing w:after="6" w:line="240"/>
        <w:ind w:left="900" w:hanging="460"/>
      </w:pPr>
      <w:hyperlink w:history="1" w:anchor="sec_17">
        <w:r>
          <w:rPr>
            <w:color w:val="5B6573"/>
            <w:sz w:val="18"/>
            <w:szCs w:val="18"/>
          </w:rPr>
          <w:t xml:space="preserve">2.10</w:t>
          <w:tab/>
        </w:r>
        <w:r>
          <w:rPr>
            <w:color w:val="1F2937"/>
            <w:sz w:val="18"/>
            <w:szCs w:val="18"/>
          </w:rPr>
          <w:t xml:space="preserve">Hypothèses assumées et limites</w:t>
        </w:r>
      </w:hyperlink>
    </w:p>
    <w:p>
      <w:pPr>
        <w:spacing w:after="30" w:before="110"/>
        <w:ind w:left="400" w:hanging="400"/>
      </w:pPr>
      <w:hyperlink w:history="1" w:anchor="sec_18">
        <w:r>
          <w:rPr>
            <w:b/>
            <w:bCs/>
            <w:color w:val="0369A1"/>
            <w:sz w:val="22"/>
            <w:szCs w:val="22"/>
          </w:rPr>
          <w:t xml:space="preserve">3</w:t>
          <w:tab/>
        </w:r>
        <w:r>
          <w:rPr>
            <w:b/>
            <w:bCs/>
            <w:color w:val="0E1116"/>
            <w:sz w:val="22"/>
            <w:szCs w:val="22"/>
          </w:rPr>
          <w:t xml:space="preserve">Méthodes numériques</w:t>
        </w:r>
      </w:hyperlink>
    </w:p>
    <w:p>
      <w:pPr>
        <w:spacing w:after="6" w:line="240"/>
        <w:ind w:left="900" w:hanging="460"/>
      </w:pPr>
      <w:hyperlink w:history="1" w:anchor="sec_19">
        <w:r>
          <w:rPr>
            <w:color w:val="5B6573"/>
            <w:sz w:val="18"/>
            <w:szCs w:val="18"/>
          </w:rPr>
          <w:t xml:space="preserve">3.1</w:t>
          <w:tab/>
        </w:r>
        <w:r>
          <w:rPr>
            <w:color w:val="1F2937"/>
            <w:sz w:val="18"/>
            <w:szCs w:val="18"/>
          </w:rPr>
          <w:t xml:space="preserve">Comparatif des approches</w:t>
        </w:r>
      </w:hyperlink>
    </w:p>
    <w:p>
      <w:pPr>
        <w:spacing w:after="6" w:line="240"/>
        <w:ind w:left="900" w:hanging="460"/>
      </w:pPr>
      <w:hyperlink w:history="1" w:anchor="sec_20">
        <w:r>
          <w:rPr>
            <w:color w:val="5B6573"/>
            <w:sz w:val="18"/>
            <w:szCs w:val="18"/>
          </w:rPr>
          <w:t xml:space="preserve">3.2</w:t>
          <w:tab/>
        </w:r>
        <w:r>
          <w:rPr>
            <w:color w:val="1F2937"/>
            <w:sz w:val="18"/>
            <w:szCs w:val="18"/>
          </w:rPr>
          <w:t xml:space="preserve">Discrétisation retenue</w:t>
        </w:r>
      </w:hyperlink>
    </w:p>
    <w:p>
      <w:pPr>
        <w:spacing w:after="6" w:line="240"/>
        <w:ind w:left="900" w:hanging="460"/>
      </w:pPr>
      <w:hyperlink w:history="1" w:anchor="sec_21">
        <w:r>
          <w:rPr>
            <w:color w:val="5B6573"/>
            <w:sz w:val="18"/>
            <w:szCs w:val="18"/>
          </w:rPr>
          <w:t xml:space="preserve">3.3</w:t>
          <w:tab/>
        </w:r>
        <w:r>
          <w:rPr>
            <w:color w:val="1F2937"/>
            <w:sz w:val="18"/>
            <w:szCs w:val="18"/>
          </w:rPr>
          <w:t xml:space="preserve">Rastérisation des objets</w:t>
        </w:r>
      </w:hyperlink>
    </w:p>
    <w:p>
      <w:pPr>
        <w:spacing w:after="6" w:line="240"/>
        <w:ind w:left="900" w:hanging="460"/>
      </w:pPr>
      <w:hyperlink w:history="1" w:anchor="sec_22">
        <w:r>
          <w:rPr>
            <w:color w:val="5B6573"/>
            <w:sz w:val="18"/>
            <w:szCs w:val="18"/>
          </w:rPr>
          <w:t xml:space="preserve">3.4</w:t>
          <w:tab/>
        </w:r>
        <w:r>
          <w:rPr>
            <w:color w:val="1F2937"/>
            <w:sz w:val="18"/>
            <w:szCs w:val="18"/>
          </w:rPr>
          <w:t xml:space="preserve">Domaine ouvert et conditions aux limites</w:t>
        </w:r>
      </w:hyperlink>
    </w:p>
    <w:p>
      <w:pPr>
        <w:spacing w:after="6" w:line="240"/>
        <w:ind w:left="900" w:hanging="460"/>
      </w:pPr>
      <w:hyperlink w:history="1" w:anchor="sec_23">
        <w:r>
          <w:rPr>
            <w:color w:val="5B6573"/>
            <w:sz w:val="18"/>
            <w:szCs w:val="18"/>
          </w:rPr>
          <w:t xml:space="preserve">3.5</w:t>
          <w:tab/>
        </w:r>
        <w:r>
          <w:rPr>
            <w:color w:val="1F2937"/>
            <w:sz w:val="18"/>
            <w:szCs w:val="18"/>
          </w:rPr>
          <w:t xml:space="preserve">Solveur linéaire : MG-PCG sur GPU</w:t>
        </w:r>
      </w:hyperlink>
    </w:p>
    <w:p>
      <w:pPr>
        <w:spacing w:after="6" w:line="240"/>
        <w:ind w:left="900" w:hanging="460"/>
      </w:pPr>
      <w:hyperlink w:history="1" w:anchor="sec_24">
        <w:r>
          <w:rPr>
            <w:color w:val="5B6573"/>
            <w:sz w:val="18"/>
            <w:szCs w:val="18"/>
          </w:rPr>
          <w:t xml:space="preserve">3.6</w:t>
          <w:tab/>
        </w:r>
        <w:r>
          <w:rPr>
            <w:color w:val="1F2937"/>
            <w:sz w:val="18"/>
            <w:szCs w:val="18"/>
          </w:rPr>
          <w:t xml:space="preserve">Non-linéarité et hystérésis</w:t>
        </w:r>
      </w:hyperlink>
    </w:p>
    <w:p>
      <w:pPr>
        <w:spacing w:after="6" w:line="240"/>
        <w:ind w:left="900" w:hanging="460"/>
      </w:pPr>
      <w:hyperlink w:history="1" w:anchor="sec_25">
        <w:r>
          <w:rPr>
            <w:color w:val="5B6573"/>
            <w:sz w:val="18"/>
            <w:szCs w:val="18"/>
          </w:rPr>
          <w:t xml:space="preserve">3.7</w:t>
          <w:tab/>
        </w:r>
        <w:r>
          <w:rPr>
            <w:color w:val="1F2937"/>
            <w:sz w:val="18"/>
            <w:szCs w:val="18"/>
          </w:rPr>
          <w:t xml:space="preserve">Précision numérique</w:t>
        </w:r>
      </w:hyperlink>
    </w:p>
    <w:p>
      <w:pPr>
        <w:spacing w:after="6" w:line="240"/>
        <w:ind w:left="900" w:hanging="460"/>
      </w:pPr>
      <w:hyperlink w:history="1" w:anchor="sec_26">
        <w:r>
          <w:rPr>
            <w:color w:val="5B6573"/>
            <w:sz w:val="18"/>
            <w:szCs w:val="18"/>
          </w:rPr>
          <w:t xml:space="preserve">3.8</w:t>
          <w:tab/>
        </w:r>
        <w:r>
          <w:rPr>
            <w:color w:val="1F2937"/>
            <w:sz w:val="18"/>
            <w:szCs w:val="18"/>
          </w:rPr>
          <w:t xml:space="preserve">Couplage multiphysique</w:t>
        </w:r>
      </w:hyperlink>
    </w:p>
    <w:p>
      <w:pPr>
        <w:spacing w:after="6" w:line="240"/>
        <w:ind w:left="900" w:hanging="460"/>
      </w:pPr>
      <w:hyperlink w:history="1" w:anchor="sec_27">
        <w:r>
          <w:rPr>
            <w:color w:val="5B6573"/>
            <w:sz w:val="18"/>
            <w:szCs w:val="18"/>
          </w:rPr>
          <w:t xml:space="preserve">3.9</w:t>
          <w:tab/>
        </w:r>
        <w:r>
          <w:rPr>
            <w:color w:val="1F2937"/>
            <w:sz w:val="18"/>
            <w:szCs w:val="18"/>
          </w:rPr>
          <w:t xml:space="preserve">Plan de validation</w:t>
        </w:r>
      </w:hyperlink>
    </w:p>
    <w:p>
      <w:pPr>
        <w:spacing w:after="30" w:before="110"/>
        <w:ind w:left="400" w:hanging="400"/>
      </w:pPr>
      <w:hyperlink w:history="1" w:anchor="sec_28">
        <w:r>
          <w:rPr>
            <w:b/>
            <w:bCs/>
            <w:color w:val="0369A1"/>
            <w:sz w:val="22"/>
            <w:szCs w:val="22"/>
          </w:rPr>
          <w:t xml:space="preserve">4</w:t>
          <w:tab/>
        </w:r>
        <w:r>
          <w:rPr>
            <w:b/>
            <w:bCs/>
            <w:color w:val="0E1116"/>
            <w:sz w:val="22"/>
            <w:szCs w:val="22"/>
          </w:rPr>
          <w:t xml:space="preserve">Architecture logicielle et choix techniques</w:t>
        </w:r>
      </w:hyperlink>
    </w:p>
    <w:p>
      <w:pPr>
        <w:spacing w:after="6" w:line="240"/>
        <w:ind w:left="900" w:hanging="460"/>
      </w:pPr>
      <w:hyperlink w:history="1" w:anchor="sec_29">
        <w:r>
          <w:rPr>
            <w:color w:val="5B6573"/>
            <w:sz w:val="18"/>
            <w:szCs w:val="18"/>
          </w:rPr>
          <w:t xml:space="preserve">4.1</w:t>
          <w:tab/>
        </w:r>
        <w:r>
          <w:rPr>
            <w:color w:val="1F2937"/>
            <w:sz w:val="18"/>
            <w:szCs w:val="18"/>
          </w:rPr>
          <w:t xml:space="preserve">Pile technique</w:t>
        </w:r>
      </w:hyperlink>
    </w:p>
    <w:p>
      <w:pPr>
        <w:spacing w:after="6" w:line="240"/>
        <w:ind w:left="900" w:hanging="460"/>
      </w:pPr>
      <w:hyperlink w:history="1" w:anchor="sec_30">
        <w:r>
          <w:rPr>
            <w:color w:val="5B6573"/>
            <w:sz w:val="18"/>
            <w:szCs w:val="18"/>
          </w:rPr>
          <w:t xml:space="preserve">4.2</w:t>
          <w:tab/>
        </w:r>
        <w:r>
          <w:rPr>
            <w:color w:val="1F2937"/>
            <w:sz w:val="18"/>
            <w:szCs w:val="18"/>
          </w:rPr>
          <w:t xml:space="preserve">wgpu + egui ou moteur Bevy ?</w:t>
        </w:r>
      </w:hyperlink>
    </w:p>
    <w:p>
      <w:pPr>
        <w:spacing w:after="6" w:line="240"/>
        <w:ind w:left="900" w:hanging="460"/>
      </w:pPr>
      <w:hyperlink w:history="1" w:anchor="sec_31">
        <w:r>
          <w:rPr>
            <w:color w:val="5B6573"/>
            <w:sz w:val="18"/>
            <w:szCs w:val="18"/>
          </w:rPr>
          <w:t xml:space="preserve">4.3</w:t>
          <w:tab/>
        </w:r>
        <w:r>
          <w:rPr>
            <w:color w:val="1F2937"/>
            <w:sz w:val="18"/>
            <w:szCs w:val="18"/>
          </w:rPr>
          <w:t xml:space="preserve">Organisation du code</w:t>
        </w:r>
      </w:hyperlink>
    </w:p>
    <w:p>
      <w:pPr>
        <w:spacing w:after="6" w:line="240"/>
        <w:ind w:left="900" w:hanging="460"/>
      </w:pPr>
      <w:hyperlink w:history="1" w:anchor="sec_32">
        <w:r>
          <w:rPr>
            <w:color w:val="5B6573"/>
            <w:sz w:val="18"/>
            <w:szCs w:val="18"/>
          </w:rPr>
          <w:t xml:space="preserve">4.4</w:t>
          <w:tab/>
        </w:r>
        <w:r>
          <w:rPr>
            <w:color w:val="1F2937"/>
            <w:sz w:val="18"/>
            <w:szCs w:val="18"/>
          </w:rPr>
          <w:t xml:space="preserve">Pipeline d’une image</w:t>
        </w:r>
      </w:hyperlink>
    </w:p>
    <w:p>
      <w:pPr>
        <w:spacing w:after="6" w:line="240"/>
        <w:ind w:left="900" w:hanging="460"/>
      </w:pPr>
      <w:hyperlink w:history="1" w:anchor="sec_33">
        <w:r>
          <w:rPr>
            <w:color w:val="5B6573"/>
            <w:sz w:val="18"/>
            <w:szCs w:val="18"/>
          </w:rPr>
          <w:t xml:space="preserve">4.5</w:t>
          <w:tab/>
        </w:r>
        <w:r>
          <w:rPr>
            <w:color w:val="1F2937"/>
            <w:sz w:val="18"/>
            <w:szCs w:val="18"/>
          </w:rPr>
          <w:t xml:space="preserve">Modèle de données et préparation de la 3D</w:t>
        </w:r>
      </w:hyperlink>
    </w:p>
    <w:p>
      <w:pPr>
        <w:spacing w:after="6" w:line="240"/>
        <w:ind w:left="900" w:hanging="460"/>
      </w:pPr>
      <w:hyperlink w:history="1" w:anchor="sec_34">
        <w:r>
          <w:rPr>
            <w:color w:val="5B6573"/>
            <w:sz w:val="18"/>
            <w:szCs w:val="18"/>
          </w:rPr>
          <w:t xml:space="preserve">4.6</w:t>
          <w:tab/>
        </w:r>
        <w:r>
          <w:rPr>
            <w:color w:val="1F2937"/>
            <w:sz w:val="18"/>
            <w:szCs w:val="18"/>
          </w:rPr>
          <w:t xml:space="preserve">Persistance, historique et extensibilité</w:t>
        </w:r>
      </w:hyperlink>
    </w:p>
    <w:p>
      <w:pPr>
        <w:spacing w:after="6" w:line="240"/>
        <w:ind w:left="900" w:hanging="460"/>
      </w:pPr>
      <w:hyperlink w:history="1" w:anchor="sec_35">
        <w:r>
          <w:rPr>
            <w:color w:val="5B6573"/>
            <w:sz w:val="18"/>
            <w:szCs w:val="18"/>
          </w:rPr>
          <w:t xml:space="preserve">4.7</w:t>
          <w:tab/>
        </w:r>
        <w:r>
          <w:rPr>
            <w:color w:val="1F2937"/>
            <w:sz w:val="18"/>
            <w:szCs w:val="18"/>
          </w:rPr>
          <w:t xml:space="preserve">Budget de performance</w:t>
        </w:r>
      </w:hyperlink>
    </w:p>
    <w:p>
      <w:pPr>
        <w:spacing w:after="6" w:line="240"/>
        <w:ind w:left="900" w:hanging="460"/>
      </w:pPr>
      <w:hyperlink w:history="1" w:anchor="sec_36">
        <w:r>
          <w:rPr>
            <w:color w:val="5B6573"/>
            <w:sz w:val="18"/>
            <w:szCs w:val="18"/>
          </w:rPr>
          <w:t xml:space="preserve">4.8</w:t>
          <w:tab/>
        </w:r>
        <w:r>
          <w:rPr>
            <w:color w:val="1F2937"/>
            <w:sz w:val="18"/>
            <w:szCs w:val="18"/>
          </w:rPr>
          <w:t xml:space="preserve">Qualité et outillage</w:t>
        </w:r>
      </w:hyperlink>
    </w:p>
    <w:p>
      <w:pPr>
        <w:spacing w:after="30" w:before="110"/>
        <w:ind w:left="400" w:hanging="400"/>
      </w:pPr>
      <w:hyperlink w:history="1" w:anchor="sec_37">
        <w:r>
          <w:rPr>
            <w:b/>
            <w:bCs/>
            <w:color w:val="0369A1"/>
            <w:sz w:val="22"/>
            <w:szCs w:val="22"/>
          </w:rPr>
          <w:t xml:space="preserve">5</w:t>
          <w:tab/>
        </w:r>
        <w:r>
          <w:rPr>
            <w:b/>
            <w:bCs/>
            <w:color w:val="0E1116"/>
            <w:sz w:val="22"/>
            <w:szCs w:val="22"/>
          </w:rPr>
          <w:t xml:space="preserve">Représentations du champ et instruments de mesure</w:t>
        </w:r>
      </w:hyperlink>
    </w:p>
    <w:p>
      <w:pPr>
        <w:spacing w:after="6" w:line="240"/>
        <w:ind w:left="900" w:hanging="460"/>
      </w:pPr>
      <w:hyperlink w:history="1" w:anchor="sec_38">
        <w:r>
          <w:rPr>
            <w:color w:val="5B6573"/>
            <w:sz w:val="18"/>
            <w:szCs w:val="18"/>
          </w:rPr>
          <w:t xml:space="preserve">5.1</w:t>
          <w:tab/>
        </w:r>
        <w:r>
          <w:rPr>
            <w:color w:val="1F2937"/>
            <w:sz w:val="18"/>
            <w:szCs w:val="18"/>
          </w:rPr>
          <w:t xml:space="preserve">Modes de visualisation</w:t>
        </w:r>
      </w:hyperlink>
    </w:p>
    <w:p>
      <w:pPr>
        <w:spacing w:after="6" w:line="240"/>
        <w:ind w:left="900" w:hanging="460"/>
      </w:pPr>
      <w:hyperlink w:history="1" w:anchor="sec_39">
        <w:r>
          <w:rPr>
            <w:color w:val="5B6573"/>
            <w:sz w:val="18"/>
            <w:szCs w:val="18"/>
          </w:rPr>
          <w:t xml:space="preserve">5.2</w:t>
          <w:tab/>
        </w:r>
        <w:r>
          <w:rPr>
            <w:color w:val="1F2937"/>
            <w:sz w:val="18"/>
            <w:szCs w:val="18"/>
          </w:rPr>
          <w:t xml:space="preserve">Instruments de mesure</w:t>
        </w:r>
      </w:hyperlink>
    </w:p>
    <w:p>
      <w:pPr>
        <w:spacing w:after="6" w:line="240"/>
        <w:ind w:left="900" w:hanging="460"/>
      </w:pPr>
      <w:hyperlink w:history="1" w:anchor="sec_40">
        <w:r>
          <w:rPr>
            <w:color w:val="5B6573"/>
            <w:sz w:val="18"/>
            <w:szCs w:val="18"/>
          </w:rPr>
          <w:t xml:space="preserve">5.3</w:t>
          <w:tab/>
        </w:r>
        <w:r>
          <w:rPr>
            <w:color w:val="1F2937"/>
            <w:sz w:val="18"/>
            <w:szCs w:val="18"/>
          </w:rPr>
          <w:t xml:space="preserve">Unités et confiance</w:t>
        </w:r>
      </w:hyperlink>
    </w:p>
    <w:p>
      <w:pPr>
        <w:spacing w:after="30" w:before="110"/>
        <w:ind w:left="400" w:hanging="400"/>
      </w:pPr>
      <w:hyperlink w:history="1" w:anchor="sec_41">
        <w:r>
          <w:rPr>
            <w:b/>
            <w:bCs/>
            <w:color w:val="0369A1"/>
            <w:sz w:val="22"/>
            <w:szCs w:val="22"/>
          </w:rPr>
          <w:t xml:space="preserve">6</w:t>
          <w:tab/>
        </w:r>
        <w:r>
          <w:rPr>
            <w:b/>
            <w:bCs/>
            <w:color w:val="0E1116"/>
            <w:sz w:val="22"/>
            <w:szCs w:val="22"/>
          </w:rPr>
          <w:t xml:space="preserve">Catalogue des objets et des matériaux</w:t>
        </w:r>
      </w:hyperlink>
    </w:p>
    <w:p>
      <w:pPr>
        <w:spacing w:after="6" w:line="240"/>
        <w:ind w:left="900" w:hanging="460"/>
      </w:pPr>
      <w:hyperlink w:history="1" w:anchor="sec_42">
        <w:r>
          <w:rPr>
            <w:color w:val="5B6573"/>
            <w:sz w:val="18"/>
            <w:szCs w:val="18"/>
          </w:rPr>
          <w:t xml:space="preserve">6.1</w:t>
          <w:tab/>
        </w:r>
        <w:r>
          <w:rPr>
            <w:color w:val="1F2937"/>
            <w:sz w:val="18"/>
            <w:szCs w:val="18"/>
          </w:rPr>
          <w:t xml:space="preserve">Aimants permanents</w:t>
        </w:r>
      </w:hyperlink>
    </w:p>
    <w:p>
      <w:pPr>
        <w:spacing w:after="6" w:line="240"/>
        <w:ind w:left="900" w:hanging="460"/>
      </w:pPr>
      <w:hyperlink w:history="1" w:anchor="sec_43">
        <w:r>
          <w:rPr>
            <w:color w:val="5B6573"/>
            <w:sz w:val="18"/>
            <w:szCs w:val="18"/>
          </w:rPr>
          <w:t xml:space="preserve">6.2</w:t>
          <w:tab/>
        </w:r>
        <w:r>
          <w:rPr>
            <w:color w:val="1F2937"/>
            <w:sz w:val="18"/>
            <w:szCs w:val="18"/>
          </w:rPr>
          <w:t xml:space="preserve">Électroaimants, conducteurs et sources de champ</w:t>
        </w:r>
      </w:hyperlink>
    </w:p>
    <w:p>
      <w:pPr>
        <w:spacing w:after="6" w:line="240"/>
        <w:ind w:left="900" w:hanging="460"/>
      </w:pPr>
      <w:hyperlink w:history="1" w:anchor="sec_44">
        <w:r>
          <w:rPr>
            <w:color w:val="5B6573"/>
            <w:sz w:val="18"/>
            <w:szCs w:val="18"/>
          </w:rPr>
          <w:t xml:space="preserve">6.3</w:t>
          <w:tab/>
        </w:r>
        <w:r>
          <w:rPr>
            <w:color w:val="1F2937"/>
            <w:sz w:val="18"/>
            <w:szCs w:val="18"/>
          </w:rPr>
          <w:t xml:space="preserve">Ferromagnétiques doux</w:t>
        </w:r>
      </w:hyperlink>
    </w:p>
    <w:p>
      <w:pPr>
        <w:spacing w:after="6" w:line="240"/>
        <w:ind w:left="900" w:hanging="460"/>
      </w:pPr>
      <w:hyperlink w:history="1" w:anchor="sec_45">
        <w:r>
          <w:rPr>
            <w:color w:val="5B6573"/>
            <w:sz w:val="18"/>
            <w:szCs w:val="18"/>
          </w:rPr>
          <w:t xml:space="preserve">6.4</w:t>
          <w:tab/>
        </w:r>
        <w:r>
          <w:rPr>
            <w:color w:val="1F2937"/>
            <w:sz w:val="18"/>
            <w:szCs w:val="18"/>
          </w:rPr>
          <w:t xml:space="preserve">Paramagnétiques et diamagnétiques</w:t>
        </w:r>
      </w:hyperlink>
    </w:p>
    <w:p>
      <w:pPr>
        <w:spacing w:after="6" w:line="240"/>
        <w:ind w:left="900" w:hanging="460"/>
      </w:pPr>
      <w:hyperlink w:history="1" w:anchor="sec_46">
        <w:r>
          <w:rPr>
            <w:color w:val="5B6573"/>
            <w:sz w:val="18"/>
            <w:szCs w:val="18"/>
          </w:rPr>
          <w:t xml:space="preserve">6.5</w:t>
          <w:tab/>
        </w:r>
        <w:r>
          <w:rPr>
            <w:color w:val="1F2937"/>
            <w:sz w:val="18"/>
            <w:szCs w:val="18"/>
          </w:rPr>
          <w:t xml:space="preserve">Surfaces et frottement</w:t>
        </w:r>
      </w:hyperlink>
    </w:p>
    <w:p>
      <w:pPr>
        <w:spacing w:after="6" w:line="240"/>
        <w:ind w:left="900" w:hanging="460"/>
      </w:pPr>
      <w:hyperlink w:history="1" w:anchor="sec_47">
        <w:r>
          <w:rPr>
            <w:color w:val="5B6573"/>
            <w:sz w:val="18"/>
            <w:szCs w:val="18"/>
          </w:rPr>
          <w:t xml:space="preserve">6.6</w:t>
          <w:tab/>
        </w:r>
        <w:r>
          <w:rPr>
            <w:color w:val="1F2937"/>
            <w:sz w:val="18"/>
            <w:szCs w:val="18"/>
          </w:rPr>
          <w:t xml:space="preserve">Objets mécaniques, instruments et outils</w:t>
        </w:r>
      </w:hyperlink>
    </w:p>
    <w:p>
      <w:pPr>
        <w:spacing w:after="6" w:line="240"/>
        <w:ind w:left="900" w:hanging="460"/>
      </w:pPr>
      <w:hyperlink w:history="1" w:anchor="sec_48">
        <w:r>
          <w:rPr>
            <w:color w:val="5B6573"/>
            <w:sz w:val="18"/>
            <w:szCs w:val="18"/>
          </w:rPr>
          <w:t xml:space="preserve">6.7</w:t>
          <w:tab/>
        </w:r>
        <w:r>
          <w:rPr>
            <w:color w:val="1F2937"/>
            <w:sz w:val="18"/>
            <w:szCs w:val="18"/>
          </w:rPr>
          <w:t xml:space="preserve">Scènes d’exemple</w:t>
        </w:r>
      </w:hyperlink>
    </w:p>
    <w:p>
      <w:pPr>
        <w:spacing w:after="30" w:before="110"/>
        <w:ind w:left="400" w:hanging="400"/>
      </w:pPr>
      <w:hyperlink w:history="1" w:anchor="sec_49">
        <w:r>
          <w:rPr>
            <w:b/>
            <w:bCs/>
            <w:color w:val="0369A1"/>
            <w:sz w:val="22"/>
            <w:szCs w:val="22"/>
          </w:rPr>
          <w:t xml:space="preserve">7</w:t>
          <w:tab/>
        </w:r>
        <w:r>
          <w:rPr>
            <w:b/>
            <w:bCs/>
            <w:color w:val="0E1116"/>
            <w:sz w:val="22"/>
            <w:szCs w:val="22"/>
          </w:rPr>
          <w:t xml:space="preserve">Interface et expérience utilisateur</w:t>
        </w:r>
      </w:hyperlink>
    </w:p>
    <w:p>
      <w:pPr>
        <w:spacing w:after="6" w:line="240"/>
        <w:ind w:left="900" w:hanging="460"/>
      </w:pPr>
      <w:hyperlink w:history="1" w:anchor="sec_50">
        <w:r>
          <w:rPr>
            <w:color w:val="5B6573"/>
            <w:sz w:val="18"/>
            <w:szCs w:val="18"/>
          </w:rPr>
          <w:t xml:space="preserve">7.1</w:t>
          <w:tab/>
        </w:r>
        <w:r>
          <w:rPr>
            <w:color w:val="1F2937"/>
            <w:sz w:val="18"/>
            <w:szCs w:val="18"/>
          </w:rPr>
          <w:t xml:space="preserve">Principes</w:t>
        </w:r>
      </w:hyperlink>
    </w:p>
    <w:p>
      <w:pPr>
        <w:spacing w:after="6" w:line="240"/>
        <w:ind w:left="900" w:hanging="460"/>
      </w:pPr>
      <w:hyperlink w:history="1" w:anchor="sec_51">
        <w:r>
          <w:rPr>
            <w:color w:val="5B6573"/>
            <w:sz w:val="18"/>
            <w:szCs w:val="18"/>
          </w:rPr>
          <w:t xml:space="preserve">7.2</w:t>
          <w:tab/>
        </w:r>
        <w:r>
          <w:rPr>
            <w:color w:val="1F2937"/>
            <w:sz w:val="18"/>
            <w:szCs w:val="18"/>
          </w:rPr>
          <w:t xml:space="preserve">Disposition de l’écran</w:t>
        </w:r>
      </w:hyperlink>
    </w:p>
    <w:p>
      <w:pPr>
        <w:spacing w:after="6" w:line="240"/>
        <w:ind w:left="900" w:hanging="460"/>
      </w:pPr>
      <w:hyperlink w:history="1" w:anchor="sec_52">
        <w:r>
          <w:rPr>
            <w:color w:val="5B6573"/>
            <w:sz w:val="18"/>
            <w:szCs w:val="18"/>
          </w:rPr>
          <w:t xml:space="preserve">7.3</w:t>
          <w:tab/>
        </w:r>
        <w:r>
          <w:rPr>
            <w:color w:val="1F2937"/>
            <w:sz w:val="18"/>
            <w:szCs w:val="18"/>
          </w:rPr>
          <w:t xml:space="preserve">Gestes et raccourcis</w:t>
        </w:r>
      </w:hyperlink>
    </w:p>
    <w:p>
      <w:pPr>
        <w:spacing w:after="6" w:line="240"/>
        <w:ind w:left="900" w:hanging="460"/>
      </w:pPr>
      <w:hyperlink w:history="1" w:anchor="sec_53">
        <w:r>
          <w:rPr>
            <w:color w:val="5B6573"/>
            <w:sz w:val="18"/>
            <w:szCs w:val="18"/>
          </w:rPr>
          <w:t xml:space="preserve">7.4</w:t>
          <w:tab/>
        </w:r>
        <w:r>
          <w:rPr>
            <w:color w:val="1F2937"/>
            <w:sz w:val="18"/>
            <w:szCs w:val="18"/>
          </w:rPr>
          <w:t xml:space="preserve">Inspecteur et bibliothèque</w:t>
        </w:r>
      </w:hyperlink>
    </w:p>
    <w:p>
      <w:pPr>
        <w:spacing w:after="6" w:line="240"/>
        <w:ind w:left="900" w:hanging="460"/>
      </w:pPr>
      <w:hyperlink w:history="1" w:anchor="sec_54">
        <w:r>
          <w:rPr>
            <w:color w:val="5B6573"/>
            <w:sz w:val="18"/>
            <w:szCs w:val="18"/>
          </w:rPr>
          <w:t xml:space="preserve">7.5</w:t>
          <w:tab/>
        </w:r>
        <w:r>
          <w:rPr>
            <w:color w:val="1F2937"/>
            <w:sz w:val="18"/>
            <w:szCs w:val="18"/>
          </w:rPr>
          <w:t xml:space="preserve">Direction artistique en mode sombre</w:t>
        </w:r>
      </w:hyperlink>
    </w:p>
    <w:p>
      <w:pPr>
        <w:spacing w:after="6" w:line="240"/>
        <w:ind w:left="900" w:hanging="460"/>
      </w:pPr>
      <w:hyperlink w:history="1" w:anchor="sec_55">
        <w:r>
          <w:rPr>
            <w:color w:val="5B6573"/>
            <w:sz w:val="18"/>
            <w:szCs w:val="18"/>
          </w:rPr>
          <w:t xml:space="preserve">7.6</w:t>
          <w:tab/>
        </w:r>
        <w:r>
          <w:rPr>
            <w:color w:val="1F2937"/>
            <w:sz w:val="18"/>
            <w:szCs w:val="18"/>
          </w:rPr>
          <w:t xml:space="preserve">Fluidité</w:t>
        </w:r>
      </w:hyperlink>
    </w:p>
    <w:p>
      <w:pPr>
        <w:spacing w:after="6" w:line="240"/>
        <w:ind w:left="900" w:hanging="460"/>
      </w:pPr>
      <w:hyperlink w:history="1" w:anchor="sec_56">
        <w:r>
          <w:rPr>
            <w:color w:val="5B6573"/>
            <w:sz w:val="18"/>
            <w:szCs w:val="18"/>
          </w:rPr>
          <w:t xml:space="preserve">7.7</w:t>
          <w:tab/>
        </w:r>
        <w:r>
          <w:rPr>
            <w:color w:val="1F2937"/>
            <w:sz w:val="18"/>
            <w:szCs w:val="18"/>
          </w:rPr>
          <w:t xml:space="preserve">Prise en main et pédagogie</w:t>
        </w:r>
      </w:hyperlink>
    </w:p>
    <w:p>
      <w:pPr>
        <w:spacing w:after="6" w:line="240"/>
        <w:ind w:left="900" w:hanging="460"/>
      </w:pPr>
      <w:hyperlink w:history="1" w:anchor="sec_57">
        <w:r>
          <w:rPr>
            <w:color w:val="5B6573"/>
            <w:sz w:val="18"/>
            <w:szCs w:val="18"/>
          </w:rPr>
          <w:t xml:space="preserve">7.8</w:t>
          <w:tab/>
        </w:r>
        <w:r>
          <w:rPr>
            <w:color w:val="1F2937"/>
            <w:sz w:val="18"/>
            <w:szCs w:val="18"/>
          </w:rPr>
          <w:t xml:space="preserve">Accessibilité et langues</w:t>
        </w:r>
      </w:hyperlink>
    </w:p>
    <w:p>
      <w:pPr>
        <w:spacing w:after="30" w:before="110"/>
        <w:ind w:left="400" w:hanging="400"/>
      </w:pPr>
      <w:hyperlink w:history="1" w:anchor="sec_58">
        <w:r>
          <w:rPr>
            <w:b/>
            <w:bCs/>
            <w:color w:val="0369A1"/>
            <w:sz w:val="22"/>
            <w:szCs w:val="22"/>
          </w:rPr>
          <w:t xml:space="preserve">8</w:t>
          <w:tab/>
        </w:r>
        <w:r>
          <w:rPr>
            <w:b/>
            <w:bCs/>
            <w:color w:val="0E1116"/>
            <w:sz w:val="22"/>
            <w:szCs w:val="22"/>
          </w:rPr>
          <w:t xml:space="preserve">Feuille de route</w:t>
        </w:r>
      </w:hyperlink>
    </w:p>
    <w:p>
      <w:pPr>
        <w:spacing w:after="30" w:before="110"/>
        <w:ind w:left="400" w:hanging="400"/>
      </w:pPr>
      <w:hyperlink w:history="1" w:anchor="sec_59">
        <w:r>
          <w:rPr>
            <w:b/>
            <w:bCs/>
            <w:color w:val="0369A1"/>
            <w:sz w:val="22"/>
            <w:szCs w:val="22"/>
          </w:rPr>
          <w:t xml:space="preserve">9</w:t>
          <w:tab/>
        </w:r>
        <w:r>
          <w:rPr>
            <w:b/>
            <w:bCs/>
            <w:color w:val="0E1116"/>
            <w:sz w:val="22"/>
            <w:szCs w:val="22"/>
          </w:rPr>
          <w:t xml:space="preserve">Risques et parades</w:t>
        </w:r>
      </w:hyperlink>
    </w:p>
    <w:p>
      <w:pPr>
        <w:spacing w:after="30" w:before="110"/>
        <w:ind w:left="400" w:hanging="400"/>
      </w:pPr>
      <w:hyperlink w:history="1" w:anchor="sec_60">
        <w:r>
          <w:rPr>
            <w:b/>
            <w:bCs/>
            <w:color w:val="0369A1"/>
            <w:sz w:val="22"/>
            <w:szCs w:val="22"/>
          </w:rPr>
          <w:t xml:space="preserve">10</w:t>
          <w:tab/>
        </w:r>
        <w:r>
          <w:rPr>
            <w:b/>
            <w:bCs/>
            <w:color w:val="0E1116"/>
            <w:sz w:val="22"/>
            <w:szCs w:val="22"/>
          </w:rPr>
          <w:t xml:space="preserve">Questions ouvertes</w:t>
        </w:r>
      </w:hyperlink>
    </w:p>
    <w:p>
      <w:pPr>
        <w:spacing w:after="30" w:before="110"/>
        <w:ind w:left="400" w:hanging="400"/>
      </w:pPr>
      <w:hyperlink w:history="1" w:anchor="sec_61">
        <w:r>
          <w:rPr>
            <w:b/>
            <w:bCs/>
            <w:color w:val="0369A1"/>
            <w:sz w:val="22"/>
            <w:szCs w:val="22"/>
          </w:rPr>
        </w:r>
        <w:r>
          <w:rPr>
            <w:b/>
            <w:bCs/>
            <w:color w:val="0E1116"/>
            <w:sz w:val="22"/>
            <w:szCs w:val="22"/>
          </w:rPr>
          <w:t xml:space="preserve">Annexe A — Formulaire</w:t>
        </w:r>
      </w:hyperlink>
    </w:p>
    <w:p>
      <w:pPr>
        <w:spacing w:after="30" w:before="110"/>
        <w:ind w:left="400" w:hanging="400"/>
      </w:pPr>
      <w:hyperlink w:history="1" w:anchor="sec_62">
        <w:r>
          <w:rPr>
            <w:b/>
            <w:bCs/>
            <w:color w:val="0369A1"/>
            <w:sz w:val="22"/>
            <w:szCs w:val="22"/>
          </w:rPr>
        </w:r>
        <w:r>
          <w:rPr>
            <w:b/>
            <w:bCs/>
            <w:color w:val="0E1116"/>
            <w:sz w:val="22"/>
            <w:szCs w:val="22"/>
          </w:rPr>
          <w:t xml:space="preserve">Annexe B — Glossaire</w:t>
        </w:r>
      </w:hyperlink>
    </w:p>
    <w:p>
      <w:pPr>
        <w:spacing w:after="30" w:before="110"/>
        <w:ind w:left="400" w:hanging="400"/>
      </w:pPr>
      <w:hyperlink w:history="1" w:anchor="sec_63">
        <w:r>
          <w:rPr>
            <w:b/>
            <w:bCs/>
            <w:color w:val="0369A1"/>
            <w:sz w:val="22"/>
            <w:szCs w:val="22"/>
          </w:rPr>
        </w:r>
        <w:r>
          <w:rPr>
            <w:b/>
            <w:bCs/>
            <w:color w:val="0E1116"/>
            <w:sz w:val="22"/>
            <w:szCs w:val="22"/>
          </w:rPr>
          <w:t xml:space="preserve">Annexe C — Références</w:t>
        </w:r>
      </w:hyperlink>
    </w:p>
    <w:p>
      <w:pPr>
        <w:sectPr>
          <w:footerReference w:type="default" r:id="rId7"/>
          <w:pgSz w:w="11906" w:h="16838" w:orient="portrait"/>
          <w:pgMar w:top="1134" w:right="1134" w:bottom="1134" w:left="1134" w:header="560" w:footer="560" w:gutter="0"/>
          <w:pgNumType/>
          <w:cols w:space="567" w:num="2"/>
          <w:docGrid w:linePitch="360"/>
        </w:sectPr>
      </w:pPr>
    </w:p>
    <w:p>
      <w:pPr>
        <w:pStyle w:val="Heading1"/>
      </w:pPr>
      <w:bookmarkStart w:name="sec_1" w:id="101"/>
      <w:r>
        <w:rPr>
          <w:color w:val="0369A1"/>
        </w:rPr>
        <w:t xml:space="preserve"/>
      </w:r>
      <w:r>
        <w:t xml:space="preserve">Synthèse et décisions clés</w:t>
      </w:r>
      <w:bookmarkEnd w:id="101"/>
    </w:p>
    <w:p>
      <w:pPr>
        <w:spacing w:after="120" w:before="0" w:line="276"/>
        <w:jc w:val="both"/>
      </w:pPr>
      <w:r>
        <w:t xml:space="preserve">Ce document prépare le développement d’un simulateur de champs magnétiques interactif, écrit en Rust et calculé sur la carte graphique. Il fixe les choix techniques, la manière de modéliser la physique, l’architecture du code, l’expérience utilisateur et une feuille de route découpée en phases vérifiables. Chaque recommandation est justifiée ; les points qui dépendent de vos préférences sont regroupés à la section 10.</w:t>
      </w:r>
    </w:p>
    <w:p>
      <w:pPr>
        <w:spacing w:after="120" w:before="0" w:line="276"/>
        <w:jc w:val="both"/>
      </w:pPr>
      <w:r>
        <w:t xml:space="preserve">Le tableau ci-dessous résume les décisions. Elles sont cohérentes entre elles : une seule inconnue scalaire en 2D, une grille régulière que le GPU parcourt sans effort, et un cadre de discrétisation qui s’étend naturellement à la 3D.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900"/>
        <w:gridCol w:w="3838"/>
      </w:tblGrid>
      <w:tr>
        <w:trPr>
          <w:tblHeader/>
        </w:trPr>
        <w:tc>
          <w:tcPr>
            <w:tcW w:type="dxa" w:w="19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Sujet</w:t>
            </w:r>
          </w:p>
        </w:tc>
        <w:tc>
          <w:tcPr>
            <w:tcW w:type="dxa" w:w="39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Décision recommandée</w:t>
            </w:r>
          </w:p>
        </w:tc>
        <w:tc>
          <w:tcPr>
            <w:tcW w:type="dxa" w:w="38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Pourquoi</w:t>
            </w:r>
          </w:p>
        </w:tc>
      </w:tr>
      <w:tr>
        <w:trPr>
          <w:cantSplit/>
        </w:trPr>
        <w:tc>
          <w:tcPr>
            <w:tcW w:type="dxa" w:w="1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Modèle physique</w:t>
            </w:r>
          </w:p>
        </w:tc>
        <w:tc>
          <w:tcPr>
            <w:tcW w:type="dxa" w:w="3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Magnétostatique 2D « plane » (objets extrudés, profondeur paramétrable), régime quasi-statique</w:t>
            </w:r>
          </w:p>
        </w:tc>
        <w:tc>
          <w:tcPr>
            <w:tcW w:type="dxa" w:w="38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Exacte dans son hypothèse, comparable au logiciel de référence FEMM, base saine pour la 3D</w:t>
            </w:r>
          </w:p>
        </w:tc>
      </w:tr>
      <w:tr>
        <w:trPr>
          <w:cantSplit/>
        </w:trPr>
        <w:tc>
          <w:tcPr>
            <w:tcW w:type="dxa" w:w="1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Inconnue</w:t>
            </w:r>
          </w:p>
        </w:tc>
        <w:tc>
          <w:tcPr>
            <w:tcW w:type="dxa" w:w="3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Potentiel vecteur A</w:t>
            </w:r>
            <w:r>
              <w:rPr>
                <w:b w:val="false"/>
                <w:bCs w:val="false"/>
                <w:sz w:val="17"/>
                <w:szCs w:val="17"/>
                <w:vertAlign w:val="subscript"/>
              </w:rPr>
              <w:t xml:space="preserve">z</w:t>
            </w:r>
            <w:r>
              <w:rPr>
                <w:b w:val="false"/>
                <w:bCs w:val="false"/>
                <w:sz w:val="17"/>
                <w:szCs w:val="17"/>
              </w:rPr>
              <w:t xml:space="preserve"> (une seule composante)</w:t>
            </w:r>
          </w:p>
        </w:tc>
        <w:tc>
          <w:tcPr>
            <w:tcW w:type="dxa" w:w="38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Les lignes de champ sont exactement les isolignes de A</w:t>
            </w:r>
            <w:r>
              <w:rPr>
                <w:b w:val="false"/>
                <w:bCs w:val="false"/>
                <w:sz w:val="17"/>
                <w:szCs w:val="17"/>
                <w:vertAlign w:val="subscript"/>
              </w:rPr>
              <w:t xml:space="preserve">z</w:t>
            </w:r>
            <w:r>
              <w:rPr>
                <w:b w:val="false"/>
                <w:bCs w:val="false"/>
                <w:sz w:val="17"/>
                <w:szCs w:val="17"/>
              </w:rPr>
              <w:t xml:space="preserve">, et leur densité suit |B| sans calcul supplémentaire</w:t>
            </w:r>
          </w:p>
        </w:tc>
      </w:tr>
      <w:tr>
        <w:trPr>
          <w:cantSplit/>
        </w:trPr>
        <w:tc>
          <w:tcPr>
            <w:tcW w:type="dxa" w:w="1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Discrétisation</w:t>
            </w:r>
          </w:p>
        </w:tc>
        <w:tc>
          <w:tcPr>
            <w:tcW w:type="dxa" w:w="3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Éléments finis bilinéaires (Q1) sur grille cartésienne, cadre FIT</w:t>
            </w:r>
          </w:p>
        </w:tc>
        <w:tc>
          <w:tcPr>
            <w:tcW w:type="dxa" w:w="38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Stencil fixe, sans matrice stockée : idéal pour le GPU ; s’étend en 3D sur grille de Yee</w:t>
            </w:r>
          </w:p>
        </w:tc>
      </w:tr>
      <w:tr>
        <w:trPr>
          <w:cantSplit/>
        </w:trPr>
        <w:tc>
          <w:tcPr>
            <w:tcW w:type="dxa" w:w="1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Solveur</w:t>
            </w:r>
          </w:p>
        </w:tc>
        <w:tc>
          <w:tcPr>
            <w:tcW w:type="dxa" w:w="3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Gradient conjugué préconditionné par multigrille (MG-PCG), non-linéarité Picard puis Newton, reprise de la solution précédente</w:t>
            </w:r>
          </w:p>
        </w:tc>
        <w:tc>
          <w:tcPr>
            <w:tcW w:type="dxa" w:w="38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Coût linéaire en nombre de cellules, robuste aux contrastes de perméabilité, temps réel</w:t>
            </w:r>
          </w:p>
        </w:tc>
      </w:tr>
      <w:tr>
        <w:trPr>
          <w:cantSplit/>
        </w:trPr>
        <w:tc>
          <w:tcPr>
            <w:tcW w:type="dxa" w:w="1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Matériaux</w:t>
            </w:r>
          </w:p>
        </w:tc>
        <w:tc>
          <w:tcPr>
            <w:tcW w:type="dxa" w:w="3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Courbes B(H) tabulées, saturation, aimants à droite de recul, hystérésis Jiles–Atherton en option, lois de température</w:t>
            </w:r>
          </w:p>
        </w:tc>
        <w:tc>
          <w:tcPr>
            <w:tcW w:type="dxa" w:w="38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Fidélité graduée : simple par défaut, réaliste à la demande</w:t>
            </w:r>
          </w:p>
        </w:tc>
      </w:tr>
      <w:tr>
        <w:trPr>
          <w:cantSplit/>
        </w:trPr>
        <w:tc>
          <w:tcPr>
            <w:tcW w:type="dxa" w:w="1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Forces</w:t>
            </w:r>
          </w:p>
        </w:tc>
        <w:tc>
          <w:tcPr>
            <w:tcW w:type="dxa" w:w="3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Tenseur de Maxwell pondéré, intégré par objet sur le GPU</w:t>
            </w:r>
          </w:p>
        </w:tc>
        <w:tc>
          <w:tcPr>
            <w:tcW w:type="dxa" w:w="38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Précis et quasi insensible au choix du contour (vérifié sur le prototype)</w:t>
            </w:r>
          </w:p>
        </w:tc>
      </w:tr>
      <w:tr>
        <w:trPr>
          <w:cantSplit/>
        </w:trPr>
        <w:tc>
          <w:tcPr>
            <w:tcW w:type="dxa" w:w="1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Mécanique</w:t>
            </w:r>
          </w:p>
        </w:tc>
        <w:tc>
          <w:tcPr>
            <w:tcW w:type="dxa" w:w="3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Rapier 2D (puis 3D) + gestion explicite du frottement statique/dynamique</w:t>
            </w:r>
          </w:p>
        </w:tc>
        <w:tc>
          <w:tcPr>
            <w:tcW w:type="dxa" w:w="38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Moteur mature, API identique en 2D et en 3D</w:t>
            </w:r>
          </w:p>
        </w:tc>
      </w:tr>
      <w:tr>
        <w:trPr>
          <w:cantSplit/>
        </w:trPr>
        <w:tc>
          <w:tcPr>
            <w:tcW w:type="dxa" w:w="1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GPU</w:t>
            </w:r>
          </w:p>
        </w:tc>
        <w:tc>
          <w:tcPr>
            <w:tcW w:type="dxa" w:w="3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wgpu 30 + shaders WGSL organisés en modules WESL</w:t>
            </w:r>
          </w:p>
        </w:tc>
        <w:tc>
          <w:tcPr>
            <w:tcW w:type="dxa" w:w="38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Vulkan, Metal, DirectX 12 et WebGPU avec une seule base de code Rust</w:t>
            </w:r>
          </w:p>
        </w:tc>
      </w:tr>
      <w:tr>
        <w:trPr>
          <w:cantSplit/>
        </w:trPr>
        <w:tc>
          <w:tcPr>
            <w:tcW w:type="dxa" w:w="1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Interface</w:t>
            </w:r>
          </w:p>
        </w:tc>
        <w:tc>
          <w:tcPr>
            <w:tcW w:type="dxa" w:w="3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winit + egui (rendu egui-wgpu), thème sombre sur mesure</w:t>
            </w:r>
          </w:p>
        </w:tc>
        <w:tc>
          <w:tcPr>
            <w:tcW w:type="dxa" w:w="38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Productif pour les panneaux d’outils, cohabite avec le rendu wgpu du champ</w:t>
            </w:r>
          </w:p>
        </w:tc>
      </w:tr>
      <w:tr>
        <w:trPr>
          <w:cantSplit/>
        </w:trPr>
        <w:tc>
          <w:tcPr>
            <w:tcW w:type="dxa" w:w="1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Données</w:t>
            </w:r>
          </w:p>
        </w:tc>
        <w:tc>
          <w:tcPr>
            <w:tcW w:type="dxa" w:w="3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ECS léger, scènes en RON versionné, undo/redo par commandes</w:t>
            </w:r>
          </w:p>
        </w:tc>
        <w:tc>
          <w:tcPr>
            <w:tcW w:type="dxa" w:w="38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Lisible, comparable dans Git, migrable entre versions</w:t>
            </w:r>
          </w:p>
        </w:tc>
      </w:tr>
    </w:tbl>
    <w:p>
      <w:pPr>
        <w:spacing w:after="80" w:before="0" w:lin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369A1" w:sz="24"/>
              <w:bottom w:val="none" w:color="FFFFFF" w:sz="0"/>
              <w:right w:val="none" w:color="FFFFFF" w:sz="0"/>
            </w:tcBorders>
            <w:shd w:fill="E0F2FE" w:color="auto" w:val="clear"/>
            <w:tcMar>
              <w:top w:type="dxa" w:w="120"/>
              <w:left w:type="dxa" w:w="200"/>
              <w:bottom w:type="dxa" w:w="100"/>
              <w:right w:type="dxa" w:w="200"/>
            </w:tcMar>
          </w:tcPr>
          <w:p>
            <w:pPr>
              <w:spacing w:after="60"/>
            </w:pPr>
            <w:r>
              <w:rPr>
                <w:b/>
                <w:bCs/>
                <w:color w:val="0369A1"/>
                <w:sz w:val="20"/>
                <w:szCs w:val="20"/>
              </w:rPr>
              <w:t xml:space="preserve">Ce qui a déjà été vérifié</w:t>
            </w:r>
          </w:p>
          <w:p>
            <w:pPr>
              <w:spacing w:after="60" w:line="264"/>
              <w:jc w:val="left"/>
            </w:pPr>
            <w:r>
              <w:rPr>
                <w:sz w:val="19"/>
                <w:szCs w:val="19"/>
              </w:rPr>
              <w:t xml:space="preserve">Pour ne pas rester théorique, la méthode recommandée a été prototypée en Python (même discrétisation Q1, 441 000 inconnues) sur une scène « aimant NdFeB + plaque de fer ». Trois résultats orientent directement la conception :</w:t>
            </w:r>
          </w:p>
          <w:p>
            <w:pPr>
              <w:pStyle w:val="ListParagraph"/>
              <w:numPr>
                <w:ilvl w:val="0"/>
                <w:numId w:val="2"/>
              </w:numPr>
              <w:spacing w:after="40" w:line="264"/>
            </w:pPr>
            <w:r>
              <w:rPr>
                <w:sz w:val="19"/>
                <w:szCs w:val="19"/>
              </w:rPr>
              <w:t xml:space="preserve">Les isolignes de A</w:t>
            </w:r>
            <w:r>
              <w:rPr>
                <w:sz w:val="19"/>
                <w:szCs w:val="19"/>
                <w:vertAlign w:val="subscript"/>
              </w:rPr>
              <w:t xml:space="preserve">z</w:t>
            </w:r>
            <w:r>
              <w:rPr>
                <w:sz w:val="19"/>
                <w:szCs w:val="19"/>
              </w:rPr>
              <w:t xml:space="preserve"> donnent des lignes de champ propres et physiquement justes (figure 2) : c’est la représentation par défaut à retenir.</w:t>
            </w:r>
          </w:p>
          <w:p>
            <w:pPr>
              <w:pStyle w:val="ListParagraph"/>
              <w:numPr>
                <w:ilvl w:val="0"/>
                <w:numId w:val="2"/>
              </w:numPr>
              <w:spacing w:after="40" w:line="264"/>
            </w:pPr>
            <w:r>
              <w:rPr>
                <w:sz w:val="19"/>
                <w:szCs w:val="19"/>
              </w:rPr>
              <w:t xml:space="preserve">La force calculée par le tenseur de Maxwell sur cinq contours différents varie de moins de 0,6 % (26,05 à 26,20 N/m) : la méthode de force est fiable sur grille.</w:t>
            </w:r>
          </w:p>
          <w:p>
            <w:pPr>
              <w:pStyle w:val="ListParagraph"/>
              <w:numPr>
                <w:ilvl w:val="0"/>
                <w:numId w:val="2"/>
              </w:numPr>
              <w:spacing w:after="40" w:line="264"/>
            </w:pPr>
            <w:r>
              <w:rPr>
                <w:sz w:val="19"/>
                <w:szCs w:val="19"/>
              </w:rPr>
              <w:t xml:space="preserve">Avec un domaine trop petit (bord à 2,5 fois la taille des objets), la même force tombe à 16,0 N/m, soit −39 % : les conditions aux limites « ouvertes » sont un sujet prioritaire, pas un détail.</w:t>
            </w:r>
          </w:p>
        </w:tc>
      </w:tr>
    </w:tbl>
    <w:p>
      <w:pPr>
        <w:spacing w:after="100" w:before="0" w:line="200"/>
      </w:pPr>
    </w:p>
    <w:p>
      <w:pPr>
        <w:pStyle w:val="Heading1"/>
        <w:pageBreakBefore/>
      </w:pPr>
      <w:bookmarkStart w:name="sec_2" w:id="102"/>
      <w:r>
        <w:rPr>
          <w:color w:val="0369A1"/>
        </w:rPr>
        <w:t xml:space="preserve">1  </w:t>
      </w:r>
      <w:r>
        <w:t xml:space="preserve">Vision, objectifs et périmètre</w:t>
      </w:r>
      <w:bookmarkEnd w:id="102"/>
    </w:p>
    <w:p>
      <w:pPr>
        <w:pStyle w:val="Heading2"/>
      </w:pPr>
      <w:bookmarkStart w:name="sec_3" w:id="103"/>
      <w:r>
        <w:rPr>
          <w:color w:val="0369A1"/>
        </w:rPr>
        <w:t xml:space="preserve">1.1  </w:t>
      </w:r>
      <w:r>
        <w:t xml:space="preserve">Vision</w:t>
      </w:r>
      <w:bookmarkEnd w:id="103"/>
    </w:p>
    <w:p>
      <w:pPr>
        <w:spacing w:after="120" w:before="0" w:line="276"/>
        <w:jc w:val="both"/>
      </w:pPr>
      <w:r>
        <w:t xml:space="preserve">Un « bac à sable » magnétique où l’on dessine des objets, choisit leur matériau et leur aimantation, et voit immédiatement le champ se réorganiser. Les objets ont une masse, reposent sur des surfaces avec frottement, et se mettent en mouvement quand la force magnétique l’emporte. La température, les courants, les matériaux et la géométrie sont des variables que l’on manipule en direct. Tout ce qui est affiché est mesurable, et tout ce qui est mesuré est physiquement défendable.</w:t>
      </w:r>
    </w:p>
    <w:p>
      <w:pPr>
        <w:pStyle w:val="Heading2"/>
      </w:pPr>
      <w:bookmarkStart w:name="sec_4" w:id="104"/>
      <w:r>
        <w:rPr>
          <w:color w:val="0369A1"/>
        </w:rPr>
        <w:t xml:space="preserve">1.2  </w:t>
      </w:r>
      <w:r>
        <w:t xml:space="preserve">Objectifs</w:t>
      </w:r>
      <w:bookmarkEnd w:id="104"/>
    </w:p>
    <w:p>
      <w:pPr>
        <w:pStyle w:val="ListParagraph"/>
        <w:numPr>
          <w:ilvl w:val="0"/>
          <w:numId w:val="2"/>
        </w:numPr>
        <w:spacing w:after="60" w:line="276"/>
      </w:pPr>
      <w:r>
        <w:rPr>
          <w:b/>
          <w:bCs/>
        </w:rPr>
        <w:t xml:space="preserve">Fidélité physique</w:t>
      </w:r>
      <w:r>
        <w:t xml:space="preserve"> : équations de Maxwell en régime quasi-statique, matériaux réalistes, résultats validés contre des solutions analytiques et contre FEMM. Les hypothèses sont visibles dans l’interface.</w:t>
      </w:r>
    </w:p>
    <w:p>
      <w:pPr>
        <w:pStyle w:val="ListParagraph"/>
        <w:numPr>
          <w:ilvl w:val="0"/>
          <w:numId w:val="2"/>
        </w:numPr>
        <w:spacing w:after="60" w:line="276"/>
      </w:pPr>
      <w:r>
        <w:rPr>
          <w:b/>
          <w:bCs/>
        </w:rPr>
        <w:t xml:space="preserve">Interactivité</w:t>
      </w:r>
      <w:r>
        <w:t xml:space="preserve"> : 60 images/s minimum en 1080p ; le champ se met à jour pendant qu’on déplace un objet, sans figer l’interface.</w:t>
      </w:r>
    </w:p>
    <w:p>
      <w:pPr>
        <w:pStyle w:val="ListParagraph"/>
        <w:numPr>
          <w:ilvl w:val="0"/>
          <w:numId w:val="2"/>
        </w:numPr>
        <w:spacing w:after="60" w:line="276"/>
      </w:pPr>
      <w:r>
        <w:rPr>
          <w:b/>
          <w:bCs/>
        </w:rPr>
        <w:t xml:space="preserve">Richesse</w:t>
      </w:r>
      <w:r>
        <w:t xml:space="preserve"> : le plus grand nombre possible de variables physiques accessibles (géométrie, aimantation, courant, nombre de spires, température, masse, frottement, perméabilité, etc.).</w:t>
      </w:r>
    </w:p>
    <w:p>
      <w:pPr>
        <w:pStyle w:val="ListParagraph"/>
        <w:numPr>
          <w:ilvl w:val="0"/>
          <w:numId w:val="2"/>
        </w:numPr>
        <w:spacing w:after="60" w:line="276"/>
      </w:pPr>
      <w:r>
        <w:rPr>
          <w:b/>
          <w:bCs/>
        </w:rPr>
        <w:t xml:space="preserve">Mesure</w:t>
      </w:r>
      <w:r>
        <w:t xml:space="preserve"> : sondes, lignes de coupe, flux, forces, énergie, inductance, graphes et export.</w:t>
      </w:r>
    </w:p>
    <w:p>
      <w:pPr>
        <w:pStyle w:val="ListParagraph"/>
        <w:numPr>
          <w:ilvl w:val="0"/>
          <w:numId w:val="2"/>
        </w:numPr>
        <w:spacing w:after="60" w:line="276"/>
      </w:pPr>
      <w:r>
        <w:rPr>
          <w:b/>
          <w:bCs/>
        </w:rPr>
        <w:t xml:space="preserve">Évolutivité</w:t>
      </w:r>
      <w:r>
        <w:t xml:space="preserve"> : une architecture dont le cœur ne dépend pas de la dimension, pour passer à la 3D sans tout réécrire.</w:t>
      </w:r>
    </w:p>
    <w:p>
      <w:pPr>
        <w:pStyle w:val="Heading2"/>
      </w:pPr>
      <w:bookmarkStart w:name="sec_5" w:id="105"/>
      <w:r>
        <w:rPr>
          <w:color w:val="0369A1"/>
        </w:rPr>
        <w:t xml:space="preserve">1.3  </w:t>
      </w:r>
      <w:r>
        <w:t xml:space="preserve">Hors périmètre initial</w:t>
      </w:r>
      <w:bookmarkEnd w:id="105"/>
    </w:p>
    <w:p>
      <w:pPr>
        <w:spacing w:after="120" w:before="0" w:line="276"/>
        <w:jc w:val="both"/>
      </w:pPr>
      <w:r>
        <w:t xml:space="preserve">Pour garder le projet faisable, certains sujets sont explicitement exclus des premières versions. Ils ne sont pas incompatibles avec l’architecture, simplement repoussés.</w:t>
      </w:r>
    </w:p>
    <w:p>
      <w:pPr>
        <w:pStyle w:val="ListParagraph"/>
        <w:numPr>
          <w:ilvl w:val="0"/>
          <w:numId w:val="2"/>
        </w:numPr>
        <w:spacing w:after="60" w:line="276"/>
      </w:pPr>
      <w:r>
        <w:rPr>
          <w:b/>
          <w:bCs/>
        </w:rPr>
        <w:t xml:space="preserve">Micromagnétisme</w:t>
      </w:r>
      <w:r>
        <w:t xml:space="preserve"> (domaines de Weiss à l’échelle du micromètre) : l’aimantation est traitée comme un champ moyen continu.</w:t>
      </w:r>
    </w:p>
    <w:p>
      <w:pPr>
        <w:pStyle w:val="ListParagraph"/>
        <w:numPr>
          <w:ilvl w:val="0"/>
          <w:numId w:val="2"/>
        </w:numPr>
        <w:spacing w:after="60" w:line="276"/>
      </w:pPr>
      <w:r>
        <w:rPr>
          <w:b/>
          <w:bCs/>
        </w:rPr>
        <w:t xml:space="preserve">Haute fréquence et propagation d’ondes</w:t>
      </w:r>
      <w:r>
        <w:t xml:space="preserve"> : pas de Maxwell complet ; le courant de déplacement est négligé.</w:t>
      </w:r>
    </w:p>
    <w:p>
      <w:pPr>
        <w:pStyle w:val="ListParagraph"/>
        <w:numPr>
          <w:ilvl w:val="0"/>
          <w:numId w:val="2"/>
        </w:numPr>
        <w:spacing w:after="60" w:line="276"/>
      </w:pPr>
      <w:r>
        <w:rPr>
          <w:b/>
          <w:bCs/>
        </w:rPr>
        <w:t xml:space="preserve">Électrostatique et CAO de précision</w:t>
      </w:r>
      <w:r>
        <w:t xml:space="preserve"> : pas de maillage adaptatif fin de type bureau d’études en v1.</w:t>
      </w:r>
    </w:p>
    <w:p>
      <w:pPr>
        <w:pStyle w:val="Heading2"/>
      </w:pPr>
      <w:bookmarkStart w:name="sec_6" w:id="106"/>
      <w:r>
        <w:rPr>
          <w:color w:val="0369A1"/>
        </w:rPr>
        <w:t xml:space="preserve">1.4  </w:t>
      </w:r>
      <w:r>
        <w:t xml:space="preserve">Hypothèses de travail</w:t>
      </w:r>
      <w:bookmarkEnd w:id="106"/>
    </w:p>
    <w:p>
      <w:pPr>
        <w:spacing w:after="120" w:before="0" w:line="276"/>
        <w:jc w:val="both"/>
      </w:pPr>
      <w:r>
        <w:t xml:space="preserve">En l’absence de précisions, ce document suppose : une application de bureau (Windows, macOS, Linux) avec une cible web possible plus tard, un public mixte (pédagogie et passionnés exigeants), une interface en français avec anglais prévu, et deux vues mécaniques disponibles (vue de dessus et vue de côté). Ces points sont repris dans les questions ouvertes.</w:t>
      </w:r>
    </w:p>
    <w:p>
      <w:pPr>
        <w:pStyle w:val="Heading1"/>
        <w:pageBreakBefore/>
      </w:pPr>
      <w:bookmarkStart w:name="sec_7" w:id="107"/>
      <w:r>
        <w:rPr>
          <w:color w:val="0369A1"/>
        </w:rPr>
        <w:t xml:space="preserve">2  </w:t>
      </w:r>
      <w:r>
        <w:t xml:space="preserve">Modèle physique</w:t>
      </w:r>
      <w:bookmarkEnd w:id="107"/>
    </w:p>
    <w:p>
      <w:pPr>
        <w:pStyle w:val="Heading2"/>
      </w:pPr>
      <w:bookmarkStart w:name="sec_8" w:id="108"/>
      <w:r>
        <w:rPr>
          <w:color w:val="0369A1"/>
        </w:rPr>
        <w:t xml:space="preserve">2.1  </w:t>
      </w:r>
      <w:r>
        <w:t xml:space="preserve">Équations de base</w:t>
      </w:r>
      <w:bookmarkEnd w:id="108"/>
    </w:p>
    <w:p>
      <w:pPr>
        <w:spacing w:after="120" w:before="0" w:line="276"/>
        <w:jc w:val="both"/>
      </w:pPr>
      <w:r>
        <w:t xml:space="preserve">En régime quasi-statique (fréquences assez basses pour négliger le courant de déplacement), le champ magnétique obéit à deux équations et à une loi de comportement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F3F6FA" w:color="auto" w:val="clear"/>
            <w:tcMar>
              <w:top w:type="dxa" w:w="100"/>
              <w:left w:type="dxa" w:w="200"/>
              <w:bottom w:type="dxa" w:w="60"/>
              <w:right w:type="dxa" w:w="200"/>
            </w:tcMar>
          </w:tcPr>
          <w:p>
            <w:pPr>
              <w:spacing w:after="50"/>
              <w:jc w:val="center"/>
            </w:pPr>
            <w:r>
              <w:rPr>
                <w:rFonts w:ascii="Cambria Math" w:cs="Cambria Math" w:eastAsia="Cambria Math" w:hAnsi="Cambria Math"/>
                <w:color w:val="111827"/>
                <w:sz w:val="22"/>
                <w:szCs w:val="22"/>
              </w:rPr>
              <w:t xml:space="preserve">∇·B = 0          ∇×H = J          B = μ</w:t>
            </w:r>
            <w:r>
              <w:rPr>
                <w:rFonts w:ascii="Cambria Math" w:cs="Cambria Math" w:eastAsia="Cambria Math" w:hAnsi="Cambria Math"/>
                <w:color w:val="111827"/>
                <w:sz w:val="22"/>
                <w:szCs w:val="22"/>
                <w:vertAlign w:val="subscript"/>
              </w:rPr>
              <w:t xml:space="preserve">0</w:t>
            </w:r>
            <w:r>
              <w:rPr>
                <w:rFonts w:ascii="Cambria Math" w:cs="Cambria Math" w:eastAsia="Cambria Math" w:hAnsi="Cambria Math"/>
                <w:color w:val="111827"/>
                <w:sz w:val="22"/>
                <w:szCs w:val="22"/>
              </w:rPr>
              <w:t xml:space="preserve"> (H + M)</w:t>
            </w:r>
          </w:p>
        </w:tc>
      </w:tr>
    </w:tbl>
    <w:p>
      <w:pPr>
        <w:spacing w:after="100" w:before="0" w:line="200"/>
      </w:pPr>
    </w:p>
    <w:p>
      <w:pPr>
        <w:spacing w:after="120" w:before="0" w:line="276"/>
        <w:jc w:val="both"/>
      </w:pPr>
      <w:r>
        <w:t xml:space="preserve">B est l’induction (en tesla), H le champ magnétique (A/m), J la densité de courant (A/m²) et M l’aimantation du matériau (A/m). La constante μ</w:t>
      </w:r>
      <w:r>
        <w:rPr>
          <w:vertAlign w:val="subscript"/>
        </w:rPr>
        <w:t xml:space="preserve">0</w:t>
      </w:r>
      <w:r>
        <w:t xml:space="preserve"> vaut 4π×10</w:t>
      </w:r>
      <w:r>
        <w:rPr>
          <w:vertAlign w:val="superscript"/>
        </w:rPr>
        <w:t xml:space="preserve">−7</w:t>
      </w:r>
      <w:r>
        <w:t xml:space="preserve"> H/m (environ 1,2566×10</w:t>
      </w:r>
      <w:r>
        <w:rPr>
          <w:vertAlign w:val="superscript"/>
        </w:rPr>
        <w:t xml:space="preserve">−6</w:t>
      </w:r>
      <w:r>
        <w:t xml:space="preserve"> H/m dans le SI révisé de 2019). Toute la richesse du simulateur tient dans la relation entre M et H, propre à chaque matériau (section 2.4).</w:t>
      </w:r>
    </w:p>
    <w:p>
      <w:pPr>
        <w:pStyle w:val="Heading2"/>
      </w:pPr>
      <w:bookmarkStart w:name="sec_9" w:id="109"/>
      <w:r>
        <w:rPr>
          <w:color w:val="0369A1"/>
        </w:rPr>
        <w:t xml:space="preserve">2.2  </w:t>
      </w:r>
      <w:r>
        <w:t xml:space="preserve">Le choix de la 2D</w:t>
      </w:r>
      <w:bookmarkEnd w:id="109"/>
    </w:p>
    <w:p>
      <w:pPr>
        <w:spacing w:after="120" w:before="0" w:line="276"/>
        <w:jc w:val="both"/>
      </w:pPr>
      <w:r>
        <w:t xml:space="preserve">« Faire de la 2D » peut signifier trois modèles physiques différents. Le choix est structurant, car il détermine ce que les chiffres affichés veulent dire.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500"/>
        <w:gridCol w:w="2800"/>
        <w:gridCol w:w="2638"/>
      </w:tblGrid>
      <w:tr>
        <w:trPr>
          <w:tblHeader/>
        </w:trPr>
        <w:tc>
          <w:tcPr>
            <w:tcW w:type="dxa" w:w="17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Modèle</w:t>
            </w:r>
          </w:p>
        </w:tc>
        <w:tc>
          <w:tcPr>
            <w:tcW w:type="dxa" w:w="25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Hypothèse</w:t>
            </w:r>
          </w:p>
        </w:tc>
        <w:tc>
          <w:tcPr>
            <w:tcW w:type="dxa" w:w="28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Avantages</w:t>
            </w:r>
          </w:p>
        </w:tc>
        <w:tc>
          <w:tcPr>
            <w:tcW w:type="dxa" w:w="26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Limites</w:t>
            </w:r>
          </w:p>
        </w:tc>
      </w:tr>
      <w:tr>
        <w:trPr>
          <w:cantSplit/>
        </w:trPr>
        <w:tc>
          <w:tcPr>
            <w:tcW w:type="dxa" w:w="1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2D plan</w:t>
            </w:r>
            <w:r>
              <w:rPr>
                <w:b w:val="false"/>
                <w:bCs w:val="false"/>
                <w:sz w:val="17"/>
                <w:szCs w:val="17"/>
              </w:rPr>
              <w:t xml:space="preserve"> (recommandé)</w:t>
            </w:r>
          </w:p>
        </w:tc>
        <w:tc>
          <w:tcPr>
            <w:tcW w:type="dxa" w:w="2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Objets infiniment longs selon z ; courants selon z ; B dans le plan</w:t>
            </w:r>
          </w:p>
        </w:tc>
        <w:tc>
          <w:tcPr>
            <w:tcW w:type="dxa" w:w="28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Exact, une seule inconnue A</w:t>
            </w:r>
            <w:r>
              <w:rPr>
                <w:b w:val="false"/>
                <w:bCs w:val="false"/>
                <w:sz w:val="17"/>
                <w:szCs w:val="17"/>
                <w:vertAlign w:val="subscript"/>
              </w:rPr>
              <w:t xml:space="preserve">z</w:t>
            </w:r>
            <w:r>
              <w:rPr>
                <w:b w:val="false"/>
                <w:bCs w:val="false"/>
                <w:sz w:val="17"/>
                <w:szCs w:val="17"/>
              </w:rPr>
              <w:t xml:space="preserve">, standard industriel (FEMM), forces par mètre de profondeur</w:t>
            </w:r>
          </w:p>
        </w:tc>
        <w:tc>
          <w:tcPr>
            <w:tcW w:type="dxa" w:w="26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Un aimant est un barreau infini : son champ décroît en 1/r² au lieu de 1/r³ en 3D</w:t>
            </w:r>
          </w:p>
        </w:tc>
      </w:tr>
      <w:tr>
        <w:trPr>
          <w:cantSplit/>
        </w:trPr>
        <w:tc>
          <w:tcPr>
            <w:tcW w:type="dxa" w:w="1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Axisymétrique</w:t>
            </w:r>
          </w:p>
        </w:tc>
        <w:tc>
          <w:tcPr>
            <w:tcW w:type="dxa" w:w="25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Symétrie de révolution autour d’un axe</w:t>
            </w:r>
          </w:p>
        </w:tc>
        <w:tc>
          <w:tcPr>
            <w:tcW w:type="dxa" w:w="28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Exact pour solénoïdes, aimants cylindriques, haut-parleurs</w:t>
            </w:r>
          </w:p>
        </w:tc>
        <w:tc>
          <w:tcPr>
            <w:tcW w:type="dxa" w:w="26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Réservé aux scènes de révolution</w:t>
            </w:r>
          </w:p>
        </w:tc>
      </w:tr>
      <w:tr>
        <w:trPr>
          <w:cantSplit/>
        </w:trPr>
        <w:tc>
          <w:tcPr>
            <w:tcW w:type="dxa" w:w="1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Quasi-3D (2,5D)</w:t>
            </w:r>
          </w:p>
        </w:tc>
        <w:tc>
          <w:tcPr>
            <w:tcW w:type="dxa" w:w="2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Objets d’épaisseur finie, champ 3D évalué dans le plan médian</w:t>
            </w:r>
          </w:p>
        </w:tc>
        <w:tc>
          <w:tcPr>
            <w:tcW w:type="dxa" w:w="28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Ordres de grandeur 3D</w:t>
            </w:r>
          </w:p>
        </w:tc>
        <w:tc>
          <w:tcPr>
            <w:tcW w:type="dxa" w:w="26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Pas de solution exacte dès qu’il y a du fer : coûteux et approximatif</w:t>
            </w:r>
          </w:p>
        </w:tc>
      </w:tr>
    </w:tbl>
    <w:p>
      <w:pPr>
        <w:spacing w:after="80" w:before="0" w:line="200"/>
      </w:pPr>
    </w:p>
    <w:p>
      <w:pPr>
        <w:spacing w:after="120" w:before="0" w:line="276"/>
        <w:jc w:val="both"/>
      </w:pPr>
      <w:r>
        <w:rPr>
          <w:b/>
          <w:bCs/>
        </w:rPr>
        <w:t xml:space="preserve">Recommandation.</w:t>
      </w:r>
      <w:r>
        <w:t xml:space="preserve"> Le mode 2D plan en version 1, avec une </w:t>
      </w:r>
      <w:r>
        <w:rPr>
          <w:b/>
          <w:bCs/>
        </w:rPr>
        <w:t xml:space="preserve">profondeur</w:t>
      </w:r>
      <w:r>
        <w:t xml:space="preserve"> de scène (par exemple 10 mm) qui convertit les grandeurs par mètre en grandeurs réelles (forces en newtons, masses en grammes). Le mode axisymétrique arrive en phase 4 : il réutilise la même grille et le même solveur avec un opérateur pondéré par le rayon. L’interface affiche en permanence un badge « 2D plan · profondeur 10 mm » pour qu’aucun utilisateur ne confonde ces résultats avec ceux d’un aimant 3D.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369A1" w:sz="24"/>
              <w:bottom w:val="none" w:color="FFFFFF" w:sz="0"/>
              <w:right w:val="none" w:color="FFFFFF" w:sz="0"/>
            </w:tcBorders>
            <w:shd w:fill="E0F2FE" w:color="auto" w:val="clear"/>
            <w:tcMar>
              <w:top w:type="dxa" w:w="120"/>
              <w:left w:type="dxa" w:w="200"/>
              <w:bottom w:type="dxa" w:w="100"/>
              <w:right w:type="dxa" w:w="200"/>
            </w:tcMar>
          </w:tcPr>
          <w:p>
            <w:pPr>
              <w:spacing w:after="60"/>
            </w:pPr>
            <w:r>
              <w:rPr>
                <w:b/>
                <w:bCs/>
                <w:color w:val="0369A1"/>
                <w:sz w:val="20"/>
                <w:szCs w:val="20"/>
              </w:rPr>
              <w:t xml:space="preserve">Une propriété utile du 2D plan</w:t>
            </w:r>
          </w:p>
          <w:p>
            <w:pPr>
              <w:spacing w:after="60" w:line="264"/>
              <w:jc w:val="left"/>
            </w:pPr>
            <w:r>
              <w:rPr>
                <w:sz w:val="19"/>
                <w:szCs w:val="19"/>
              </w:rPr>
              <w:t xml:space="preserve">La force magnétique par mètre et la masse par mètre sont toutes deux proportionnelles à la profondeur. Le critère « l’objet se met-il en mouvement ? » ne dépend donc pas de la profondeur choisie : il est fixé par la géométrie, les matériaux et le frottement. La profondeur ne sert qu’à afficher des valeurs absolues lisibles.</w:t>
            </w:r>
          </w:p>
        </w:tc>
      </w:tr>
    </w:tbl>
    <w:p>
      <w:pPr>
        <w:spacing w:after="100" w:before="0" w:line="200"/>
      </w:pPr>
    </w:p>
    <w:p>
      <w:pPr>
        <w:pStyle w:val="Heading2"/>
      </w:pPr>
      <w:bookmarkStart w:name="sec_10" w:id="110"/>
      <w:r>
        <w:rPr>
          <w:color w:val="0369A1"/>
        </w:rPr>
        <w:t xml:space="preserve">2.3  </w:t>
      </w:r>
      <w:r>
        <w:t xml:space="preserve">Formulation en potentiel vecteur</w:t>
      </w:r>
      <w:bookmarkEnd w:id="110"/>
    </w:p>
    <w:p>
      <w:pPr>
        <w:spacing w:after="120" w:before="0" w:line="276"/>
        <w:jc w:val="both"/>
      </w:pPr>
      <w:r>
        <w:t xml:space="preserve">Comme ∇·B = 0, on écrit B = ∇×A. En 2D plan, A n’a qu’une composante, A</w:t>
      </w:r>
      <w:r>
        <w:rPr>
          <w:vertAlign w:val="subscript"/>
        </w:rPr>
        <w:t xml:space="preserve">z</w:t>
      </w:r>
      <w:r>
        <w:t xml:space="preserve">, et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F3F6FA" w:color="auto" w:val="clear"/>
            <w:tcMar>
              <w:top w:type="dxa" w:w="100"/>
              <w:left w:type="dxa" w:w="200"/>
              <w:bottom w:type="dxa" w:w="60"/>
              <w:right w:type="dxa" w:w="200"/>
            </w:tcMar>
          </w:tcPr>
          <w:p>
            <w:pPr>
              <w:spacing w:after="50"/>
              <w:jc w:val="center"/>
            </w:pPr>
            <w:r>
              <w:rPr>
                <w:rFonts w:ascii="Cambria Math" w:cs="Cambria Math" w:eastAsia="Cambria Math" w:hAnsi="Cambria Math"/>
                <w:color w:val="111827"/>
                <w:sz w:val="22"/>
                <w:szCs w:val="22"/>
              </w:rPr>
              <w:t xml:space="preserve">B</w:t>
            </w:r>
            <w:r>
              <w:rPr>
                <w:rFonts w:ascii="Cambria Math" w:cs="Cambria Math" w:eastAsia="Cambria Math" w:hAnsi="Cambria Math"/>
                <w:color w:val="111827"/>
                <w:sz w:val="22"/>
                <w:szCs w:val="22"/>
                <w:vertAlign w:val="subscript"/>
              </w:rPr>
              <w:t xml:space="preserve">x</w:t>
            </w:r>
            <w:r>
              <w:rPr>
                <w:rFonts w:ascii="Cambria Math" w:cs="Cambria Math" w:eastAsia="Cambria Math" w:hAnsi="Cambria Math"/>
                <w:color w:val="111827"/>
                <w:sz w:val="22"/>
                <w:szCs w:val="22"/>
              </w:rPr>
              <w:t xml:space="preserve"> = ∂A</w:t>
            </w:r>
            <w:r>
              <w:rPr>
                <w:rFonts w:ascii="Cambria Math" w:cs="Cambria Math" w:eastAsia="Cambria Math" w:hAnsi="Cambria Math"/>
                <w:color w:val="111827"/>
                <w:sz w:val="22"/>
                <w:szCs w:val="22"/>
                <w:vertAlign w:val="subscript"/>
              </w:rPr>
              <w:t xml:space="preserve">z</w:t>
            </w:r>
            <w:r>
              <w:rPr>
                <w:rFonts w:ascii="Cambria Math" w:cs="Cambria Math" w:eastAsia="Cambria Math" w:hAnsi="Cambria Math"/>
                <w:color w:val="111827"/>
                <w:sz w:val="22"/>
                <w:szCs w:val="22"/>
              </w:rPr>
              <w:t xml:space="preserve">/∂y          B</w:t>
            </w:r>
            <w:r>
              <w:rPr>
                <w:rFonts w:ascii="Cambria Math" w:cs="Cambria Math" w:eastAsia="Cambria Math" w:hAnsi="Cambria Math"/>
                <w:color w:val="111827"/>
                <w:sz w:val="22"/>
                <w:szCs w:val="22"/>
                <w:vertAlign w:val="subscript"/>
              </w:rPr>
              <w:t xml:space="preserve">y</w:t>
            </w:r>
            <w:r>
              <w:rPr>
                <w:rFonts w:ascii="Cambria Math" w:cs="Cambria Math" w:eastAsia="Cambria Math" w:hAnsi="Cambria Math"/>
                <w:color w:val="111827"/>
                <w:sz w:val="22"/>
                <w:szCs w:val="22"/>
              </w:rPr>
              <w:t xml:space="preserve"> = −∂A</w:t>
            </w:r>
            <w:r>
              <w:rPr>
                <w:rFonts w:ascii="Cambria Math" w:cs="Cambria Math" w:eastAsia="Cambria Math" w:hAnsi="Cambria Math"/>
                <w:color w:val="111827"/>
                <w:sz w:val="22"/>
                <w:szCs w:val="22"/>
                <w:vertAlign w:val="subscript"/>
              </w:rPr>
              <w:t xml:space="preserve">z</w:t>
            </w:r>
            <w:r>
              <w:rPr>
                <w:rFonts w:ascii="Cambria Math" w:cs="Cambria Math" w:eastAsia="Cambria Math" w:hAnsi="Cambria Math"/>
                <w:color w:val="111827"/>
                <w:sz w:val="22"/>
                <w:szCs w:val="22"/>
              </w:rPr>
              <w:t xml:space="preserve">/∂x</w:t>
            </w:r>
          </w:p>
          <w:p>
            <w:pPr>
              <w:spacing w:after="50"/>
              <w:jc w:val="center"/>
            </w:pPr>
            <w:r>
              <w:rPr>
                <w:rFonts w:ascii="Cambria Math" w:cs="Cambria Math" w:eastAsia="Cambria Math" w:hAnsi="Cambria Math"/>
                <w:color w:val="111827"/>
                <w:sz w:val="22"/>
                <w:szCs w:val="22"/>
              </w:rPr>
              <w:t xml:space="preserve">−∇·(ν ∇A</w:t>
            </w:r>
            <w:r>
              <w:rPr>
                <w:rFonts w:ascii="Cambria Math" w:cs="Cambria Math" w:eastAsia="Cambria Math" w:hAnsi="Cambria Math"/>
                <w:color w:val="111827"/>
                <w:sz w:val="22"/>
                <w:szCs w:val="22"/>
                <w:vertAlign w:val="subscript"/>
              </w:rPr>
              <w:t xml:space="preserve">z</w:t>
            </w:r>
            <w:r>
              <w:rPr>
                <w:rFonts w:ascii="Cambria Math" w:cs="Cambria Math" w:eastAsia="Cambria Math" w:hAnsi="Cambria Math"/>
                <w:color w:val="111827"/>
                <w:sz w:val="22"/>
                <w:szCs w:val="22"/>
              </w:rPr>
              <w:t xml:space="preserve">) = J</w:t>
            </w:r>
            <w:r>
              <w:rPr>
                <w:rFonts w:ascii="Cambria Math" w:cs="Cambria Math" w:eastAsia="Cambria Math" w:hAnsi="Cambria Math"/>
                <w:color w:val="111827"/>
                <w:sz w:val="22"/>
                <w:szCs w:val="22"/>
                <w:vertAlign w:val="subscript"/>
              </w:rPr>
              <w:t xml:space="preserve">z</w:t>
            </w:r>
            <w:r>
              <w:rPr>
                <w:rFonts w:ascii="Cambria Math" w:cs="Cambria Math" w:eastAsia="Cambria Math" w:hAnsi="Cambria Math"/>
                <w:color w:val="111827"/>
                <w:sz w:val="22"/>
                <w:szCs w:val="22"/>
              </w:rPr>
              <w:t xml:space="preserve"> + ∂(ν B</w:t>
            </w:r>
            <w:r>
              <w:rPr>
                <w:rFonts w:ascii="Cambria Math" w:cs="Cambria Math" w:eastAsia="Cambria Math" w:hAnsi="Cambria Math"/>
                <w:color w:val="111827"/>
                <w:sz w:val="22"/>
                <w:szCs w:val="22"/>
                <w:vertAlign w:val="subscript"/>
              </w:rPr>
              <w:t xml:space="preserve">r,y</w:t>
            </w:r>
            <w:r>
              <w:rPr>
                <w:rFonts w:ascii="Cambria Math" w:cs="Cambria Math" w:eastAsia="Cambria Math" w:hAnsi="Cambria Math"/>
                <w:color w:val="111827"/>
                <w:sz w:val="22"/>
                <w:szCs w:val="22"/>
              </w:rPr>
              <w:t xml:space="preserve">)/∂x − ∂(ν B</w:t>
            </w:r>
            <w:r>
              <w:rPr>
                <w:rFonts w:ascii="Cambria Math" w:cs="Cambria Math" w:eastAsia="Cambria Math" w:hAnsi="Cambria Math"/>
                <w:color w:val="111827"/>
                <w:sz w:val="22"/>
                <w:szCs w:val="22"/>
                <w:vertAlign w:val="subscript"/>
              </w:rPr>
              <w:t xml:space="preserve">r,x</w:t>
            </w:r>
            <w:r>
              <w:rPr>
                <w:rFonts w:ascii="Cambria Math" w:cs="Cambria Math" w:eastAsia="Cambria Math" w:hAnsi="Cambria Math"/>
                <w:color w:val="111827"/>
                <w:sz w:val="22"/>
                <w:szCs w:val="22"/>
              </w:rPr>
              <w:t xml:space="preserve">)/∂y</w:t>
            </w:r>
          </w:p>
        </w:tc>
      </w:tr>
    </w:tbl>
    <w:p>
      <w:pPr>
        <w:spacing w:after="100" w:before="0" w:line="200"/>
      </w:pPr>
    </w:p>
    <w:p>
      <w:pPr>
        <w:spacing w:after="120" w:before="0" w:line="276"/>
        <w:jc w:val="both"/>
      </w:pPr>
      <w:r>
        <w:t xml:space="preserve">ν = 1/μ est la réluctivité du matériau et B</w:t>
      </w:r>
      <w:r>
        <w:rPr>
          <w:vertAlign w:val="subscript"/>
        </w:rPr>
        <w:t xml:space="preserve">r</w:t>
      </w:r>
      <w:r>
        <w:t xml:space="preserve"> l’induction rémanente des aimants. Cette formulation a trois propriétés précieuses pour un simulateur visuel :</w:t>
      </w:r>
    </w:p>
    <w:p>
      <w:pPr>
        <w:pStyle w:val="ListParagraph"/>
        <w:numPr>
          <w:ilvl w:val="0"/>
          <w:numId w:val="3"/>
        </w:numPr>
        <w:spacing w:after="60" w:line="276"/>
      </w:pPr>
      <w:r>
        <w:rPr>
          <w:b/>
          <w:bCs/>
        </w:rPr>
        <w:t xml:space="preserve">Les lignes de champ sont les isolignes de A</w:t>
      </w:r>
      <w:r>
        <w:rPr>
          <w:b/>
          <w:bCs/>
          <w:vertAlign w:val="subscript"/>
        </w:rPr>
        <w:t xml:space="preserve">z</w:t>
      </w:r>
      <w:r>
        <w:rPr>
          <w:b/>
          <w:bCs/>
        </w:rPr>
        <w:t xml:space="preserve">.</w:t>
      </w:r>
      <w:r>
        <w:t xml:space="preserve"> Pas d’intégration de trajectoires, pas de lignes qui s’arrêtent ou se croisent par erreur numérique.</w:t>
      </w:r>
    </w:p>
    <w:p>
      <w:pPr>
        <w:pStyle w:val="ListParagraph"/>
        <w:numPr>
          <w:ilvl w:val="0"/>
          <w:numId w:val="3"/>
        </w:numPr>
        <w:spacing w:after="60" w:line="276"/>
      </w:pPr>
      <w:r>
        <w:rPr>
          <w:b/>
          <w:bCs/>
        </w:rPr>
        <w:t xml:space="preserve">Leur densité est physiquement juste</w:t>
      </w:r>
      <w:r>
        <w:t xml:space="preserve"> : en traçant les isolignes à pas constant ΔA, l’écart entre deux lignes est inversement proportionnel à |B|.</w:t>
      </w:r>
    </w:p>
    <w:p>
      <w:pPr>
        <w:pStyle w:val="ListParagraph"/>
        <w:numPr>
          <w:ilvl w:val="0"/>
          <w:numId w:val="3"/>
        </w:numPr>
        <w:spacing w:after="60" w:line="276"/>
      </w:pPr>
      <w:r>
        <w:rPr>
          <w:b/>
          <w:bCs/>
        </w:rPr>
        <w:t xml:space="preserve">Le flux est immédiat</w:t>
      </w:r>
      <w:r>
        <w:t xml:space="preserve"> : le flux traversant un segment PQ, par mètre de profondeur, vaut A</w:t>
      </w:r>
      <w:r>
        <w:rPr>
          <w:vertAlign w:val="subscript"/>
        </w:rPr>
        <w:t xml:space="preserve">z</w:t>
      </w:r>
      <w:r>
        <w:t xml:space="preserve">(Q) − A</w:t>
      </w:r>
      <w:r>
        <w:rPr>
          <w:vertAlign w:val="subscript"/>
        </w:rPr>
        <w:t xml:space="preserve">z</w:t>
      </w:r>
      <w:r>
        <w:t xml:space="preserve">(P).</w:t>
      </w:r>
    </w:p>
    <w:p>
      <w:pPr>
        <w:pStyle w:val="Heading2"/>
      </w:pPr>
      <w:bookmarkStart w:name="sec_11" w:id="111"/>
      <w:r>
        <w:rPr>
          <w:color w:val="0369A1"/>
        </w:rPr>
        <w:t xml:space="preserve">2.4  </w:t>
      </w:r>
      <w:r>
        <w:t xml:space="preserve">Lois de comportement des matériaux</w:t>
      </w:r>
      <w:bookmarkEnd w:id="111"/>
    </w:p>
    <w:p>
      <w:pPr>
        <w:pStyle w:val="Heading3"/>
      </w:pPr>
      <w:r>
        <w:t xml:space="preserve">Vide, air et matériaux linéaires faibles (para- et diamagnétiques)</w:t>
      </w:r>
    </w:p>
    <w:p>
      <w:pPr>
        <w:spacing w:after="120" w:before="0" w:line="276"/>
        <w:jc w:val="both"/>
      </w:pPr>
      <w:r>
        <w:t xml:space="preserve">M = χH, soit μ</w:t>
      </w:r>
      <w:r>
        <w:rPr>
          <w:vertAlign w:val="subscript"/>
        </w:rPr>
        <w:t xml:space="preserve">r</w:t>
      </w:r>
      <w:r>
        <w:t xml:space="preserve"> = 1 + χ. Pour les paramagnétiques χ est positif et petit (10</w:t>
      </w:r>
      <w:r>
        <w:rPr>
          <w:vertAlign w:val="superscript"/>
        </w:rPr>
        <w:t xml:space="preserve">−6</w:t>
      </w:r>
      <w:r>
        <w:t xml:space="preserve"> à 10</w:t>
      </w:r>
      <w:r>
        <w:rPr>
          <w:vertAlign w:val="superscript"/>
        </w:rPr>
        <w:t xml:space="preserve">−3</w:t>
      </w:r>
      <w:r>
        <w:t xml:space="preserve">) ; pour les diamagnétiques il est négatif (−10</w:t>
      </w:r>
      <w:r>
        <w:rPr>
          <w:vertAlign w:val="superscript"/>
        </w:rPr>
        <w:t xml:space="preserve">−6</w:t>
      </w:r>
      <w:r>
        <w:t xml:space="preserve"> à −5×10</w:t>
      </w:r>
      <w:r>
        <w:rPr>
          <w:vertAlign w:val="superscript"/>
        </w:rPr>
        <w:t xml:space="preserve">−4</w:t>
      </w:r>
      <w:r>
        <w:t xml:space="preserve">). Leur effet sur la carte du champ est invisible (variation relative de l’ordre de 10</w:t>
      </w:r>
      <w:r>
        <w:rPr>
          <w:vertAlign w:val="superscript"/>
        </w:rPr>
        <w:t xml:space="preserve">−5</w:t>
      </w:r>
      <w:r>
        <w:t xml:space="preserve">), mais la force qu’ils subissent est mesurable et fait toute la différence entre un morceau de graphite qui lévite et un morceau de cuivre qui ne bouge pas.</w:t>
      </w:r>
    </w:p>
    <w:p>
      <w:pPr>
        <w:spacing w:after="120" w:before="0" w:line="276"/>
        <w:jc w:val="both"/>
      </w:pPr>
      <w:r>
        <w:rPr>
          <w:b/>
          <w:bCs/>
        </w:rPr>
        <w:t xml:space="preserve">Choix de conception</w:t>
      </w:r>
      <w:r>
        <w:t xml:space="preserve"> : ces matériaux sont traités de façon perturbative. Le solveur calcule le champ sans eux, puis la force est obtenue par la densité de force de Kelvin, exacte au premier ordre en χ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F3F6FA" w:color="auto" w:val="clear"/>
            <w:tcMar>
              <w:top w:type="dxa" w:w="100"/>
              <w:left w:type="dxa" w:w="200"/>
              <w:bottom w:type="dxa" w:w="60"/>
              <w:right w:type="dxa" w:w="200"/>
            </w:tcMar>
          </w:tcPr>
          <w:p>
            <w:pPr>
              <w:spacing w:after="50"/>
              <w:jc w:val="center"/>
            </w:pPr>
            <w:r>
              <w:rPr>
                <w:rFonts w:ascii="Cambria Math" w:cs="Cambria Math" w:eastAsia="Cambria Math" w:hAnsi="Cambria Math"/>
                <w:color w:val="111827"/>
                <w:sz w:val="22"/>
                <w:szCs w:val="22"/>
              </w:rPr>
              <w:t xml:space="preserve">f = (χ/μ</w:t>
            </w:r>
            <w:r>
              <w:rPr>
                <w:rFonts w:ascii="Cambria Math" w:cs="Cambria Math" w:eastAsia="Cambria Math" w:hAnsi="Cambria Math"/>
                <w:color w:val="111827"/>
                <w:sz w:val="22"/>
                <w:szCs w:val="22"/>
                <w:vertAlign w:val="subscript"/>
              </w:rPr>
              <w:t xml:space="preserve">0</w:t>
            </w:r>
            <w:r>
              <w:rPr>
                <w:rFonts w:ascii="Cambria Math" w:cs="Cambria Math" w:eastAsia="Cambria Math" w:hAnsi="Cambria Math"/>
                <w:color w:val="111827"/>
                <w:sz w:val="22"/>
                <w:szCs w:val="22"/>
              </w:rPr>
              <w:t xml:space="preserve">) (B·∇)B ≈ (χ/2μ</w:t>
            </w:r>
            <w:r>
              <w:rPr>
                <w:rFonts w:ascii="Cambria Math" w:cs="Cambria Math" w:eastAsia="Cambria Math" w:hAnsi="Cambria Math"/>
                <w:color w:val="111827"/>
                <w:sz w:val="22"/>
                <w:szCs w:val="22"/>
                <w:vertAlign w:val="subscript"/>
              </w:rPr>
              <w:t xml:space="preserve">0</w:t>
            </w:r>
            <w:r>
              <w:rPr>
                <w:rFonts w:ascii="Cambria Math" w:cs="Cambria Math" w:eastAsia="Cambria Math" w:hAnsi="Cambria Math"/>
                <w:color w:val="111827"/>
                <w:sz w:val="22"/>
                <w:szCs w:val="22"/>
              </w:rPr>
              <w:t xml:space="preserve">) ∇(B²)</w:t>
            </w:r>
          </w:p>
        </w:tc>
      </w:tr>
    </w:tbl>
    <w:p>
      <w:pPr>
        <w:spacing w:after="100" w:before="0" w:line="200"/>
      </w:pPr>
    </w:p>
    <w:p>
      <w:pPr>
        <w:spacing w:after="120" w:before="0" w:line="276"/>
        <w:jc w:val="both"/>
      </w:pPr>
      <w:r>
        <w:t xml:space="preserve">Cette approche évite un piège de précision : en simple précision (f32), une perméabilité de 1,00002 se noie dans le résidu du solveur. Le graphite pyrolytique, fortement anisotrope (χ</w:t>
      </w:r>
      <w:r>
        <w:rPr>
          <w:vertAlign w:val="subscript"/>
        </w:rPr>
        <w:t xml:space="preserve">⊥</w:t>
      </w:r>
      <w:r>
        <w:t xml:space="preserve"> ≈ −4,5×10</w:t>
      </w:r>
      <w:r>
        <w:rPr>
          <w:vertAlign w:val="superscript"/>
        </w:rPr>
        <w:t xml:space="preserve">−4</w:t>
      </w:r>
      <w:r>
        <w:t xml:space="preserve">, χ</w:t>
      </w:r>
      <w:r>
        <w:rPr>
          <w:vertAlign w:val="subscript"/>
        </w:rPr>
        <w:t xml:space="preserve">∥</w:t>
      </w:r>
      <w:r>
        <w:t xml:space="preserve"> ≈ −8,5×10</w:t>
      </w:r>
      <w:r>
        <w:rPr>
          <w:vertAlign w:val="superscript"/>
        </w:rPr>
        <w:t xml:space="preserve">−5</w:t>
      </w:r>
      <w:r>
        <w:t xml:space="preserve">), est modélisé par un tenseur de susceptibilité orienté avec l’objet.</w:t>
      </w:r>
    </w:p>
    <w:p>
      <w:pPr>
        <w:pStyle w:val="Heading3"/>
      </w:pPr>
      <w:r>
        <w:t xml:space="preserve">Ferromagnétiques doux</w:t>
      </w:r>
    </w:p>
    <w:p>
      <w:pPr>
        <w:pStyle w:val="ListParagraph"/>
        <w:numPr>
          <w:ilvl w:val="0"/>
          <w:numId w:val="2"/>
        </w:numPr>
        <w:spacing w:after="60" w:line="276"/>
      </w:pPr>
      <w:r>
        <w:rPr>
          <w:b/>
          <w:bCs/>
        </w:rPr>
        <w:t xml:space="preserve">Courbe B(H) non linéaire</w:t>
      </w:r>
      <w:r>
        <w:t xml:space="preserve"> importée des fiches techniques (table de points), interpolée par une spline cubique monotone (Fritsch–Carlson), prolongée au-delà de la saturation par B = μ</w:t>
      </w:r>
      <w:r>
        <w:rPr>
          <w:vertAlign w:val="subscript"/>
        </w:rPr>
        <w:t xml:space="preserve">0</w:t>
      </w:r>
      <w:r>
        <w:t xml:space="preserve">H + μ</w:t>
      </w:r>
      <w:r>
        <w:rPr>
          <w:vertAlign w:val="subscript"/>
        </w:rPr>
        <w:t xml:space="preserve">0</w:t>
      </w:r>
      <w:r>
        <w:t xml:space="preserve">M</w:t>
      </w:r>
      <w:r>
        <w:rPr>
          <w:vertAlign w:val="subscript"/>
        </w:rPr>
        <w:t xml:space="preserve">s</w:t>
      </w:r>
      <w:r>
        <w:t xml:space="preserve">. Sur le GPU, la loi est stockée sous forme de texture 1D ν(B²) par matériau.</w:t>
      </w:r>
    </w:p>
    <w:p>
      <w:pPr>
        <w:pStyle w:val="ListParagraph"/>
        <w:numPr>
          <w:ilvl w:val="0"/>
          <w:numId w:val="2"/>
        </w:numPr>
        <w:spacing w:after="60" w:line="276"/>
      </w:pPr>
      <w:r>
        <w:rPr>
          <w:b/>
          <w:bCs/>
        </w:rPr>
        <w:t xml:space="preserve">Hystérésis optionnelle</w:t>
      </w:r>
      <w:r>
        <w:t xml:space="preserve"> par le modèle de Jiles–Atherton (5 paramètres : M</w:t>
      </w:r>
      <w:r>
        <w:rPr>
          <w:vertAlign w:val="subscript"/>
        </w:rPr>
        <w:t xml:space="preserve">s</w:t>
      </w:r>
      <w:r>
        <w:t xml:space="preserve">, a, k, c, α). L’état d’aimantation irréversible est stocké par cellule ; il rend possibles la rémanence d’une pièce de fer, l’outil « aimanter » et l’outil « désaimanter ». Une version scalaire alignée sur le champ local est implémentée d’abord ; la version vectorielle vient ensuite.</w:t>
      </w:r>
    </w:p>
    <w:p>
      <w:pPr>
        <w:pStyle w:val="ListParagraph"/>
        <w:numPr>
          <w:ilvl w:val="0"/>
          <w:numId w:val="2"/>
        </w:numPr>
        <w:spacing w:after="60" w:line="276"/>
      </w:pPr>
      <w:r>
        <w:rPr>
          <w:b/>
          <w:bCs/>
        </w:rPr>
        <w:t xml:space="preserve">Par défaut, pas d’hystérésis</w:t>
      </w:r>
      <w:r>
        <w:t xml:space="preserve"> (courbe anhystérétique) : c’est plus rapide, plus stable et suffisant pour la plupart des scènes.</w:t>
      </w:r>
    </w:p>
    <w:p>
      <w:pPr>
        <w:pStyle w:val="Heading3"/>
      </w:pPr>
      <w:r>
        <w:t xml:space="preserve">Aimants permanents</w:t>
      </w:r>
    </w:p>
    <w:p>
      <w:pPr>
        <w:spacing w:after="120" w:before="0" w:line="276"/>
        <w:jc w:val="both"/>
      </w:pPr>
      <w:r>
        <w:t xml:space="preserve">Modèle linéaire de recul le long de l’axe facile : B = μ</w:t>
      </w:r>
      <w:r>
        <w:rPr>
          <w:vertAlign w:val="subscript"/>
        </w:rPr>
        <w:t xml:space="preserve">0</w:t>
      </w:r>
      <w:r>
        <w:t xml:space="preserve">μ</w:t>
      </w:r>
      <w:r>
        <w:rPr>
          <w:vertAlign w:val="subscript"/>
        </w:rPr>
        <w:t xml:space="preserve">rec</w:t>
      </w:r>
      <w:r>
        <w:t xml:space="preserve">H + B</w:t>
      </w:r>
      <w:r>
        <w:rPr>
          <w:vertAlign w:val="subscript"/>
        </w:rPr>
        <w:t xml:space="preserve">r</w:t>
      </w:r>
      <w:r>
        <w:t xml:space="preserve">. μ</w:t>
      </w:r>
      <w:r>
        <w:rPr>
          <w:vertAlign w:val="subscript"/>
        </w:rPr>
        <w:t xml:space="preserve">rec</w:t>
      </w:r>
      <w:r>
        <w:t xml:space="preserve"> vaut environ 1,05 pour NdFeB, SmCo et ferrite, et 3 à 5 pour l’AlNiCo. Le point de coude dépend de la coercivité intrinsèque H</w:t>
      </w:r>
      <w:r>
        <w:rPr>
          <w:vertAlign w:val="subscript"/>
        </w:rPr>
        <w:t xml:space="preserve">cJ</w:t>
      </w:r>
      <w:r>
        <w:t xml:space="preserve">(T) : si le champ démagnétisant local dépasse ce seuil, la rémanence effective de la cellule est réduite de façon </w:t>
      </w:r>
      <w:r>
        <w:rPr>
          <w:b/>
          <w:bCs/>
        </w:rPr>
        <w:t xml:space="preserve">irréversible</w:t>
      </w:r>
      <w:r>
        <w:t xml:space="preserve"> (stockée par cellule) jusqu’à ce que l’utilisateur ré-aimante la pièce. Les motifs d’aimantation proposés sont : uniforme (angle libre), radial, diamétral, multipolaire, réseau de Halbach, et champ personnalisé peint au pinceau.</w:t>
      </w:r>
    </w:p>
    <w:p>
      <w:pPr>
        <w:pStyle w:val="Heading3"/>
      </w:pPr>
      <w:r>
        <w:t xml:space="preserve">Supraconducteur (option)</w:t>
      </w:r>
    </w:p>
    <w:p>
      <w:pPr>
        <w:spacing w:after="120" w:before="0" w:line="276"/>
        <w:jc w:val="both"/>
      </w:pPr>
      <w:r>
        <w:t xml:space="preserve">Sous sa température critique, un supraconducteur idéal expulse le champ (effet Meissner, χ = −1). Il est modélisé par une très forte réluctivité qui annule B à l’intérieur. L’ancrage des vortex (lévitation « verrouillée ») sort du périmètre ; il pourrait venir plus tard via le modèle d’état critique de Bean.</w:t>
      </w:r>
    </w:p>
    <w:p>
      <w:pPr>
        <w:pStyle w:val="Heading2"/>
      </w:pPr>
      <w:bookmarkStart w:name="sec_12" w:id="112"/>
      <w:r>
        <w:rPr>
          <w:color w:val="0369A1"/>
        </w:rPr>
        <w:t xml:space="preserve">2.5  </w:t>
      </w:r>
      <w:r>
        <w:t xml:space="preserve">Température</w:t>
      </w:r>
      <w:bookmarkEnd w:id="112"/>
    </w:p>
    <w:p>
      <w:pPr>
        <w:spacing w:after="120" w:before="0" w:line="276"/>
        <w:jc w:val="both"/>
      </w:pPr>
      <w:r>
        <w:t xml:space="preserve">La température existe à deux niveaux : une </w:t>
      </w:r>
      <w:r>
        <w:rPr>
          <w:b/>
          <w:bCs/>
        </w:rPr>
        <w:t xml:space="preserve">température ambiante</w:t>
      </w:r>
      <w:r>
        <w:t xml:space="preserve"> globale, et une </w:t>
      </w:r>
      <w:r>
        <w:rPr>
          <w:b/>
          <w:bCs/>
        </w:rPr>
        <w:t xml:space="preserve">température par objet</w:t>
      </w:r>
      <w:r>
        <w:t xml:space="preserve">, modifiable par l’inspecteur ou par des outils (pistolet chauffant, bombe de froid) et calculée par un bilan thermique. Les lois appliquées sont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600"/>
        <w:gridCol w:w="2938"/>
      </w:tblGrid>
      <w:tr>
        <w:trPr>
          <w:tblHeader/>
        </w:trPr>
        <w:tc>
          <w:tcPr>
            <w:tcW w:type="dxa" w:w="21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Famille</w:t>
            </w:r>
          </w:p>
        </w:tc>
        <w:tc>
          <w:tcPr>
            <w:tcW w:type="dxa" w:w="46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Loi</w:t>
            </w:r>
          </w:p>
        </w:tc>
        <w:tc>
          <w:tcPr>
            <w:tcW w:type="dxa" w:w="29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Effet visible</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Paramagnétiques</w:t>
            </w:r>
          </w:p>
        </w:tc>
        <w:tc>
          <w:tcPr>
            <w:tcW w:type="dxa" w:w="4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Loi de Curie : χ(T) = χ(T</w:t>
            </w:r>
            <w:r>
              <w:rPr>
                <w:b w:val="false"/>
                <w:bCs w:val="false"/>
                <w:sz w:val="17"/>
                <w:szCs w:val="17"/>
                <w:vertAlign w:val="subscript"/>
              </w:rPr>
              <w:t xml:space="preserve">0</w:t>
            </w:r>
            <w:r>
              <w:rPr>
                <w:b w:val="false"/>
                <w:bCs w:val="false"/>
                <w:sz w:val="17"/>
                <w:szCs w:val="17"/>
              </w:rPr>
              <w:t xml:space="preserve">) · T</w:t>
            </w:r>
            <w:r>
              <w:rPr>
                <w:b w:val="false"/>
                <w:bCs w:val="false"/>
                <w:sz w:val="17"/>
                <w:szCs w:val="17"/>
                <w:vertAlign w:val="subscript"/>
              </w:rPr>
              <w:t xml:space="preserve">0</w:t>
            </w:r>
            <w:r>
              <w:rPr>
                <w:b w:val="false"/>
                <w:bCs w:val="false"/>
                <w:sz w:val="17"/>
                <w:szCs w:val="17"/>
              </w:rPr>
              <w:t xml:space="preserve">/T</w:t>
            </w:r>
          </w:p>
        </w:tc>
        <w:tc>
          <w:tcPr>
            <w:tcW w:type="dxa" w:w="29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Force plus faible à chaud</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Ferromagnétiques sous T</w:t>
            </w:r>
            <w:r>
              <w:rPr>
                <w:b w:val="false"/>
                <w:bCs w:val="false"/>
                <w:sz w:val="17"/>
                <w:szCs w:val="17"/>
                <w:vertAlign w:val="subscript"/>
              </w:rPr>
              <w:t xml:space="preserve">c</w:t>
            </w:r>
          </w:p>
        </w:tc>
        <w:tc>
          <w:tcPr>
            <w:tcW w:type="dxa" w:w="4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Loi de Kuz’min : M</w:t>
            </w:r>
            <w:r>
              <w:rPr>
                <w:b w:val="false"/>
                <w:bCs w:val="false"/>
                <w:sz w:val="17"/>
                <w:szCs w:val="17"/>
                <w:vertAlign w:val="subscript"/>
              </w:rPr>
              <w:t xml:space="preserve">s</w:t>
            </w:r>
            <w:r>
              <w:rPr>
                <w:b w:val="false"/>
                <w:bCs w:val="false"/>
                <w:sz w:val="17"/>
                <w:szCs w:val="17"/>
              </w:rPr>
              <w:t xml:space="preserve">(T)/M</w:t>
            </w:r>
            <w:r>
              <w:rPr>
                <w:b w:val="false"/>
                <w:bCs w:val="false"/>
                <w:sz w:val="17"/>
                <w:szCs w:val="17"/>
                <w:vertAlign w:val="subscript"/>
              </w:rPr>
              <w:t xml:space="preserve">s</w:t>
            </w:r>
            <w:r>
              <w:rPr>
                <w:b w:val="false"/>
                <w:bCs w:val="false"/>
                <w:sz w:val="17"/>
                <w:szCs w:val="17"/>
              </w:rPr>
              <w:t xml:space="preserve">(0) = [1 − sτ</w:t>
            </w:r>
            <w:r>
              <w:rPr>
                <w:b w:val="false"/>
                <w:bCs w:val="false"/>
                <w:sz w:val="17"/>
                <w:szCs w:val="17"/>
                <w:vertAlign w:val="superscript"/>
              </w:rPr>
              <w:t xml:space="preserve">3/2</w:t>
            </w:r>
            <w:r>
              <w:rPr>
                <w:b w:val="false"/>
                <w:bCs w:val="false"/>
                <w:sz w:val="17"/>
                <w:szCs w:val="17"/>
              </w:rPr>
              <w:t xml:space="preserve"> − (1−s)τ</w:t>
            </w:r>
            <w:r>
              <w:rPr>
                <w:b w:val="false"/>
                <w:bCs w:val="false"/>
                <w:sz w:val="17"/>
                <w:szCs w:val="17"/>
                <w:vertAlign w:val="superscript"/>
              </w:rPr>
              <w:t xml:space="preserve">5/2</w:t>
            </w:r>
            <w:r>
              <w:rPr>
                <w:b w:val="false"/>
                <w:bCs w:val="false"/>
                <w:sz w:val="17"/>
                <w:szCs w:val="17"/>
              </w:rPr>
              <w:t xml:space="preserve">]</w:t>
            </w:r>
            <w:r>
              <w:rPr>
                <w:b w:val="false"/>
                <w:bCs w:val="false"/>
                <w:sz w:val="17"/>
                <w:szCs w:val="17"/>
                <w:vertAlign w:val="superscript"/>
              </w:rPr>
              <w:t xml:space="preserve">1/3</w:t>
            </w:r>
            <w:r>
              <w:rPr>
                <w:b w:val="false"/>
                <w:bCs w:val="false"/>
                <w:sz w:val="17"/>
                <w:szCs w:val="17"/>
              </w:rPr>
              <w:t xml:space="preserve">, τ = T/T</w:t>
            </w:r>
            <w:r>
              <w:rPr>
                <w:b w:val="false"/>
                <w:bCs w:val="false"/>
                <w:sz w:val="17"/>
                <w:szCs w:val="17"/>
                <w:vertAlign w:val="subscript"/>
              </w:rPr>
              <w:t xml:space="preserve">c</w:t>
            </w:r>
          </w:p>
        </w:tc>
        <w:tc>
          <w:tcPr>
            <w:tcW w:type="dxa" w:w="29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Saturation plus basse ; la pièce « lâche » près de T</w:t>
            </w:r>
            <w:r>
              <w:rPr>
                <w:b w:val="false"/>
                <w:bCs w:val="false"/>
                <w:sz w:val="17"/>
                <w:szCs w:val="17"/>
                <w:vertAlign w:val="subscript"/>
              </w:rPr>
              <w:t xml:space="preserve">c</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Ferromagnétiques au-dessus de T</w:t>
            </w:r>
            <w:r>
              <w:rPr>
                <w:b w:val="false"/>
                <w:bCs w:val="false"/>
                <w:sz w:val="17"/>
                <w:szCs w:val="17"/>
                <w:vertAlign w:val="subscript"/>
              </w:rPr>
              <w:t xml:space="preserve">c</w:t>
            </w:r>
          </w:p>
        </w:tc>
        <w:tc>
          <w:tcPr>
            <w:tcW w:type="dxa" w:w="4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Curie–Weiss : χ = C/(T − θ)</w:t>
            </w:r>
          </w:p>
        </w:tc>
        <w:tc>
          <w:tcPr>
            <w:tcW w:type="dxa" w:w="29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Le fer devient paramagnétique : moteur de Curie</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Aimants permanents</w:t>
            </w:r>
          </w:p>
        </w:tc>
        <w:tc>
          <w:tcPr>
            <w:tcW w:type="dxa" w:w="4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w:t>
            </w:r>
            <w:r>
              <w:rPr>
                <w:b w:val="false"/>
                <w:bCs w:val="false"/>
                <w:sz w:val="17"/>
                <w:szCs w:val="17"/>
                <w:vertAlign w:val="subscript"/>
              </w:rPr>
              <w:t xml:space="preserve">r</w:t>
            </w:r>
            <w:r>
              <w:rPr>
                <w:b w:val="false"/>
                <w:bCs w:val="false"/>
                <w:sz w:val="17"/>
                <w:szCs w:val="17"/>
              </w:rPr>
              <w:t xml:space="preserve">(T) = B</w:t>
            </w:r>
            <w:r>
              <w:rPr>
                <w:b w:val="false"/>
                <w:bCs w:val="false"/>
                <w:sz w:val="17"/>
                <w:szCs w:val="17"/>
                <w:vertAlign w:val="subscript"/>
              </w:rPr>
              <w:t xml:space="preserve">r</w:t>
            </w:r>
            <w:r>
              <w:rPr>
                <w:b w:val="false"/>
                <w:bCs w:val="false"/>
                <w:sz w:val="17"/>
                <w:szCs w:val="17"/>
              </w:rPr>
              <w:t xml:space="preserve">(20 °C)·[1 + α(T − 20)], idem pour H</w:t>
            </w:r>
            <w:r>
              <w:rPr>
                <w:b w:val="false"/>
                <w:bCs w:val="false"/>
                <w:sz w:val="17"/>
                <w:szCs w:val="17"/>
                <w:vertAlign w:val="subscript"/>
              </w:rPr>
              <w:t xml:space="preserve">cJ</w:t>
            </w:r>
            <w:r>
              <w:rPr>
                <w:b w:val="false"/>
                <w:bCs w:val="false"/>
                <w:sz w:val="17"/>
                <w:szCs w:val="17"/>
              </w:rPr>
              <w:t xml:space="preserve"> avec β</w:t>
            </w:r>
          </w:p>
        </w:tc>
        <w:tc>
          <w:tcPr>
            <w:tcW w:type="dxa" w:w="29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Perte réversible, puis irréversible au-delà de T</w:t>
            </w:r>
            <w:r>
              <w:rPr>
                <w:b w:val="false"/>
                <w:bCs w:val="false"/>
                <w:sz w:val="17"/>
                <w:szCs w:val="17"/>
                <w:vertAlign w:val="subscript"/>
              </w:rPr>
              <w:t xml:space="preserve">max</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Diamagnétiques</w:t>
            </w:r>
          </w:p>
        </w:tc>
        <w:tc>
          <w:tcPr>
            <w:tcW w:type="dxa" w:w="4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Quasi indépendants de T</w:t>
            </w:r>
          </w:p>
        </w:tc>
        <w:tc>
          <w:tcPr>
            <w:tcW w:type="dxa" w:w="29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Bobines (cuivre)</w:t>
            </w:r>
          </w:p>
        </w:tc>
        <w:tc>
          <w:tcPr>
            <w:tcW w:type="dxa" w:w="4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ρ(T) = ρ</w:t>
            </w:r>
            <w:r>
              <w:rPr>
                <w:b w:val="false"/>
                <w:bCs w:val="false"/>
                <w:sz w:val="17"/>
                <w:szCs w:val="17"/>
                <w:vertAlign w:val="subscript"/>
              </w:rPr>
              <w:t xml:space="preserve">20</w:t>
            </w:r>
            <w:r>
              <w:rPr>
                <w:b w:val="false"/>
                <w:bCs w:val="false"/>
                <w:sz w:val="17"/>
                <w:szCs w:val="17"/>
              </w:rPr>
              <w:t xml:space="preserve">·[1 + 0,00393·(T − 20)]</w:t>
            </w:r>
          </w:p>
        </w:tc>
        <w:tc>
          <w:tcPr>
            <w:tcW w:type="dxa" w:w="29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Le courant baisse quand la bobine chauffe à tension imposée</w:t>
            </w:r>
          </w:p>
        </w:tc>
      </w:tr>
    </w:tbl>
    <w:p>
      <w:pPr>
        <w:spacing w:after="80" w:before="0" w:line="200"/>
      </w:pPr>
    </w:p>
    <w:p>
      <w:pPr>
        <w:keepNext/>
        <w:spacing w:after="60" w:before="60"/>
        <w:jc w:val="center"/>
      </w:pPr>
      <w:r>
        <w:drawing>
          <wp:inline distT="0" distB="0" distL="0" distR="0">
            <wp:extent cx="6096000" cy="2181225"/>
            <wp:effectExtent t="0" r="0" b="0" l="0"/>
            <wp:docPr id="1" name="fig_temp.png" descr="Lois de température intégrées au moteur. (a) Aimantation à saturation du fer, du nickel et du gadolinium : ce dernier perd son aimantation vers 20 °C, idéal pour un moteur de Curie. (b) Rémanence des familles d’aimants ; le point marque la température maximale d’emploi."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181225"/>
                    </a:xfrm>
                    <a:prstGeom prst="rect">
                      <a:avLst/>
                    </a:prstGeom>
                  </pic:spPr>
                </pic:pic>
              </a:graphicData>
            </a:graphic>
          </wp:inline>
        </w:drawing>
      </w:r>
    </w:p>
    <w:p>
      <w:pPr>
        <w:spacing w:after="200"/>
        <w:jc w:val="center"/>
      </w:pPr>
      <w:r>
        <w:rPr>
          <w:b/>
          <w:bCs/>
          <w:color w:val="5B6573"/>
          <w:sz w:val="17"/>
          <w:szCs w:val="17"/>
        </w:rPr>
        <w:t xml:space="preserve">Figure 1 — </w:t>
      </w:r>
      <w:r>
        <w:rPr>
          <w:i/>
          <w:iCs/>
          <w:color w:val="5B6573"/>
          <w:sz w:val="17"/>
          <w:szCs w:val="17"/>
        </w:rPr>
        <w:t xml:space="preserve">Lois de température intégrées au moteur. (a) Aimantation à saturation du fer, du nickel et du gadolinium : ce dernier perd son aimantation vers 20 °C, idéal pour un moteur de Curie. (b) Rémanence des familles d’aimants ; le point marque la température maximale d’emploi.</w:t>
      </w:r>
    </w:p>
    <w:p>
      <w:pPr>
        <w:spacing w:after="120" w:before="0" w:line="276"/>
        <w:jc w:val="both"/>
      </w:pPr>
      <w:r>
        <w:rPr>
          <w:b/>
          <w:bCs/>
        </w:rPr>
        <w:t xml:space="preserve">Bilan thermique par objet</w:t>
      </w:r>
      <w:r>
        <w:t xml:space="preserve"> (modèle « bloc » à température uniforme)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F3F6FA" w:color="auto" w:val="clear"/>
            <w:tcMar>
              <w:top w:type="dxa" w:w="100"/>
              <w:left w:type="dxa" w:w="200"/>
              <w:bottom w:type="dxa" w:w="60"/>
              <w:right w:type="dxa" w:w="200"/>
            </w:tcMar>
          </w:tcPr>
          <w:p>
            <w:pPr>
              <w:spacing w:after="50"/>
              <w:jc w:val="center"/>
            </w:pPr>
            <w:r>
              <w:rPr>
                <w:rFonts w:ascii="Cambria Math" w:cs="Cambria Math" w:eastAsia="Cambria Math" w:hAnsi="Cambria Math"/>
                <w:color w:val="111827"/>
                <w:sz w:val="22"/>
                <w:szCs w:val="22"/>
              </w:rPr>
              <w:t xml:space="preserve">m c dT/dt = P</w:t>
            </w:r>
            <w:r>
              <w:rPr>
                <w:rFonts w:ascii="Cambria Math" w:cs="Cambria Math" w:eastAsia="Cambria Math" w:hAnsi="Cambria Math"/>
                <w:color w:val="111827"/>
                <w:sz w:val="22"/>
                <w:szCs w:val="22"/>
                <w:vertAlign w:val="subscript"/>
              </w:rPr>
              <w:t xml:space="preserve">Joule</w:t>
            </w:r>
            <w:r>
              <w:rPr>
                <w:rFonts w:ascii="Cambria Math" w:cs="Cambria Math" w:eastAsia="Cambria Math" w:hAnsi="Cambria Math"/>
                <w:color w:val="111827"/>
                <w:sz w:val="22"/>
                <w:szCs w:val="22"/>
              </w:rPr>
              <w:t xml:space="preserve"> + P</w:t>
            </w:r>
            <w:r>
              <w:rPr>
                <w:rFonts w:ascii="Cambria Math" w:cs="Cambria Math" w:eastAsia="Cambria Math" w:hAnsi="Cambria Math"/>
                <w:color w:val="111827"/>
                <w:sz w:val="22"/>
                <w:szCs w:val="22"/>
                <w:vertAlign w:val="subscript"/>
              </w:rPr>
              <w:t xml:space="preserve">hystérésis</w:t>
            </w:r>
            <w:r>
              <w:rPr>
                <w:rFonts w:ascii="Cambria Math" w:cs="Cambria Math" w:eastAsia="Cambria Math" w:hAnsi="Cambria Math"/>
                <w:color w:val="111827"/>
                <w:sz w:val="22"/>
                <w:szCs w:val="22"/>
              </w:rPr>
              <w:t xml:space="preserve"> − h S (T − T</w:t>
            </w:r>
            <w:r>
              <w:rPr>
                <w:rFonts w:ascii="Cambria Math" w:cs="Cambria Math" w:eastAsia="Cambria Math" w:hAnsi="Cambria Math"/>
                <w:color w:val="111827"/>
                <w:sz w:val="22"/>
                <w:szCs w:val="22"/>
                <w:vertAlign w:val="subscript"/>
              </w:rPr>
              <w:t xml:space="preserve">amb</w:t>
            </w:r>
            <w:r>
              <w:rPr>
                <w:rFonts w:ascii="Cambria Math" w:cs="Cambria Math" w:eastAsia="Cambria Math" w:hAnsi="Cambria Math"/>
                <w:color w:val="111827"/>
                <w:sz w:val="22"/>
                <w:szCs w:val="22"/>
              </w:rPr>
              <w:t xml:space="preserve">) − ε σ S (T</w:t>
            </w:r>
            <w:r>
              <w:rPr>
                <w:rFonts w:ascii="Cambria Math" w:cs="Cambria Math" w:eastAsia="Cambria Math" w:hAnsi="Cambria Math"/>
                <w:color w:val="111827"/>
                <w:sz w:val="22"/>
                <w:szCs w:val="22"/>
                <w:vertAlign w:val="superscript"/>
              </w:rPr>
              <w:t xml:space="preserve">4</w:t>
            </w:r>
            <w:r>
              <w:rPr>
                <w:rFonts w:ascii="Cambria Math" w:cs="Cambria Math" w:eastAsia="Cambria Math" w:hAnsi="Cambria Math"/>
                <w:color w:val="111827"/>
                <w:sz w:val="22"/>
                <w:szCs w:val="22"/>
              </w:rPr>
              <w:t xml:space="preserve"> − T</w:t>
            </w:r>
            <w:r>
              <w:rPr>
                <w:rFonts w:ascii="Cambria Math" w:cs="Cambria Math" w:eastAsia="Cambria Math" w:hAnsi="Cambria Math"/>
                <w:color w:val="111827"/>
                <w:sz w:val="22"/>
                <w:szCs w:val="22"/>
                <w:vertAlign w:val="subscript"/>
              </w:rPr>
              <w:t xml:space="preserve">amb</w:t>
            </w:r>
            <w:r>
              <w:rPr>
                <w:rFonts w:ascii="Cambria Math" w:cs="Cambria Math" w:eastAsia="Cambria Math" w:hAnsi="Cambria Math"/>
                <w:color w:val="111827"/>
                <w:sz w:val="22"/>
                <w:szCs w:val="22"/>
                <w:vertAlign w:val="superscript"/>
              </w:rPr>
              <w:t xml:space="preserve">4</w:t>
            </w:r>
            <w:r>
              <w:rPr>
                <w:rFonts w:ascii="Cambria Math" w:cs="Cambria Math" w:eastAsia="Cambria Math" w:hAnsi="Cambria Math"/>
                <w:color w:val="111827"/>
                <w:sz w:val="22"/>
                <w:szCs w:val="22"/>
              </w:rPr>
              <w:t xml:space="preserve">)</w:t>
            </w:r>
          </w:p>
        </w:tc>
      </w:tr>
    </w:tbl>
    <w:p>
      <w:pPr>
        <w:spacing w:after="100" w:before="0" w:line="200"/>
      </w:pPr>
    </w:p>
    <w:p>
      <w:pPr>
        <w:spacing w:after="120" w:before="0" w:line="276"/>
        <w:jc w:val="both"/>
      </w:pPr>
      <w:r>
        <w:t xml:space="preserve">La conduction entre objets en contact est ajoutée en phase 3. Un champ de température 2D complet (diffusion dans chaque objet) reste possible plus tard sur la même grille GPU.</w:t>
      </w:r>
    </w:p>
    <w:p>
      <w:pPr>
        <w:pStyle w:val="Heading2"/>
      </w:pPr>
      <w:bookmarkStart w:name="sec_13" w:id="113"/>
      <w:r>
        <w:rPr>
          <w:color w:val="0369A1"/>
        </w:rPr>
        <w:t xml:space="preserve">2.6  </w:t>
      </w:r>
      <w:r>
        <w:t xml:space="preserve">Forces et couples</w:t>
      </w:r>
      <w:bookmarkEnd w:id="113"/>
    </w:p>
    <w:p>
      <w:pPr>
        <w:spacing w:after="120" w:before="0" w:line="276"/>
        <w:jc w:val="both"/>
      </w:pPr>
      <w:r>
        <w:t xml:space="preserve">La force sur un objet est calculée par le </w:t>
      </w:r>
      <w:r>
        <w:rPr>
          <w:b/>
          <w:bCs/>
        </w:rPr>
        <w:t xml:space="preserve">tenseur des contraintes de Maxwell</w:t>
      </w:r>
      <w:r>
        <w:t xml:space="preserve">, sous sa forme « pondérée » (méthode dite de la coquille, utilisée par FEMM) : au lieu d’intégrer sur un seul contour, on intègre dans une couche d’air entourant l’objet avec une fonction de poids g qui vaut 1 sur l’objet et 0 plus loin. C’est beaucoup moins sensible au maillage.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F3F6FA" w:color="auto" w:val="clear"/>
            <w:tcMar>
              <w:top w:type="dxa" w:w="100"/>
              <w:left w:type="dxa" w:w="200"/>
              <w:bottom w:type="dxa" w:w="60"/>
              <w:right w:type="dxa" w:w="200"/>
            </w:tcMar>
          </w:tcPr>
          <w:p>
            <w:pPr>
              <w:spacing w:after="50"/>
              <w:jc w:val="center"/>
            </w:pPr>
            <w:r>
              <w:rPr>
                <w:rFonts w:ascii="Cambria Math" w:cs="Cambria Math" w:eastAsia="Cambria Math" w:hAnsi="Cambria Math"/>
                <w:color w:val="111827"/>
                <w:sz w:val="22"/>
                <w:szCs w:val="22"/>
              </w:rPr>
              <w:t xml:space="preserve">T</w:t>
            </w:r>
            <w:r>
              <w:rPr>
                <w:rFonts w:ascii="Cambria Math" w:cs="Cambria Math" w:eastAsia="Cambria Math" w:hAnsi="Cambria Math"/>
                <w:color w:val="111827"/>
                <w:sz w:val="22"/>
                <w:szCs w:val="22"/>
                <w:vertAlign w:val="subscript"/>
              </w:rPr>
              <w:t xml:space="preserve">ij</w:t>
            </w:r>
            <w:r>
              <w:rPr>
                <w:rFonts w:ascii="Cambria Math" w:cs="Cambria Math" w:eastAsia="Cambria Math" w:hAnsi="Cambria Math"/>
                <w:color w:val="111827"/>
                <w:sz w:val="22"/>
                <w:szCs w:val="22"/>
              </w:rPr>
              <w:t xml:space="preserve"> = (1/μ</w:t>
            </w:r>
            <w:r>
              <w:rPr>
                <w:rFonts w:ascii="Cambria Math" w:cs="Cambria Math" w:eastAsia="Cambria Math" w:hAnsi="Cambria Math"/>
                <w:color w:val="111827"/>
                <w:sz w:val="22"/>
                <w:szCs w:val="22"/>
                <w:vertAlign w:val="subscript"/>
              </w:rPr>
              <w:t xml:space="preserve">0</w:t>
            </w:r>
            <w:r>
              <w:rPr>
                <w:rFonts w:ascii="Cambria Math" w:cs="Cambria Math" w:eastAsia="Cambria Math" w:hAnsi="Cambria Math"/>
                <w:color w:val="111827"/>
                <w:sz w:val="22"/>
                <w:szCs w:val="22"/>
              </w:rPr>
              <w:t xml:space="preserve">) (B</w:t>
            </w:r>
            <w:r>
              <w:rPr>
                <w:rFonts w:ascii="Cambria Math" w:cs="Cambria Math" w:eastAsia="Cambria Math" w:hAnsi="Cambria Math"/>
                <w:color w:val="111827"/>
                <w:sz w:val="22"/>
                <w:szCs w:val="22"/>
                <w:vertAlign w:val="subscript"/>
              </w:rPr>
              <w:t xml:space="preserve">i</w:t>
            </w:r>
            <w:r>
              <w:rPr>
                <w:rFonts w:ascii="Cambria Math" w:cs="Cambria Math" w:eastAsia="Cambria Math" w:hAnsi="Cambria Math"/>
                <w:color w:val="111827"/>
                <w:sz w:val="22"/>
                <w:szCs w:val="22"/>
              </w:rPr>
              <w:t xml:space="preserve">B</w:t>
            </w:r>
            <w:r>
              <w:rPr>
                <w:rFonts w:ascii="Cambria Math" w:cs="Cambria Math" w:eastAsia="Cambria Math" w:hAnsi="Cambria Math"/>
                <w:color w:val="111827"/>
                <w:sz w:val="22"/>
                <w:szCs w:val="22"/>
                <w:vertAlign w:val="subscript"/>
              </w:rPr>
              <w:t xml:space="preserve">j</w:t>
            </w:r>
            <w:r>
              <w:rPr>
                <w:rFonts w:ascii="Cambria Math" w:cs="Cambria Math" w:eastAsia="Cambria Math" w:hAnsi="Cambria Math"/>
                <w:color w:val="111827"/>
                <w:sz w:val="22"/>
                <w:szCs w:val="22"/>
              </w:rPr>
              <w:t xml:space="preserve"> − ½ δ</w:t>
            </w:r>
            <w:r>
              <w:rPr>
                <w:rFonts w:ascii="Cambria Math" w:cs="Cambria Math" w:eastAsia="Cambria Math" w:hAnsi="Cambria Math"/>
                <w:color w:val="111827"/>
                <w:sz w:val="22"/>
                <w:szCs w:val="22"/>
                <w:vertAlign w:val="subscript"/>
              </w:rPr>
              <w:t xml:space="preserve">ij</w:t>
            </w:r>
            <w:r>
              <w:rPr>
                <w:rFonts w:ascii="Cambria Math" w:cs="Cambria Math" w:eastAsia="Cambria Math" w:hAnsi="Cambria Math"/>
                <w:color w:val="111827"/>
                <w:sz w:val="22"/>
                <w:szCs w:val="22"/>
              </w:rPr>
              <w:t xml:space="preserve"> B²)          F = −∫ T·∇g dS          τ = −∫ r × (T·∇g) dS</w:t>
            </w:r>
          </w:p>
        </w:tc>
      </w:tr>
    </w:tbl>
    <w:p>
      <w:pPr>
        <w:spacing w:after="100" w:before="0" w:line="200"/>
      </w:pPr>
    </w:p>
    <w:p>
      <w:pPr>
        <w:spacing w:after="120" w:before="0" w:line="276"/>
        <w:jc w:val="both"/>
      </w:pPr>
      <w:r>
        <w:t xml:space="preserve">Le couple τ est un scalaire en 2D (rotation autour de z). Sur le prototype, la force sur la plaque de fer vaut 26,1 N/m quel que soit le contour (écart &lt; 0,6 %) : avec 10 mm de profondeur, 0,26 N. Repères utiles pour vérifier l’ordre de grandeur :</w:t>
      </w:r>
    </w:p>
    <w:p>
      <w:pPr>
        <w:pStyle w:val="ListParagraph"/>
        <w:numPr>
          <w:ilvl w:val="0"/>
          <w:numId w:val="2"/>
        </w:numPr>
        <w:spacing w:after="60" w:line="276"/>
      </w:pPr>
      <w:r>
        <w:rPr>
          <w:b/>
          <w:bCs/>
        </w:rPr>
        <w:t xml:space="preserve">Force de contact</w:t>
      </w:r>
      <w:r>
        <w:t xml:space="preserve"> d’un pôle sur du fer : F ≈ B²S/(2μ</w:t>
      </w:r>
      <w:r>
        <w:rPr>
          <w:vertAlign w:val="subscript"/>
        </w:rPr>
        <w:t xml:space="preserve">0</w:t>
      </w:r>
      <w:r>
        <w:t xml:space="preserve">). Avec 0,5 T sur 1 cm², environ 10 N.</w:t>
      </w:r>
    </w:p>
    <w:p>
      <w:pPr>
        <w:pStyle w:val="ListParagraph"/>
        <w:numPr>
          <w:ilvl w:val="0"/>
          <w:numId w:val="2"/>
        </w:numPr>
        <w:spacing w:after="60" w:line="276"/>
      </w:pPr>
      <w:r>
        <w:rPr>
          <w:b/>
          <w:bCs/>
        </w:rPr>
        <w:t xml:space="preserve">Seuil de lévitation diamagnétique</w:t>
      </w:r>
      <w:r>
        <w:t xml:space="preserve"> : B·∂B/∂z ≥ μ</w:t>
      </w:r>
      <w:r>
        <w:rPr>
          <w:vertAlign w:val="subscript"/>
        </w:rPr>
        <w:t xml:space="preserve">0</w:t>
      </w:r>
      <w:r>
        <w:t xml:space="preserve">ρg/|χ|. Environ 60 T²/m pour le graphite pyrolytique (atteignable avec des NdFeB), 1 360 T²/m pour l’eau (la célèbre grenouille a nécessité un électroaimant de 16 T). C’est un excellent cas de validation.</w:t>
      </w:r>
    </w:p>
    <w:p>
      <w:pPr>
        <w:pStyle w:val="ListParagraph"/>
        <w:numPr>
          <w:ilvl w:val="0"/>
          <w:numId w:val="2"/>
        </w:numPr>
        <w:spacing w:after="60" w:line="276"/>
      </w:pPr>
      <w:r>
        <w:rPr>
          <w:b/>
          <w:bCs/>
        </w:rPr>
        <w:t xml:space="preserve">Auto-cohérence</w:t>
      </w:r>
      <w:r>
        <w:t xml:space="preserve"> : un objet ne s’exerce pas de force nette sur lui-même ; le tenseur de Maxwell le garantit sans traitement particulier.</w:t>
      </w:r>
    </w:p>
    <w:p>
      <w:pPr>
        <w:keepNext/>
        <w:spacing w:after="60" w:before="60"/>
        <w:jc w:val="center"/>
      </w:pPr>
      <w:r>
        <w:drawing>
          <wp:inline distT="0" distB="0" distL="0" distR="0">
            <wp:extent cx="6096000" cy="2209800"/>
            <wp:effectExtent t="0" r="0" b="0" l="0"/>
            <wp:docPr id="1" name="fig_champ.png" descr="Champ calculé avec la méthode recommandée (prototype Python, éléments finis Q1, 441 000 inconnues). Lignes = isolignes de A_{z} ; couleur = |B| en échelle logarithmique. La plaque de fer canalise les lignes et subit 26 N/m d’attrac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209800"/>
                    </a:xfrm>
                    <a:prstGeom prst="rect">
                      <a:avLst/>
                    </a:prstGeom>
                  </pic:spPr>
                </pic:pic>
              </a:graphicData>
            </a:graphic>
          </wp:inline>
        </w:drawing>
      </w:r>
    </w:p>
    <w:p>
      <w:pPr>
        <w:spacing w:after="200"/>
        <w:jc w:val="center"/>
      </w:pPr>
      <w:r>
        <w:rPr>
          <w:b/>
          <w:bCs/>
          <w:color w:val="5B6573"/>
          <w:sz w:val="17"/>
          <w:szCs w:val="17"/>
        </w:rPr>
        <w:t xml:space="preserve">Figure 2 — </w:t>
      </w:r>
      <w:r>
        <w:rPr>
          <w:i/>
          <w:iCs/>
          <w:color w:val="5B6573"/>
          <w:sz w:val="17"/>
          <w:szCs w:val="17"/>
        </w:rPr>
        <w:t xml:space="preserve">Champ calculé avec la méthode recommandée (prototype Python, éléments finis Q1, 441 000 inconnues). Lignes = isolignes de A</w:t>
      </w:r>
      <w:r>
        <w:rPr>
          <w:i/>
          <w:iCs/>
          <w:color w:val="5B6573"/>
          <w:sz w:val="17"/>
          <w:szCs w:val="17"/>
          <w:vertAlign w:val="subscript"/>
        </w:rPr>
        <w:t xml:space="preserve">z</w:t>
      </w:r>
      <w:r>
        <w:rPr>
          <w:i/>
          <w:iCs/>
          <w:color w:val="5B6573"/>
          <w:sz w:val="17"/>
          <w:szCs w:val="17"/>
        </w:rPr>
        <w:t xml:space="preserve"> ; couleur = |B| en échelle logarithmique. La plaque de fer canalise les lignes et subit 26 N/m d’attraction.</w:t>
      </w:r>
    </w:p>
    <w:p>
      <w:pPr>
        <w:pStyle w:val="Heading2"/>
      </w:pPr>
      <w:bookmarkStart w:name="sec_14" w:id="114"/>
      <w:r>
        <w:rPr>
          <w:color w:val="0369A1"/>
        </w:rPr>
        <w:t xml:space="preserve">2.7  </w:t>
      </w:r>
      <w:r>
        <w:t xml:space="preserve">Mécanique : masse, gravité, frottement</w:t>
      </w:r>
      <w:bookmarkEnd w:id="114"/>
    </w:p>
    <w:p>
      <w:pPr>
        <w:spacing w:after="120" w:before="0" w:line="276"/>
        <w:jc w:val="both"/>
      </w:pPr>
      <w:r>
        <w:t xml:space="preserve">Chaque objet mobile a une masse m = ρ·S·profondeur et un moment d’inertie calculé depuis sa forme. Deux vues sont proposées par scène :</w:t>
      </w:r>
    </w:p>
    <w:p>
      <w:pPr>
        <w:pStyle w:val="ListParagraph"/>
        <w:numPr>
          <w:ilvl w:val="0"/>
          <w:numId w:val="2"/>
        </w:numPr>
        <w:spacing w:after="60" w:line="276"/>
      </w:pPr>
      <w:r>
        <w:rPr>
          <w:b/>
          <w:bCs/>
        </w:rPr>
        <w:t xml:space="preserve">Vue de dessus (table)</w:t>
      </w:r>
      <w:r>
        <w:t xml:space="preserve"> : la gravité est perpendiculaire au plan. La réaction normale vaut N = mg, et l’objet reste immobile tant que |F</w:t>
      </w:r>
      <w:r>
        <w:rPr>
          <w:vertAlign w:val="subscript"/>
        </w:rPr>
        <w:t xml:space="preserve">magnétique</w:t>
      </w:r>
      <w:r>
        <w:t xml:space="preserve"> + F</w:t>
      </w:r>
      <w:r>
        <w:rPr>
          <w:vertAlign w:val="subscript"/>
        </w:rPr>
        <w:t xml:space="preserve">contacts</w:t>
      </w:r>
      <w:r>
        <w:t xml:space="preserve">| ≤ μ</w:t>
      </w:r>
      <w:r>
        <w:rPr>
          <w:vertAlign w:val="subscript"/>
        </w:rPr>
        <w:t xml:space="preserve">s</w:t>
      </w:r>
      <w:r>
        <w:t xml:space="preserve">N. Une fois en mouvement, le frottement dynamique μ</w:t>
      </w:r>
      <w:r>
        <w:rPr>
          <w:vertAlign w:val="subscript"/>
        </w:rPr>
        <w:t xml:space="preserve">k</w:t>
      </w:r>
      <w:r>
        <w:t xml:space="preserve">N s’oppose à la vitesse. Les billes et cylindres roulent avec un coefficient de résistance au roulement bien plus faible.</w:t>
      </w:r>
    </w:p>
    <w:p>
      <w:pPr>
        <w:pStyle w:val="ListParagraph"/>
        <w:numPr>
          <w:ilvl w:val="0"/>
          <w:numId w:val="2"/>
        </w:numPr>
        <w:spacing w:after="60" w:line="276"/>
      </w:pPr>
      <w:r>
        <w:rPr>
          <w:b/>
          <w:bCs/>
        </w:rPr>
        <w:t xml:space="preserve">Vue de côté</w:t>
      </w:r>
      <w:r>
        <w:t xml:space="preserve"> : la gravité est dans le plan. Les objets reposent sur des surfaces (segments, polygones), décollent si la force verticale dépasse mg, glissent si la composante tangentielle dépasse μ</w:t>
      </w:r>
      <w:r>
        <w:rPr>
          <w:vertAlign w:val="subscript"/>
        </w:rPr>
        <w:t xml:space="preserve">s</w:t>
      </w:r>
      <w:r>
        <w:t xml:space="preserve">N.</w:t>
      </w:r>
    </w:p>
    <w:p>
      <w:pPr>
        <w:spacing w:after="120" w:before="0" w:line="276"/>
        <w:jc w:val="both"/>
      </w:pPr>
      <w:r>
        <w:rPr>
          <w:b/>
          <w:bCs/>
        </w:rPr>
        <w:t xml:space="preserve">Frottement statique ou dynamique.</w:t>
      </w:r>
      <w:r>
        <w:t xml:space="preserve"> À notre connaissance, Rapier n’expose qu’un coefficient de Coulomb unique par collisionneur. La transition adhérence/glissement doit donc être gérée explicitement : tant qu’un objet est quasi immobile, on applique μ</w:t>
      </w:r>
      <w:r>
        <w:rPr>
          <w:vertAlign w:val="subscript"/>
        </w:rPr>
        <w:t xml:space="preserve">s</w:t>
      </w:r>
      <w:r>
        <w:t xml:space="preserve"> (coefficient modifiable à chaque pas) ; dès qu’il glisse, on bascule sur μ</w:t>
      </w:r>
      <w:r>
        <w:rPr>
          <w:vertAlign w:val="subscript"/>
        </w:rPr>
        <w:t xml:space="preserve">k</w:t>
      </w:r>
      <w:r>
        <w:t xml:space="preserve">. Ce comportement « décollement soudain » est précisément ce que l’utilisateur doit observer.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5803D" w:sz="24"/>
              <w:bottom w:val="none" w:color="FFFFFF" w:sz="0"/>
              <w:right w:val="none" w:color="FFFFFF" w:sz="0"/>
            </w:tcBorders>
            <w:shd w:fill="ECFDF3" w:color="auto" w:val="clear"/>
            <w:tcMar>
              <w:top w:type="dxa" w:w="120"/>
              <w:left w:type="dxa" w:w="200"/>
              <w:bottom w:type="dxa" w:w="100"/>
              <w:right w:type="dxa" w:w="200"/>
            </w:tcMar>
          </w:tcPr>
          <w:p>
            <w:pPr>
              <w:spacing w:after="60"/>
            </w:pPr>
            <w:r>
              <w:rPr>
                <w:b/>
                <w:bCs/>
                <w:color w:val="15803D"/>
                <w:sz w:val="20"/>
                <w:szCs w:val="20"/>
              </w:rPr>
              <w:t xml:space="preserve">Exemple chiffré issu du prototype</w:t>
            </w:r>
          </w:p>
          <w:p>
            <w:pPr>
              <w:spacing w:after="60" w:line="264"/>
              <w:jc w:val="left"/>
            </w:pPr>
            <w:r>
              <w:rPr>
                <w:sz w:val="19"/>
                <w:szCs w:val="19"/>
              </w:rPr>
              <w:t xml:space="preserve">Plaque de fer 16 × 60 mm attirée par l’aimant de la figure 2, vue de dessus. Force : 26,1 N/m. Poids par mètre : 7 870 kg/m³ × 9,6×10</w:t>
            </w:r>
            <w:r>
              <w:rPr>
                <w:sz w:val="19"/>
                <w:szCs w:val="19"/>
                <w:vertAlign w:val="superscript"/>
              </w:rPr>
              <w:t xml:space="preserve">−4</w:t>
            </w:r>
            <w:r>
              <w:rPr>
                <w:sz w:val="19"/>
                <w:szCs w:val="19"/>
              </w:rPr>
              <w:t xml:space="preserve"> m² × 9,81 = 74,1 N/m. Rapport F/(mg) = 0,35.</w:t>
            </w:r>
          </w:p>
          <w:p>
            <w:pPr>
              <w:pStyle w:val="ListParagraph"/>
              <w:numPr>
                <w:ilvl w:val="0"/>
                <w:numId w:val="2"/>
              </w:numPr>
              <w:spacing w:after="40" w:line="264"/>
            </w:pPr>
            <w:r>
              <w:rPr>
                <w:sz w:val="19"/>
                <w:szCs w:val="19"/>
              </w:rPr>
              <w:t xml:space="preserve">Sur une table en acier (μ</w:t>
            </w:r>
            <w:r>
              <w:rPr>
                <w:sz w:val="19"/>
                <w:szCs w:val="19"/>
                <w:vertAlign w:val="subscript"/>
              </w:rPr>
              <w:t xml:space="preserve">s</w:t>
            </w:r>
            <w:r>
              <w:rPr>
                <w:sz w:val="19"/>
                <w:szCs w:val="19"/>
              </w:rPr>
              <w:t xml:space="preserve"> ≈ 0,74) : la plaque reste immobile.</w:t>
            </w:r>
          </w:p>
          <w:p>
            <w:pPr>
              <w:pStyle w:val="ListParagraph"/>
              <w:numPr>
                <w:ilvl w:val="0"/>
                <w:numId w:val="2"/>
              </w:numPr>
              <w:spacing w:after="40" w:line="264"/>
            </w:pPr>
            <w:r>
              <w:rPr>
                <w:sz w:val="19"/>
                <w:szCs w:val="19"/>
              </w:rPr>
              <w:t xml:space="preserve">Sur du PTFE (μ</w:t>
            </w:r>
            <w:r>
              <w:rPr>
                <w:sz w:val="19"/>
                <w:szCs w:val="19"/>
                <w:vertAlign w:val="subscript"/>
              </w:rPr>
              <w:t xml:space="preserve">s</w:t>
            </w:r>
            <w:r>
              <w:rPr>
                <w:sz w:val="19"/>
                <w:szCs w:val="19"/>
              </w:rPr>
              <w:t xml:space="preserve"> ≈ 0,04) : elle se précipite vers l’aimant.</w:t>
            </w:r>
          </w:p>
          <w:p>
            <w:pPr>
              <w:pStyle w:val="ListParagraph"/>
              <w:numPr>
                <w:ilvl w:val="0"/>
                <w:numId w:val="2"/>
              </w:numPr>
              <w:spacing w:after="40" w:line="264"/>
            </w:pPr>
            <w:r>
              <w:rPr>
                <w:sz w:val="19"/>
                <w:szCs w:val="19"/>
              </w:rPr>
              <w:t xml:space="preserve">Sur du bois (μ</w:t>
            </w:r>
            <w:r>
              <w:rPr>
                <w:sz w:val="19"/>
                <w:szCs w:val="19"/>
                <w:vertAlign w:val="subscript"/>
              </w:rPr>
              <w:t xml:space="preserve">s</w:t>
            </w:r>
            <w:r>
              <w:rPr>
                <w:sz w:val="19"/>
                <w:szCs w:val="19"/>
              </w:rPr>
              <w:t xml:space="preserve"> ≈ 0,25 à 0,5) : cas limite, qui se joue en rapprochant l’aimant de quelques millimètres. L’interface affiche une jauge F/(μ</w:t>
            </w:r>
            <w:r>
              <w:rPr>
                <w:sz w:val="19"/>
                <w:szCs w:val="19"/>
                <w:vertAlign w:val="subscript"/>
              </w:rPr>
              <w:t xml:space="preserve">s</w:t>
            </w:r>
            <w:r>
              <w:rPr>
                <w:sz w:val="19"/>
                <w:szCs w:val="19"/>
              </w:rPr>
              <w:t xml:space="preserve">mg) pour rendre ce seuil lisible.</w:t>
            </w:r>
          </w:p>
        </w:tc>
      </w:tr>
    </w:tbl>
    <w:p>
      <w:pPr>
        <w:spacing w:after="100" w:before="0" w:line="200"/>
      </w:pPr>
    </w:p>
    <w:p>
      <w:pPr>
        <w:spacing w:after="120" w:before="0" w:line="276"/>
        <w:jc w:val="both"/>
      </w:pPr>
      <w:r>
        <w:rPr>
          <w:b/>
          <w:bCs/>
        </w:rPr>
        <w:t xml:space="preserve">Contact magnétique.</w:t>
      </w:r>
      <w:r>
        <w:t xml:space="preserve"> Quand l’entrefer devient plus petit qu’une cellule de grille, la force dépend de la résolution. On impose une épaisseur minimale de contact (revêtement nickel d’un aimant : 10 à 20 µm, paramétrable), puis un raffinement local de la grille autour des contacts en phase 4. L’interface signale quand une valeur est « limitée par la résolution ».</w:t>
      </w:r>
    </w:p>
    <w:p>
      <w:pPr>
        <w:spacing w:after="120" w:before="0" w:line="276"/>
        <w:jc w:val="both"/>
      </w:pPr>
      <w:r>
        <w:rPr>
          <w:b/>
          <w:bCs/>
        </w:rPr>
        <w:t xml:space="preserve">Autres liaisons</w:t>
      </w:r>
      <w:r>
        <w:t xml:space="preserve"> : pivots (aiguille de boussole, rotor), glissières, ressorts et amortisseurs, fils et pendules, butées. Les collisions utilisent la détection continue de Rapier pour éviter qu’un objet rapide traverse un autre.</w:t>
      </w:r>
    </w:p>
    <w:p>
      <w:pPr>
        <w:pStyle w:val="Heading2"/>
      </w:pPr>
      <w:bookmarkStart w:name="sec_15" w:id="115"/>
      <w:r>
        <w:rPr>
          <w:color w:val="0369A1"/>
        </w:rPr>
        <w:t xml:space="preserve">2.8  </w:t>
      </w:r>
      <w:r>
        <w:t xml:space="preserve">Électroaimants et circuits</w:t>
      </w:r>
      <w:bookmarkEnd w:id="115"/>
    </w:p>
    <w:p>
      <w:pPr>
        <w:spacing w:after="120" w:before="0" w:line="276"/>
        <w:jc w:val="both"/>
      </w:pPr>
      <w:r>
        <w:t xml:space="preserve">En 2D plan, une bobine est représentée par sa coupe : deux zones conductrices (aller et retour) parcourues par des densités de courant opposées J = ±NI/S. Paramètres exposés : nombre de spires N, courant I, diamètre et matériau du fil, taux de remplissage, longueur moyenne de spire (déduite de la profondeur).</w:t>
      </w:r>
    </w:p>
    <w:p>
      <w:pPr>
        <w:pStyle w:val="ListParagraph"/>
        <w:numPr>
          <w:ilvl w:val="0"/>
          <w:numId w:val="2"/>
        </w:numPr>
        <w:spacing w:after="60" w:line="276"/>
      </w:pPr>
      <w:r>
        <w:rPr>
          <w:b/>
          <w:bCs/>
        </w:rPr>
        <w:t xml:space="preserve">Résistance</w:t>
      </w:r>
      <w:r>
        <w:t xml:space="preserve"> : R = ρ(T) · N · l</w:t>
      </w:r>
      <w:r>
        <w:rPr>
          <w:vertAlign w:val="subscript"/>
        </w:rPr>
        <w:t xml:space="preserve">spire</w:t>
      </w:r>
      <w:r>
        <w:t xml:space="preserve"> / S</w:t>
      </w:r>
      <w:r>
        <w:rPr>
          <w:vertAlign w:val="subscript"/>
        </w:rPr>
        <w:t xml:space="preserve">fil</w:t>
      </w:r>
      <w:r>
        <w:t xml:space="preserve">.</w:t>
      </w:r>
    </w:p>
    <w:p>
      <w:pPr>
        <w:pStyle w:val="ListParagraph"/>
        <w:numPr>
          <w:ilvl w:val="0"/>
          <w:numId w:val="2"/>
        </w:numPr>
        <w:spacing w:after="60" w:line="276"/>
      </w:pPr>
      <w:r>
        <w:rPr>
          <w:b/>
          <w:bCs/>
        </w:rPr>
        <w:t xml:space="preserve">Inductance</w:t>
      </w:r>
      <w:r>
        <w:t xml:space="preserve"> directement depuis A : Ψ = N · profondeur · (⟨A⟩</w:t>
      </w:r>
      <w:r>
        <w:rPr>
          <w:vertAlign w:val="subscript"/>
        </w:rPr>
        <w:t xml:space="preserve">aller</w:t>
      </w:r>
      <w:r>
        <w:t xml:space="preserve"> − ⟨A⟩</w:t>
      </w:r>
      <w:r>
        <w:rPr>
          <w:vertAlign w:val="subscript"/>
        </w:rPr>
        <w:t xml:space="preserve">retour</w:t>
      </w:r>
      <w:r>
        <w:t xml:space="preserve">), puis L = Ψ/I. L’énergie magnétique vaut W = ½∫A·J dS. Inductance mutuelle et coefficient de couplage entre bobines suivent le même calcul.</w:t>
      </w:r>
    </w:p>
    <w:p>
      <w:pPr>
        <w:pStyle w:val="ListParagraph"/>
        <w:numPr>
          <w:ilvl w:val="0"/>
          <w:numId w:val="2"/>
        </w:numPr>
        <w:spacing w:after="60" w:line="276"/>
      </w:pPr>
      <w:r>
        <w:rPr>
          <w:b/>
          <w:bCs/>
        </w:rPr>
        <w:t xml:space="preserve">Sources</w:t>
      </w:r>
      <w:r>
        <w:t xml:space="preserve"> : courant imposé (continu, sinus, carré, impulsion, MLI, expression libre I(t)) ou tension imposée avec l’équation de circuit U = RI + dΨ/dt couplée au champ. Pont en H pour inverser le sens.</w:t>
      </w:r>
    </w:p>
    <w:p>
      <w:pPr>
        <w:pStyle w:val="ListParagraph"/>
        <w:numPr>
          <w:ilvl w:val="0"/>
          <w:numId w:val="2"/>
        </w:numPr>
        <w:spacing w:after="60" w:line="276"/>
      </w:pPr>
      <w:r>
        <w:rPr>
          <w:b/>
          <w:bCs/>
        </w:rPr>
        <w:t xml:space="preserve">Indicateurs</w:t>
      </w:r>
      <w:r>
        <w:t xml:space="preserve"> : densité de courant en A/mm² (alerte au-delà d’environ 5 A/mm² en continu), échauffement par effet Joule, température de la bobine.</w:t>
      </w:r>
    </w:p>
    <w:p>
      <w:pPr>
        <w:pStyle w:val="Heading2"/>
      </w:pPr>
      <w:bookmarkStart w:name="sec_16" w:id="116"/>
      <w:r>
        <w:rPr>
          <w:color w:val="0369A1"/>
        </w:rPr>
        <w:t xml:space="preserve">2.9  </w:t>
      </w:r>
      <w:r>
        <w:t xml:space="preserve">Extension dynamique : courants de Foucault (phase 4)</w:t>
      </w:r>
      <w:bookmarkEnd w:id="116"/>
    </w:p>
    <w:p>
      <w:pPr>
        <w:spacing w:after="120" w:before="0" w:line="276"/>
        <w:jc w:val="both"/>
      </w:pPr>
      <w:r>
        <w:t xml:space="preserve">Dans les conducteurs, un champ variable induit des courants. L’équation devient une équation de diffusion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F3F6FA" w:color="auto" w:val="clear"/>
            <w:tcMar>
              <w:top w:type="dxa" w:w="100"/>
              <w:left w:type="dxa" w:w="200"/>
              <w:bottom w:type="dxa" w:w="60"/>
              <w:right w:type="dxa" w:w="200"/>
            </w:tcMar>
          </w:tcPr>
          <w:p>
            <w:pPr>
              <w:spacing w:after="50"/>
              <w:jc w:val="center"/>
            </w:pPr>
            <w:r>
              <w:rPr>
                <w:rFonts w:ascii="Cambria Math" w:cs="Cambria Math" w:eastAsia="Cambria Math" w:hAnsi="Cambria Math"/>
                <w:color w:val="111827"/>
                <w:sz w:val="22"/>
                <w:szCs w:val="22"/>
              </w:rPr>
              <w:t xml:space="preserve">σ ∂A</w:t>
            </w:r>
            <w:r>
              <w:rPr>
                <w:rFonts w:ascii="Cambria Math" w:cs="Cambria Math" w:eastAsia="Cambria Math" w:hAnsi="Cambria Math"/>
                <w:color w:val="111827"/>
                <w:sz w:val="22"/>
                <w:szCs w:val="22"/>
                <w:vertAlign w:val="subscript"/>
              </w:rPr>
              <w:t xml:space="preserve">z</w:t>
            </w:r>
            <w:r>
              <w:rPr>
                <w:rFonts w:ascii="Cambria Math" w:cs="Cambria Math" w:eastAsia="Cambria Math" w:hAnsi="Cambria Math"/>
                <w:color w:val="111827"/>
                <w:sz w:val="22"/>
                <w:szCs w:val="22"/>
              </w:rPr>
              <w:t xml:space="preserve">/∂t − ∇·(ν ∇A</w:t>
            </w:r>
            <w:r>
              <w:rPr>
                <w:rFonts w:ascii="Cambria Math" w:cs="Cambria Math" w:eastAsia="Cambria Math" w:hAnsi="Cambria Math"/>
                <w:color w:val="111827"/>
                <w:sz w:val="22"/>
                <w:szCs w:val="22"/>
                <w:vertAlign w:val="subscript"/>
              </w:rPr>
              <w:t xml:space="preserve">z</w:t>
            </w:r>
            <w:r>
              <w:rPr>
                <w:rFonts w:ascii="Cambria Math" w:cs="Cambria Math" w:eastAsia="Cambria Math" w:hAnsi="Cambria Math"/>
                <w:color w:val="111827"/>
                <w:sz w:val="22"/>
                <w:szCs w:val="22"/>
              </w:rPr>
              <w:t xml:space="preserve">) = J</w:t>
            </w:r>
            <w:r>
              <w:rPr>
                <w:rFonts w:ascii="Cambria Math" w:cs="Cambria Math" w:eastAsia="Cambria Math" w:hAnsi="Cambria Math"/>
                <w:color w:val="111827"/>
                <w:sz w:val="22"/>
                <w:szCs w:val="22"/>
                <w:vertAlign w:val="subscript"/>
              </w:rPr>
              <w:t xml:space="preserve">s</w:t>
            </w:r>
            <w:r>
              <w:rPr>
                <w:rFonts w:ascii="Cambria Math" w:cs="Cambria Math" w:eastAsia="Cambria Math" w:hAnsi="Cambria Math"/>
                <w:color w:val="111827"/>
                <w:sz w:val="22"/>
                <w:szCs w:val="22"/>
              </w:rPr>
              <w:t xml:space="preserve"> + σ (v × B)</w:t>
            </w:r>
            <w:r>
              <w:rPr>
                <w:rFonts w:ascii="Cambria Math" w:cs="Cambria Math" w:eastAsia="Cambria Math" w:hAnsi="Cambria Math"/>
                <w:color w:val="111827"/>
                <w:sz w:val="22"/>
                <w:szCs w:val="22"/>
                <w:vertAlign w:val="subscript"/>
              </w:rPr>
              <w:t xml:space="preserve">z</w:t>
            </w:r>
          </w:p>
        </w:tc>
      </w:tr>
    </w:tbl>
    <w:p>
      <w:pPr>
        <w:spacing w:after="100" w:before="0" w:line="200"/>
      </w:pPr>
    </w:p>
    <w:p>
      <w:pPr>
        <w:spacing w:after="120" w:before="0" w:line="276"/>
        <w:jc w:val="both"/>
      </w:pPr>
      <w:r>
        <w:t xml:space="preserve">Le schéma implicite (Euler arrière) ajoute simplement σ/Δt sur la diagonale : le même solveur multigrille s’applique, mieux conditionné qu’en statique. Démonstrations visées : aimant freiné dans un tube de cuivre, frein à courants de Foucault, anneau de Thomson (en axisymétrique). Attention à l’épaisseur de peau : δ = √(2/(ωμσ)), soit 9,2 mm pour du cuivre à 50 Hz, ce qui impose une grille assez fine dans les conducteurs.</w:t>
      </w:r>
    </w:p>
    <w:p>
      <w:pPr>
        <w:pStyle w:val="Heading2"/>
      </w:pPr>
      <w:bookmarkStart w:name="sec_17" w:id="117"/>
      <w:r>
        <w:rPr>
          <w:color w:val="0369A1"/>
        </w:rPr>
        <w:t xml:space="preserve">2.10  </w:t>
      </w:r>
      <w:r>
        <w:t xml:space="preserve">Hypothèses assumées et limites</w:t>
      </w:r>
      <w:bookmarkEnd w:id="11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tblHeader/>
        </w:trPr>
        <w:tc>
          <w:tcPr>
            <w:tcW w:type="dxa" w:w="36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Hypothèse</w:t>
            </w:r>
          </w:p>
        </w:tc>
        <w:tc>
          <w:tcPr>
            <w:tcW w:type="dxa" w:w="60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Conséquence pour l’utilisateur</w:t>
            </w:r>
          </w:p>
        </w:tc>
      </w:tr>
      <w:tr>
        <w:trPr>
          <w:cantSplit/>
        </w:trPr>
        <w:tc>
          <w:tcPr>
            <w:tcW w:type="dxa" w:w="3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Régime quasi-statique</w:t>
            </w:r>
          </w:p>
        </w:tc>
        <w:tc>
          <w:tcPr>
            <w:tcW w:type="dxa" w:w="6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Pas d’ondes ; validité jusqu’aux fréquences où l’épaisseur de peau reste résolue</w:t>
            </w:r>
          </w:p>
        </w:tc>
      </w:tr>
      <w:tr>
        <w:trPr>
          <w:cantSplit/>
        </w:trPr>
        <w:tc>
          <w:tcPr>
            <w:tcW w:type="dxa" w:w="3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2D plan (extrusion infinie)</w:t>
            </w:r>
          </w:p>
        </w:tc>
        <w:tc>
          <w:tcPr>
            <w:tcW w:type="dxa" w:w="6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Champ des aimants en 1/r² ; valeurs à interpréter « par mètre de profondeur »</w:t>
            </w:r>
          </w:p>
        </w:tc>
      </w:tr>
      <w:tr>
        <w:trPr>
          <w:cantSplit/>
        </w:trPr>
        <w:tc>
          <w:tcPr>
            <w:tcW w:type="dxa" w:w="3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Hystérésis phénoménologique</w:t>
            </w:r>
          </w:p>
        </w:tc>
        <w:tc>
          <w:tcPr>
            <w:tcW w:type="dxa" w:w="6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Cycles réalistes en forme, pas de prédiction à l’échelle des domaines</w:t>
            </w:r>
          </w:p>
        </w:tc>
      </w:tr>
      <w:tr>
        <w:trPr>
          <w:cantSplit/>
        </w:trPr>
        <w:tc>
          <w:tcPr>
            <w:tcW w:type="dxa" w:w="3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Température uniforme par objet</w:t>
            </w:r>
          </w:p>
        </w:tc>
        <w:tc>
          <w:tcPr>
            <w:tcW w:type="dxa" w:w="6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Pas de gradient interne avant la phase 3</w:t>
            </w:r>
          </w:p>
        </w:tc>
      </w:tr>
      <w:tr>
        <w:trPr>
          <w:cantSplit/>
        </w:trPr>
        <w:tc>
          <w:tcPr>
            <w:tcW w:type="dxa" w:w="3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Frottement de Coulomb</w:t>
            </w:r>
          </w:p>
        </w:tc>
        <w:tc>
          <w:tcPr>
            <w:tcW w:type="dxa" w:w="6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Pas d’adhésion, de lubrification ni d’usure</w:t>
            </w:r>
          </w:p>
        </w:tc>
      </w:tr>
      <w:tr>
        <w:trPr>
          <w:cantSplit/>
        </w:trPr>
        <w:tc>
          <w:tcPr>
            <w:tcW w:type="dxa" w:w="3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Pas de magnétostriction ni d’effets magnéto-élastiques</w:t>
            </w:r>
          </w:p>
        </w:tc>
        <w:tc>
          <w:tcPr>
            <w:tcW w:type="dxa" w:w="6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Les pièces ne se déforment pas sous le champ</w:t>
            </w:r>
          </w:p>
        </w:tc>
      </w:tr>
    </w:tbl>
    <w:p>
      <w:pPr>
        <w:spacing w:after="80" w:before="0" w:line="200"/>
      </w:pPr>
    </w:p>
    <w:p>
      <w:pPr>
        <w:pStyle w:val="Heading1"/>
        <w:pageBreakBefore/>
      </w:pPr>
      <w:bookmarkStart w:name="sec_18" w:id="118"/>
      <w:r>
        <w:rPr>
          <w:color w:val="0369A1"/>
        </w:rPr>
        <w:t xml:space="preserve">3  </w:t>
      </w:r>
      <w:r>
        <w:t xml:space="preserve">Méthodes numériques</w:t>
      </w:r>
      <w:bookmarkEnd w:id="118"/>
    </w:p>
    <w:p>
      <w:pPr>
        <w:pStyle w:val="Heading2"/>
      </w:pPr>
      <w:bookmarkStart w:name="sec_19" w:id="119"/>
      <w:r>
        <w:rPr>
          <w:color w:val="0369A1"/>
        </w:rPr>
        <w:t xml:space="preserve">3.1  </w:t>
      </w:r>
      <w:r>
        <w:t xml:space="preserve">Comparatif des approches</w:t>
      </w:r>
      <w:bookmarkEnd w:id="119"/>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00"/>
        <w:gridCol w:w="2000"/>
        <w:gridCol w:w="2200"/>
        <w:gridCol w:w="1538"/>
      </w:tblGrid>
      <w:tr>
        <w:trPr>
          <w:tblHeader/>
        </w:trPr>
        <w:tc>
          <w:tcPr>
            <w:tcW w:type="dxa" w:w="19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Méthode</w:t>
            </w:r>
          </w:p>
        </w:tc>
        <w:tc>
          <w:tcPr>
            <w:tcW w:type="dxa" w:w="20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Principe</w:t>
            </w:r>
          </w:p>
        </w:tc>
        <w:tc>
          <w:tcPr>
            <w:tcW w:type="dxa" w:w="20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Points forts</w:t>
            </w:r>
          </w:p>
        </w:tc>
        <w:tc>
          <w:tcPr>
            <w:tcW w:type="dxa" w:w="22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Points faibles</w:t>
            </w:r>
          </w:p>
        </w:tc>
        <w:tc>
          <w:tcPr>
            <w:tcW w:type="dxa" w:w="15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Verdict</w:t>
            </w:r>
          </w:p>
        </w:tc>
      </w:tr>
      <w:tr>
        <w:trPr>
          <w:cantSplit/>
        </w:trPr>
        <w:tc>
          <w:tcPr>
            <w:tcW w:type="dxa" w:w="1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Superposition analytique</w:t>
            </w:r>
          </w:p>
        </w:tc>
        <w:tc>
          <w:tcPr>
            <w:tcW w:type="dxa" w:w="2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Somme des champs des sources (Biot–Savart, dipôles)</w:t>
            </w:r>
          </w:p>
        </w:tc>
        <w:tc>
          <w:tcPr>
            <w:tcW w:type="dxa" w:w="2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Exacte en espace libre, triviale sur GPU</w:t>
            </w:r>
          </w:p>
        </w:tc>
        <w:tc>
          <w:tcPr>
            <w:tcW w:type="dxa" w:w="2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Ignore l’aimantation induite du fer ; pas de non-linéarité</w:t>
            </w:r>
          </w:p>
        </w:tc>
        <w:tc>
          <w:tcPr>
            <w:tcW w:type="dxa" w:w="15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Mode aperçu et validation</w:t>
            </w:r>
          </w:p>
        </w:tc>
      </w:tr>
      <w:tr>
        <w:trPr>
          <w:cantSplit/>
        </w:trPr>
        <w:tc>
          <w:tcPr>
            <w:tcW w:type="dxa" w:w="1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Éléments finis non structurés</w:t>
            </w:r>
          </w:p>
        </w:tc>
        <w:tc>
          <w:tcPr>
            <w:tcW w:type="dxa" w:w="2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Maillage triangulaire adapté aux formes (type FEMM)</w:t>
            </w:r>
          </w:p>
        </w:tc>
        <w:tc>
          <w:tcPr>
            <w:tcW w:type="dxa" w:w="2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Interfaces précises, raffinement local</w:t>
            </w:r>
          </w:p>
        </w:tc>
        <w:tc>
          <w:tcPr>
            <w:tcW w:type="dxa" w:w="2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Remaillage à chaque déplacement ; solveurs creux irréguliers peu adaptés au GPU</w:t>
            </w:r>
          </w:p>
        </w:tc>
        <w:tc>
          <w:tcPr>
            <w:tcW w:type="dxa" w:w="15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Écarté pour le temps réel</w:t>
            </w:r>
          </w:p>
        </w:tc>
      </w:tr>
      <w:tr>
        <w:trPr>
          <w:cantSplit/>
        </w:trPr>
        <w:tc>
          <w:tcPr>
            <w:tcW w:type="dxa" w:w="1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Éléments finis sur grille + multigrille</w:t>
            </w:r>
          </w:p>
        </w:tc>
        <w:tc>
          <w:tcPr>
            <w:tcW w:type="dxa" w:w="2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Grille cartésienne, stencil fixe, objets rastérisés</w:t>
            </w:r>
          </w:p>
        </w:tc>
        <w:tc>
          <w:tcPr>
            <w:tcW w:type="dxa" w:w="2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Parfait pour le GPU, coût O(N), objets mobiles = simple re-rastérisation</w:t>
            </w:r>
          </w:p>
        </w:tc>
        <w:tc>
          <w:tcPr>
            <w:tcW w:type="dxa" w:w="2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Interfaces en escalier (corrigées par fraction volumique)</w:t>
            </w:r>
          </w:p>
        </w:tc>
        <w:tc>
          <w:tcPr>
            <w:tcW w:type="dxa" w:w="15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Retenu</w:t>
            </w:r>
          </w:p>
        </w:tc>
      </w:tr>
      <w:tr>
        <w:trPr>
          <w:cantSplit/>
        </w:trPr>
        <w:tc>
          <w:tcPr>
            <w:tcW w:type="dxa" w:w="1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Équations intégrales + multipôles rapides</w:t>
            </w:r>
          </w:p>
        </w:tc>
        <w:tc>
          <w:tcPr>
            <w:tcW w:type="dxa" w:w="2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Seule la matière est discrétisée</w:t>
            </w:r>
          </w:p>
        </w:tc>
        <w:tc>
          <w:tcPr>
            <w:tcW w:type="dxa" w:w="2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Domaine ouvert exact, très bon en 3D</w:t>
            </w:r>
          </w:p>
        </w:tc>
        <w:tc>
          <w:tcPr>
            <w:tcW w:type="dxa" w:w="2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Matrices denses, non-linéarité délicate, implémentation complexe</w:t>
            </w:r>
          </w:p>
        </w:tc>
        <w:tc>
          <w:tcPr>
            <w:tcW w:type="dxa" w:w="15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Piste 3D et validation</w:t>
            </w:r>
          </w:p>
        </w:tc>
      </w:tr>
    </w:tbl>
    <w:p>
      <w:pPr>
        <w:spacing w:after="80" w:before="0" w:line="200"/>
      </w:pPr>
    </w:p>
    <w:p>
      <w:pPr>
        <w:pStyle w:val="Heading2"/>
      </w:pPr>
      <w:bookmarkStart w:name="sec_20" w:id="120"/>
      <w:r>
        <w:rPr>
          <w:color w:val="0369A1"/>
        </w:rPr>
        <w:t xml:space="preserve">3.2  </w:t>
      </w:r>
      <w:r>
        <w:t xml:space="preserve">Discrétisation retenue</w:t>
      </w:r>
      <w:bookmarkEnd w:id="120"/>
    </w:p>
    <w:p>
      <w:pPr>
        <w:spacing w:after="120" w:before="0" w:line="276"/>
        <w:jc w:val="both"/>
      </w:pPr>
      <w:r>
        <w:t xml:space="preserve">A</w:t>
      </w:r>
      <w:r>
        <w:rPr>
          <w:vertAlign w:val="subscript"/>
        </w:rPr>
        <w:t xml:space="preserve">z</w:t>
      </w:r>
      <w:r>
        <w:t xml:space="preserve"> est stocké aux </w:t>
      </w:r>
      <w:r>
        <w:rPr>
          <w:b/>
          <w:bCs/>
        </w:rPr>
        <w:t xml:space="preserve">nœuds</w:t>
      </w:r>
      <w:r>
        <w:t xml:space="preserve"> de la grille, les propriétés matériaux (ν, B</w:t>
      </w:r>
      <w:r>
        <w:rPr>
          <w:vertAlign w:val="subscript"/>
        </w:rPr>
        <w:t xml:space="preserve">r</w:t>
      </w:r>
      <w:r>
        <w:t xml:space="preserve">, J, température, identifiant d’objet) au </w:t>
      </w:r>
      <w:r>
        <w:rPr>
          <w:b/>
          <w:bCs/>
        </w:rPr>
        <w:t xml:space="preserve">centre des cellules</w:t>
      </w:r>
      <w:r>
        <w:t xml:space="preserve">. Sur une cellule carrée, la matrice élémentaire des éléments bilinéaires Q1 ne dépend que de ν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F3F6FA" w:color="auto" w:val="clear"/>
            <w:tcMar>
              <w:top w:type="dxa" w:w="100"/>
              <w:left w:type="dxa" w:w="200"/>
              <w:bottom w:type="dxa" w:w="60"/>
              <w:right w:type="dxa" w:w="200"/>
            </w:tcMar>
          </w:tcPr>
          <w:p>
            <w:pPr>
              <w:spacing w:after="50"/>
              <w:jc w:val="center"/>
            </w:pPr>
            <w:r>
              <w:rPr>
                <w:rFonts w:ascii="Cambria Math" w:cs="Cambria Math" w:eastAsia="Cambria Math" w:hAnsi="Cambria Math"/>
                <w:color w:val="111827"/>
                <w:sz w:val="22"/>
                <w:szCs w:val="22"/>
              </w:rPr>
              <w:t xml:space="preserve">K</w:t>
            </w:r>
            <w:r>
              <w:rPr>
                <w:rFonts w:ascii="Cambria Math" w:cs="Cambria Math" w:eastAsia="Cambria Math" w:hAnsi="Cambria Math"/>
                <w:color w:val="111827"/>
                <w:sz w:val="22"/>
                <w:szCs w:val="22"/>
                <w:vertAlign w:val="subscript"/>
              </w:rPr>
              <w:t xml:space="preserve">e</w:t>
            </w:r>
            <w:r>
              <w:rPr>
                <w:rFonts w:ascii="Cambria Math" w:cs="Cambria Math" w:eastAsia="Cambria Math" w:hAnsi="Cambria Math"/>
                <w:color w:val="111827"/>
                <w:sz w:val="22"/>
                <w:szCs w:val="22"/>
              </w:rPr>
              <w:t xml:space="preserve"> = (ν/6) · [ 4 −1 −2 −1 ; −1 4 −1 −2 ; −2 −1 4 −1 ; −1 −2 −1 4 ]</w:t>
            </w:r>
          </w:p>
        </w:tc>
      </w:tr>
    </w:tbl>
    <w:p>
      <w:pPr>
        <w:spacing w:after="100" w:before="0" w:line="200"/>
      </w:pPr>
    </w:p>
    <w:p>
      <w:pPr>
        <w:spacing w:after="120" w:before="0" w:line="276"/>
        <w:jc w:val="both"/>
      </w:pPr>
      <w:r>
        <w:t xml:space="preserve">Le produit matrice-vecteur s’écrit donc comme un stencil à 9 points calculé à la volée : aucune matrice n’est stockée (approche « matrix-free »), ce qui est idéal pour la bande passante du GPU. B est constant par cellule, au même endroit que ν : la mise à jour non linéaire ν(|B|) est purement locale.</w:t>
      </w:r>
    </w:p>
    <w:p>
      <w:pPr>
        <w:spacing w:after="120" w:before="0" w:line="276"/>
        <w:jc w:val="both"/>
      </w:pPr>
      <w:r>
        <w:t xml:space="preserve">Ce schéma est la restriction 2D de la </w:t>
      </w:r>
      <w:r>
        <w:rPr>
          <w:b/>
          <w:bCs/>
        </w:rPr>
        <w:t xml:space="preserve">technique d’intégration finie</w:t>
      </w:r>
      <w:r>
        <w:t xml:space="preserve"> (FIT) de Weiland, utilisée par les grands logiciels industriels. En 3D, le même cadre place A sur les arêtes, B sur les faces, H sur les arêtes duales et ν dans les cellules (grille de Yee). C’est ce qui rend le passage à la 3D cohérent plutôt qu’une réécriture.</w:t>
      </w:r>
    </w:p>
    <w:p>
      <w:pPr>
        <w:pStyle w:val="Heading2"/>
      </w:pPr>
      <w:bookmarkStart w:name="sec_21" w:id="121"/>
      <w:r>
        <w:rPr>
          <w:color w:val="0369A1"/>
        </w:rPr>
        <w:t xml:space="preserve">3.3  </w:t>
      </w:r>
      <w:r>
        <w:t xml:space="preserve">Rastérisation des objets</w:t>
      </w:r>
      <w:bookmarkEnd w:id="121"/>
    </w:p>
    <w:p>
      <w:pPr>
        <w:pStyle w:val="ListParagraph"/>
        <w:numPr>
          <w:ilvl w:val="0"/>
          <w:numId w:val="2"/>
        </w:numPr>
        <w:spacing w:after="60" w:line="276"/>
      </w:pPr>
      <w:r>
        <w:t xml:space="preserve">Chaque forme fournit une </w:t>
      </w:r>
      <w:r>
        <w:rPr>
          <w:b/>
          <w:bCs/>
        </w:rPr>
        <w:t xml:space="preserve">fonction distance signée</w:t>
      </w:r>
      <w:r>
        <w:t xml:space="preserve"> (SDF) : rectangle, cercle, anneau, polygone, chemin de Bézier (aplati via kurbo), opérations booléennes. Les SDF existent aussi en 3D.</w:t>
      </w:r>
    </w:p>
    <w:p>
      <w:pPr>
        <w:pStyle w:val="ListParagraph"/>
        <w:numPr>
          <w:ilvl w:val="0"/>
          <w:numId w:val="2"/>
        </w:numPr>
        <w:spacing w:after="60" w:line="276"/>
      </w:pPr>
      <w:r>
        <w:t xml:space="preserve">Un compute shader évalue, pour chaque cellule, la </w:t>
      </w:r>
      <w:r>
        <w:rPr>
          <w:b/>
          <w:bCs/>
        </w:rPr>
        <w:t xml:space="preserve">fraction volumique</w:t>
      </w:r>
      <w:r>
        <w:t xml:space="preserve"> occupée par chaque objet (sur-échantillonnage 4×4 ou couverture analytique), puis mélange les propriétés. La règle de mélange (moyenne de ν ou de μ) est choisie par des tests de convergence en phase 0.</w:t>
      </w:r>
    </w:p>
    <w:p>
      <w:pPr>
        <w:pStyle w:val="ListParagraph"/>
        <w:numPr>
          <w:ilvl w:val="0"/>
          <w:numId w:val="2"/>
        </w:numPr>
        <w:spacing w:after="60" w:line="276"/>
      </w:pPr>
      <w:r>
        <w:t xml:space="preserve">Les grandeurs conservées sont renormalisées : l’intensité totale d’une bobine (ampères-tours) et le moment magnétique d’un aimant sont exacts, quelle que soit la position de l’objet par rapport à la grille. Sans cela, déplacer un objet d’une demi-cellule ferait « clignoter » la force.</w:t>
      </w:r>
    </w:p>
    <w:p>
      <w:pPr>
        <w:pStyle w:val="ListParagraph"/>
        <w:numPr>
          <w:ilvl w:val="0"/>
          <w:numId w:val="2"/>
        </w:numPr>
        <w:spacing w:after="60" w:line="276"/>
      </w:pPr>
      <w:r>
        <w:t xml:space="preserve">La rastérisation n’est relancée que pour les objets modifiés (dirty flags) et sur leur boîte englobante.</w:t>
      </w:r>
    </w:p>
    <w:p>
      <w:pPr>
        <w:pStyle w:val="Heading2"/>
      </w:pPr>
      <w:bookmarkStart w:name="sec_22" w:id="122"/>
      <w:r>
        <w:rPr>
          <w:color w:val="0369A1"/>
        </w:rPr>
        <w:t xml:space="preserve">3.4  </w:t>
      </w:r>
      <w:r>
        <w:t xml:space="preserve">Domaine ouvert et conditions aux limites</w:t>
      </w:r>
      <w:bookmarkEnd w:id="122"/>
    </w:p>
    <w:p>
      <w:pPr>
        <w:spacing w:after="120" w:before="0" w:line="276"/>
        <w:jc w:val="both"/>
      </w:pPr>
      <w:r>
        <w:t xml:space="preserve">Le champ d’un aimant s’étend à l’infini, mais la grille est finie. Imposer A</w:t>
      </w:r>
      <w:r>
        <w:rPr>
          <w:vertAlign w:val="subscript"/>
        </w:rPr>
        <w:t xml:space="preserve">z</w:t>
      </w:r>
      <w:r>
        <w:t xml:space="preserve"> = 0 sur un bord trop proche confine artificiellement le flux : sur le prototype, cela sous-estime la force de 39 %. Options, de la plus simple à la plus exacte :</w:t>
      </w:r>
    </w:p>
    <w:p>
      <w:pPr>
        <w:pStyle w:val="ListParagraph"/>
        <w:numPr>
          <w:ilvl w:val="0"/>
          <w:numId w:val="4"/>
        </w:numPr>
        <w:spacing w:after="60" w:line="276"/>
      </w:pPr>
      <w:r>
        <w:rPr>
          <w:b/>
          <w:bCs/>
        </w:rPr>
        <w:t xml:space="preserve">Domaine élargi</w:t>
      </w:r>
      <w:r>
        <w:t xml:space="preserve"> (marge de 3 à 4 fois la taille de la scène) : simple, mais coûteux sur grille uniforme.</w:t>
      </w:r>
    </w:p>
    <w:p>
      <w:pPr>
        <w:pStyle w:val="ListParagraph"/>
        <w:numPr>
          <w:ilvl w:val="0"/>
          <w:numId w:val="4"/>
        </w:numPr>
        <w:spacing w:after="60" w:line="276"/>
      </w:pPr>
      <w:r>
        <w:rPr>
          <w:b/>
          <w:bCs/>
        </w:rPr>
        <w:t xml:space="preserve">Condition asymptotique de Robin</w:t>
      </w:r>
      <w:r>
        <w:t xml:space="preserve"> (∂A/∂n + A/r = 0, décroissance dipolaire) : bon compromis, coût nul.</w:t>
      </w:r>
    </w:p>
    <w:p>
      <w:pPr>
        <w:pStyle w:val="ListParagraph"/>
        <w:numPr>
          <w:ilvl w:val="0"/>
          <w:numId w:val="4"/>
        </w:numPr>
        <w:spacing w:after="60" w:line="276"/>
      </w:pPr>
      <w:r>
        <w:rPr>
          <w:b/>
          <w:bCs/>
        </w:rPr>
        <w:t xml:space="preserve">Transformation de Kelvin</w:t>
      </w:r>
      <w:r>
        <w:t xml:space="preserve"> : l’extérieur est replié dans un disque fini (approche FEMM).</w:t>
      </w:r>
    </w:p>
    <w:p>
      <w:pPr>
        <w:pStyle w:val="ListParagraph"/>
        <w:numPr>
          <w:ilvl w:val="0"/>
          <w:numId w:val="4"/>
        </w:numPr>
        <w:spacing w:after="60" w:line="276"/>
      </w:pPr>
      <w:r>
        <w:rPr>
          <w:b/>
          <w:bCs/>
        </w:rPr>
        <w:t xml:space="preserve">Méthode de James</w:t>
      </w:r>
      <w:r>
        <w:t xml:space="preserve"> : condition exacte « espace libre » par convolution des charges de bord avec la fonction de Green (FFT), au prix de deux résolutions.</w:t>
      </w:r>
    </w:p>
    <w:p>
      <w:pPr>
        <w:pStyle w:val="ListParagraph"/>
        <w:numPr>
          <w:ilvl w:val="0"/>
          <w:numId w:val="4"/>
        </w:numPr>
        <w:spacing w:after="60" w:line="276"/>
      </w:pPr>
      <w:r>
        <w:rPr>
          <w:b/>
          <w:bCs/>
        </w:rPr>
        <w:t xml:space="preserve">Grilles imbriquées</w:t>
      </w:r>
      <w:r>
        <w:t xml:space="preserve"> : grille fine autour des objets, grille grossière qui couvre loin ; combinée à la multigrille (raffinement composite).</w:t>
      </w:r>
    </w:p>
    <w:p>
      <w:pPr>
        <w:spacing w:after="120" w:before="0" w:line="276"/>
        <w:jc w:val="both"/>
      </w:pPr>
      <w:r>
        <w:rPr>
          <w:b/>
          <w:bCs/>
        </w:rPr>
        <w:t xml:space="preserve">Recommandation</w:t>
      </w:r>
      <w:r>
        <w:t xml:space="preserve"> : condition de Robin + marge en phase 1 ; méthode de James pour un « mode précision » en phase 3 ; grilles imbriquées en phase 4.</w:t>
      </w:r>
    </w:p>
    <w:p>
      <w:pPr>
        <w:pStyle w:val="Heading2"/>
      </w:pPr>
      <w:bookmarkStart w:name="sec_23" w:id="123"/>
      <w:r>
        <w:rPr>
          <w:color w:val="0369A1"/>
        </w:rPr>
        <w:t xml:space="preserve">3.5  </w:t>
      </w:r>
      <w:r>
        <w:t xml:space="preserve">Solveur linéaire : MG-PCG sur GPU</w:t>
      </w:r>
      <w:bookmarkEnd w:id="123"/>
    </w:p>
    <w:p>
      <w:pPr>
        <w:pStyle w:val="ListParagraph"/>
        <w:numPr>
          <w:ilvl w:val="0"/>
          <w:numId w:val="2"/>
        </w:numPr>
        <w:spacing w:after="60" w:line="276"/>
      </w:pPr>
      <w:r>
        <w:rPr>
          <w:b/>
          <w:bCs/>
        </w:rPr>
        <w:t xml:space="preserve">Gradient conjugué</w:t>
      </w:r>
      <w:r>
        <w:t xml:space="preserve"> préconditionné par </w:t>
      </w:r>
      <w:r>
        <w:rPr>
          <w:b/>
          <w:bCs/>
        </w:rPr>
        <w:t xml:space="preserve">un V-cycle multigrille</w:t>
      </w:r>
      <w:r>
        <w:t xml:space="preserve"> géométrique. La multigrille seule peine quand μ</w:t>
      </w:r>
      <w:r>
        <w:rPr>
          <w:vertAlign w:val="subscript"/>
        </w:rPr>
        <w:t xml:space="preserve">r</w:t>
      </w:r>
      <w:r>
        <w:t xml:space="preserve"> passe de 1 à 10 000 entre deux cellules ; en préconditionneur de gradient conjugué, elle reste robuste.</w:t>
      </w:r>
    </w:p>
    <w:p>
      <w:pPr>
        <w:pStyle w:val="ListParagraph"/>
        <w:numPr>
          <w:ilvl w:val="0"/>
          <w:numId w:val="2"/>
        </w:numPr>
        <w:spacing w:after="60" w:line="276"/>
      </w:pPr>
      <w:r>
        <w:rPr>
          <w:b/>
          <w:bCs/>
        </w:rPr>
        <w:t xml:space="preserve">Lissage</w:t>
      </w:r>
      <w:r>
        <w:t xml:space="preserve"> : Jacobi pondéré ou Gauss–Seidel rouge-noir (deux passes parallèles), éventuellement polynôme de Chebyshev.</w:t>
      </w:r>
    </w:p>
    <w:p>
      <w:pPr>
        <w:pStyle w:val="ListParagraph"/>
        <w:numPr>
          <w:ilvl w:val="0"/>
          <w:numId w:val="2"/>
        </w:numPr>
        <w:spacing w:after="60" w:line="276"/>
      </w:pPr>
      <w:r>
        <w:rPr>
          <w:b/>
          <w:bCs/>
        </w:rPr>
        <w:t xml:space="preserve">Opérateurs grossiers de Galerkin</w:t>
      </w:r>
      <w:r>
        <w:t xml:space="preserve"> (R·A·P) recalculés quand les matériaux changent : nettement plus robustes que la rediscrétisation pour les forts contrastes. Repli possible : multigrille « boîte noire » de Dendy.</w:t>
      </w:r>
    </w:p>
    <w:p>
      <w:pPr>
        <w:pStyle w:val="ListParagraph"/>
        <w:numPr>
          <w:ilvl w:val="0"/>
          <w:numId w:val="2"/>
        </w:numPr>
        <w:spacing w:after="60" w:line="276"/>
      </w:pPr>
      <w:r>
        <w:rPr>
          <w:b/>
          <w:bCs/>
        </w:rPr>
        <w:t xml:space="preserve">Niveau le plus grossier</w:t>
      </w:r>
      <w:r>
        <w:t xml:space="preserve"> (environ 16 × 16) résolu par quelques centaines d’itérations de Jacobi dans un seul dispatch.</w:t>
      </w:r>
    </w:p>
    <w:p>
      <w:pPr>
        <w:pStyle w:val="ListParagraph"/>
        <w:numPr>
          <w:ilvl w:val="0"/>
          <w:numId w:val="2"/>
        </w:numPr>
        <w:spacing w:after="60" w:line="276"/>
      </w:pPr>
      <w:r>
        <w:rPr>
          <w:b/>
          <w:bCs/>
        </w:rPr>
        <w:t xml:space="preserve">Reprise de la solution précédente</w:t>
      </w:r>
      <w:r>
        <w:t xml:space="preserve"> : pendant un glisser-déposer, 1 à 3 itérations suffisent pour suivre le mouvement.</w:t>
      </w:r>
    </w:p>
    <w:p>
      <w:pPr>
        <w:pStyle w:val="ListParagraph"/>
        <w:numPr>
          <w:ilvl w:val="0"/>
          <w:numId w:val="2"/>
        </w:numPr>
        <w:spacing w:after="60" w:line="276"/>
      </w:pPr>
      <w:r>
        <w:rPr>
          <w:b/>
          <w:bCs/>
        </w:rPr>
        <w:t xml:space="preserve">Réductions</w:t>
      </w:r>
      <w:r>
        <w:t xml:space="preserve"> (produits scalaires) en mémoire partagée de workgroup, avec les opérations de subgroup quand le matériel les expose.</w:t>
      </w:r>
    </w:p>
    <w:p>
      <w:pPr>
        <w:pStyle w:val="ListParagraph"/>
        <w:numPr>
          <w:ilvl w:val="0"/>
          <w:numId w:val="2"/>
        </w:numPr>
        <w:spacing w:after="60" w:line="276"/>
      </w:pPr>
      <w:r>
        <w:rPr>
          <w:b/>
          <w:bCs/>
        </w:rPr>
        <w:t xml:space="preserve">Arrêt</w:t>
      </w:r>
      <w:r>
        <w:t xml:space="preserve"> sur résidu relatif de 10</w:t>
      </w:r>
      <w:r>
        <w:rPr>
          <w:vertAlign w:val="superscript"/>
        </w:rPr>
        <w:t xml:space="preserve">−6</w:t>
      </w:r>
      <w:r>
        <w:t xml:space="preserve"> (limite pratique en f32) ou épuisement du budget de temps de l’image.</w:t>
      </w:r>
    </w:p>
    <w:p>
      <w:pPr>
        <w:pStyle w:val="Heading2"/>
      </w:pPr>
      <w:bookmarkStart w:name="sec_24" w:id="124"/>
      <w:r>
        <w:rPr>
          <w:color w:val="0369A1"/>
        </w:rPr>
        <w:t xml:space="preserve">3.6  </w:t>
      </w:r>
      <w:r>
        <w:t xml:space="preserve">Non-linéarité et hystérésis</w:t>
      </w:r>
      <w:bookmarkEnd w:id="124"/>
    </w:p>
    <w:p>
      <w:pPr>
        <w:spacing w:after="120" w:before="0" w:line="276"/>
        <w:jc w:val="both"/>
      </w:pPr>
      <w:r>
        <w:t xml:space="preserve">Itérations de </w:t>
      </w:r>
      <w:r>
        <w:rPr>
          <w:b/>
          <w:bCs/>
        </w:rPr>
        <w:t xml:space="preserve">Picard</w:t>
      </w:r>
      <w:r>
        <w:t xml:space="preserve"> (ν recalculé depuis le B précédent, avec relaxation de 0,3 à 0,7) pour démarrer, puis </w:t>
      </w:r>
      <w:r>
        <w:rPr>
          <w:b/>
          <w:bCs/>
        </w:rPr>
        <w:t xml:space="preserve">Newton–Raphson</w:t>
      </w:r>
      <w:r>
        <w:t xml:space="preserve"> dont la jacobienne ajoute un terme anisotrope dν/d(B²) au stencil, pour une convergence quadratique. En temps réel, la mise à jour de ν est entrelacée avec les itérations de gradient conjugué (Newton inexact). Le schéma d’approximation complète (FAS, multigrille non linéaire) est une alternative à évaluer. L’état d’hystérésis n’est mis à jour qu’une fois par pas convergé, jamais à l’intérieur des itérations, pour que l’histoire magnétique suive le temps physique et non le solveur.</w:t>
      </w:r>
    </w:p>
    <w:p>
      <w:pPr>
        <w:pStyle w:val="Heading2"/>
      </w:pPr>
      <w:bookmarkStart w:name="sec_25" w:id="125"/>
      <w:r>
        <w:rPr>
          <w:color w:val="0369A1"/>
        </w:rPr>
        <w:t xml:space="preserve">3.7  </w:t>
      </w:r>
      <w:r>
        <w:t xml:space="preserve">Précision numérique</w:t>
      </w:r>
      <w:bookmarkEnd w:id="125"/>
    </w:p>
    <w:p>
      <w:pPr>
        <w:spacing w:after="120" w:before="0" w:line="276"/>
        <w:jc w:val="both"/>
      </w:pPr>
      <w:r>
        <w:t xml:space="preserve">Le GPU calcule en f32 : WGSL n’offre pas de f64 portable (l’extension n’existe pas en WebGPU et elle est lente sur les cartes grand public). Parades :</w:t>
      </w:r>
    </w:p>
    <w:p>
      <w:pPr>
        <w:pStyle w:val="ListParagraph"/>
        <w:numPr>
          <w:ilvl w:val="0"/>
          <w:numId w:val="2"/>
        </w:numPr>
        <w:spacing w:after="60" w:line="276"/>
      </w:pPr>
      <w:r>
        <w:t xml:space="preserve">para- et diamagnétiques traités par perturbation (section 2.4) ;</w:t>
      </w:r>
    </w:p>
    <w:p>
      <w:pPr>
        <w:pStyle w:val="ListParagraph"/>
        <w:numPr>
          <w:ilvl w:val="0"/>
          <w:numId w:val="2"/>
        </w:numPr>
        <w:spacing w:after="60" w:line="276"/>
      </w:pPr>
      <w:r>
        <w:t xml:space="preserve">sommes compensées (Kahan) dans les réductions ;</w:t>
      </w:r>
    </w:p>
    <w:p>
      <w:pPr>
        <w:pStyle w:val="ListParagraph"/>
        <w:numPr>
          <w:ilvl w:val="0"/>
          <w:numId w:val="2"/>
        </w:numPr>
        <w:spacing w:after="60" w:line="276"/>
      </w:pPr>
      <w:r>
        <w:t xml:space="preserve">variables mises à l’échelle (A en mT·mm) pour rester loin des nombres dénormalisés ;</w:t>
      </w:r>
    </w:p>
    <w:p>
      <w:pPr>
        <w:pStyle w:val="ListParagraph"/>
        <w:numPr>
          <w:ilvl w:val="0"/>
          <w:numId w:val="2"/>
        </w:numPr>
        <w:spacing w:after="60" w:line="276"/>
      </w:pPr>
      <w:r>
        <w:t xml:space="preserve">un </w:t>
      </w:r>
      <w:r>
        <w:rPr>
          <w:b/>
          <w:bCs/>
        </w:rPr>
        <w:t xml:space="preserve">solveur de référence CPU en f64</w:t>
      </w:r>
      <w:r>
        <w:t xml:space="preserve"> (même discrétisation) pour les tests et un bouton « vérifier ce résultat » en mode expert.</w:t>
      </w:r>
    </w:p>
    <w:p>
      <w:pPr>
        <w:pStyle w:val="Heading2"/>
      </w:pPr>
      <w:bookmarkStart w:name="sec_26" w:id="126"/>
      <w:r>
        <w:rPr>
          <w:color w:val="0369A1"/>
        </w:rPr>
        <w:t xml:space="preserve">3.8  </w:t>
      </w:r>
      <w:r>
        <w:t xml:space="preserve">Couplage multiphysique</w:t>
      </w:r>
      <w:bookmarkEnd w:id="126"/>
    </w:p>
    <w:p>
      <w:pPr>
        <w:spacing w:after="120" w:before="0" w:line="276"/>
        <w:jc w:val="both"/>
      </w:pPr>
      <w:r>
        <w:t xml:space="preserve">La mécanique avance par sous-pas de 1/240 s avec les forces du dernier calcul de champ. Le champ est recalculé à chaque image, et en plus si un objet s’est déplacé de plus d’un quart de cellule ou si la force a varié de plus de 10 %. Sans cette règle, une bille qui accélère vers un aimant (force en 1/d</w:t>
      </w:r>
      <w:r>
        <w:rPr>
          <w:vertAlign w:val="superscript"/>
        </w:rPr>
        <w:t xml:space="preserve">n</w:t>
      </w:r>
      <w:r>
        <w:t xml:space="preserve">) gagnerait une énergie fictive et rebondirait de façon irréaliste. La thermique, plus lente, est mise à jour à environ 10 Hz ; les circuits suivent le pas mécanique.</w:t>
      </w:r>
    </w:p>
    <w:p>
      <w:pPr>
        <w:pStyle w:val="Heading2"/>
      </w:pPr>
      <w:bookmarkStart w:name="sec_27" w:id="127"/>
      <w:r>
        <w:rPr>
          <w:color w:val="0369A1"/>
        </w:rPr>
        <w:t xml:space="preserve">3.9  </w:t>
      </w:r>
      <w:r>
        <w:t xml:space="preserve">Plan de validation</w:t>
      </w:r>
      <w:bookmarkEnd w:id="12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700"/>
        <w:gridCol w:w="2738"/>
      </w:tblGrid>
      <w:tr>
        <w:trPr>
          <w:tblHeader/>
        </w:trPr>
        <w:tc>
          <w:tcPr>
            <w:tcW w:type="dxa" w:w="32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Cas test</w:t>
            </w:r>
          </w:p>
        </w:tc>
        <w:tc>
          <w:tcPr>
            <w:tcW w:type="dxa" w:w="37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Référence</w:t>
            </w:r>
          </w:p>
        </w:tc>
        <w:tc>
          <w:tcPr>
            <w:tcW w:type="dxa" w:w="27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Critère d’acceptation</w:t>
            </w:r>
          </w:p>
        </w:tc>
      </w:tr>
      <w:tr>
        <w:trPr>
          <w:cantSplit/>
        </w:trPr>
        <w:tc>
          <w:tcPr>
            <w:tcW w:type="dxa" w:w="3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Fil infini</w:t>
            </w:r>
          </w:p>
        </w:tc>
        <w:tc>
          <w:tcPr>
            <w:tcW w:type="dxa" w:w="3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 = μ</w:t>
            </w:r>
            <w:r>
              <w:rPr>
                <w:b w:val="false"/>
                <w:bCs w:val="false"/>
                <w:sz w:val="17"/>
                <w:szCs w:val="17"/>
                <w:vertAlign w:val="subscript"/>
              </w:rPr>
              <w:t xml:space="preserve">0</w:t>
            </w:r>
            <w:r>
              <w:rPr>
                <w:b w:val="false"/>
                <w:bCs w:val="false"/>
                <w:sz w:val="17"/>
                <w:szCs w:val="17"/>
              </w:rPr>
              <w:t xml:space="preserve">I/(2πr)</w:t>
            </w:r>
          </w:p>
        </w:tc>
        <w:tc>
          <w:tcPr>
            <w:tcW w:type="dxa" w:w="27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Erreur &lt; 0,5 % pour r &gt; 3 cellules</w:t>
            </w:r>
          </w:p>
        </w:tc>
      </w:tr>
      <w:tr>
        <w:trPr>
          <w:cantSplit/>
        </w:trPr>
        <w:tc>
          <w:tcPr>
            <w:tcW w:type="dxa" w:w="3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Deux fils parallèles</w:t>
            </w:r>
          </w:p>
        </w:tc>
        <w:tc>
          <w:tcPr>
            <w:tcW w:type="dxa" w:w="3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F/ℓ = μ</w:t>
            </w:r>
            <w:r>
              <w:rPr>
                <w:b w:val="false"/>
                <w:bCs w:val="false"/>
                <w:sz w:val="17"/>
                <w:szCs w:val="17"/>
                <w:vertAlign w:val="subscript"/>
              </w:rPr>
              <w:t xml:space="preserve">0</w:t>
            </w:r>
            <w:r>
              <w:rPr>
                <w:b w:val="false"/>
                <w:bCs w:val="false"/>
                <w:sz w:val="17"/>
                <w:szCs w:val="17"/>
              </w:rPr>
              <w:t xml:space="preserve">I</w:t>
            </w:r>
            <w:r>
              <w:rPr>
                <w:b w:val="false"/>
                <w:bCs w:val="false"/>
                <w:sz w:val="17"/>
                <w:szCs w:val="17"/>
                <w:vertAlign w:val="subscript"/>
              </w:rPr>
              <w:t xml:space="preserve">1</w:t>
            </w:r>
            <w:r>
              <w:rPr>
                <w:b w:val="false"/>
                <w:bCs w:val="false"/>
                <w:sz w:val="17"/>
                <w:szCs w:val="17"/>
              </w:rPr>
              <w:t xml:space="preserve">I</w:t>
            </w:r>
            <w:r>
              <w:rPr>
                <w:b w:val="false"/>
                <w:bCs w:val="false"/>
                <w:sz w:val="17"/>
                <w:szCs w:val="17"/>
                <w:vertAlign w:val="subscript"/>
              </w:rPr>
              <w:t xml:space="preserve">2</w:t>
            </w:r>
            <w:r>
              <w:rPr>
                <w:b w:val="false"/>
                <w:bCs w:val="false"/>
                <w:sz w:val="17"/>
                <w:szCs w:val="17"/>
              </w:rPr>
              <w:t xml:space="preserve">/(2πd)</w:t>
            </w:r>
          </w:p>
        </w:tc>
        <w:tc>
          <w:tcPr>
            <w:tcW w:type="dxa" w:w="27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&lt; 1 %</w:t>
            </w:r>
          </w:p>
        </w:tc>
      </w:tr>
      <w:tr>
        <w:trPr>
          <w:cantSplit/>
        </w:trPr>
        <w:tc>
          <w:tcPr>
            <w:tcW w:type="dxa" w:w="3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Cylindre aimanté transversalement (μ</w:t>
            </w:r>
            <w:r>
              <w:rPr>
                <w:b w:val="false"/>
                <w:bCs w:val="false"/>
                <w:sz w:val="17"/>
                <w:szCs w:val="17"/>
                <w:vertAlign w:val="subscript"/>
              </w:rPr>
              <w:t xml:space="preserve">rec</w:t>
            </w:r>
            <w:r>
              <w:rPr>
                <w:b w:val="false"/>
                <w:bCs w:val="false"/>
                <w:sz w:val="17"/>
                <w:szCs w:val="17"/>
              </w:rPr>
              <w:t xml:space="preserve"> = 1)</w:t>
            </w:r>
          </w:p>
        </w:tc>
        <w:tc>
          <w:tcPr>
            <w:tcW w:type="dxa" w:w="3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 intérieur uniforme = B</w:t>
            </w:r>
            <w:r>
              <w:rPr>
                <w:b w:val="false"/>
                <w:bCs w:val="false"/>
                <w:sz w:val="17"/>
                <w:szCs w:val="17"/>
                <w:vertAlign w:val="subscript"/>
              </w:rPr>
              <w:t xml:space="preserve">r</w:t>
            </w:r>
            <w:r>
              <w:rPr>
                <w:b w:val="false"/>
                <w:bCs w:val="false"/>
                <w:sz w:val="17"/>
                <w:szCs w:val="17"/>
              </w:rPr>
              <w:t xml:space="preserve">/2</w:t>
            </w:r>
          </w:p>
        </w:tc>
        <w:tc>
          <w:tcPr>
            <w:tcW w:type="dxa" w:w="27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&lt; 1 %</w:t>
            </w:r>
          </w:p>
        </w:tc>
      </w:tr>
      <w:tr>
        <w:trPr>
          <w:cantSplit/>
        </w:trPr>
        <w:tc>
          <w:tcPr>
            <w:tcW w:type="dxa" w:w="3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Cylindre de perméabilité μ</w:t>
            </w:r>
            <w:r>
              <w:rPr>
                <w:b w:val="false"/>
                <w:bCs w:val="false"/>
                <w:sz w:val="17"/>
                <w:szCs w:val="17"/>
                <w:vertAlign w:val="subscript"/>
              </w:rPr>
              <w:t xml:space="preserve">r</w:t>
            </w:r>
            <w:r>
              <w:rPr>
                <w:b w:val="false"/>
                <w:bCs w:val="false"/>
                <w:sz w:val="17"/>
                <w:szCs w:val="17"/>
              </w:rPr>
              <w:t xml:space="preserve"> dans un champ uniforme B</w:t>
            </w:r>
            <w:r>
              <w:rPr>
                <w:b w:val="false"/>
                <w:bCs w:val="false"/>
                <w:sz w:val="17"/>
                <w:szCs w:val="17"/>
                <w:vertAlign w:val="subscript"/>
              </w:rPr>
              <w:t xml:space="preserve">0</w:t>
            </w:r>
          </w:p>
        </w:tc>
        <w:tc>
          <w:tcPr>
            <w:tcW w:type="dxa" w:w="3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w:t>
            </w:r>
            <w:r>
              <w:rPr>
                <w:b w:val="false"/>
                <w:bCs w:val="false"/>
                <w:sz w:val="17"/>
                <w:szCs w:val="17"/>
                <w:vertAlign w:val="subscript"/>
              </w:rPr>
              <w:t xml:space="preserve">int</w:t>
            </w:r>
            <w:r>
              <w:rPr>
                <w:b w:val="false"/>
                <w:bCs w:val="false"/>
                <w:sz w:val="17"/>
                <w:szCs w:val="17"/>
              </w:rPr>
              <w:t xml:space="preserve"> = 2μ</w:t>
            </w:r>
            <w:r>
              <w:rPr>
                <w:b w:val="false"/>
                <w:bCs w:val="false"/>
                <w:sz w:val="17"/>
                <w:szCs w:val="17"/>
                <w:vertAlign w:val="subscript"/>
              </w:rPr>
              <w:t xml:space="preserve">r</w:t>
            </w:r>
            <w:r>
              <w:rPr>
                <w:b w:val="false"/>
                <w:bCs w:val="false"/>
                <w:sz w:val="17"/>
                <w:szCs w:val="17"/>
              </w:rPr>
              <w:t xml:space="preserve">B</w:t>
            </w:r>
            <w:r>
              <w:rPr>
                <w:b w:val="false"/>
                <w:bCs w:val="false"/>
                <w:sz w:val="17"/>
                <w:szCs w:val="17"/>
                <w:vertAlign w:val="subscript"/>
              </w:rPr>
              <w:t xml:space="preserve">0</w:t>
            </w:r>
            <w:r>
              <w:rPr>
                <w:b w:val="false"/>
                <w:bCs w:val="false"/>
                <w:sz w:val="17"/>
                <w:szCs w:val="17"/>
              </w:rPr>
              <w:t xml:space="preserve">/(μ</w:t>
            </w:r>
            <w:r>
              <w:rPr>
                <w:b w:val="false"/>
                <w:bCs w:val="false"/>
                <w:sz w:val="17"/>
                <w:szCs w:val="17"/>
                <w:vertAlign w:val="subscript"/>
              </w:rPr>
              <w:t xml:space="preserve">r</w:t>
            </w:r>
            <w:r>
              <w:rPr>
                <w:b w:val="false"/>
                <w:bCs w:val="false"/>
                <w:sz w:val="17"/>
                <w:szCs w:val="17"/>
              </w:rPr>
              <w:t xml:space="preserve"> + 1)</w:t>
            </w:r>
          </w:p>
        </w:tc>
        <w:tc>
          <w:tcPr>
            <w:tcW w:type="dxa" w:w="27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&lt; 1 %</w:t>
            </w:r>
          </w:p>
        </w:tc>
      </w:tr>
      <w:tr>
        <w:trPr>
          <w:cantSplit/>
        </w:trPr>
        <w:tc>
          <w:tcPr>
            <w:tcW w:type="dxa" w:w="3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Blindage par un tube (rayons a &lt; b)</w:t>
            </w:r>
          </w:p>
        </w:tc>
        <w:tc>
          <w:tcPr>
            <w:tcW w:type="dxa" w:w="3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w:t>
            </w:r>
            <w:r>
              <w:rPr>
                <w:b w:val="false"/>
                <w:bCs w:val="false"/>
                <w:sz w:val="17"/>
                <w:szCs w:val="17"/>
                <w:vertAlign w:val="subscript"/>
              </w:rPr>
              <w:t xml:space="preserve">int</w:t>
            </w:r>
            <w:r>
              <w:rPr>
                <w:b w:val="false"/>
                <w:bCs w:val="false"/>
                <w:sz w:val="17"/>
                <w:szCs w:val="17"/>
              </w:rPr>
              <w:t xml:space="preserve">/B</w:t>
            </w:r>
            <w:r>
              <w:rPr>
                <w:b w:val="false"/>
                <w:bCs w:val="false"/>
                <w:sz w:val="17"/>
                <w:szCs w:val="17"/>
                <w:vertAlign w:val="subscript"/>
              </w:rPr>
              <w:t xml:space="preserve">0</w:t>
            </w:r>
            <w:r>
              <w:rPr>
                <w:b w:val="false"/>
                <w:bCs w:val="false"/>
                <w:sz w:val="17"/>
                <w:szCs w:val="17"/>
              </w:rPr>
              <w:t xml:space="preserve"> = 4μ</w:t>
            </w:r>
            <w:r>
              <w:rPr>
                <w:b w:val="false"/>
                <w:bCs w:val="false"/>
                <w:sz w:val="17"/>
                <w:szCs w:val="17"/>
                <w:vertAlign w:val="subscript"/>
              </w:rPr>
              <w:t xml:space="preserve">r</w:t>
            </w:r>
            <w:r>
              <w:rPr>
                <w:b w:val="false"/>
                <w:bCs w:val="false"/>
                <w:sz w:val="17"/>
                <w:szCs w:val="17"/>
              </w:rPr>
              <w:t xml:space="preserve">b² / [(μ</w:t>
            </w:r>
            <w:r>
              <w:rPr>
                <w:b w:val="false"/>
                <w:bCs w:val="false"/>
                <w:sz w:val="17"/>
                <w:szCs w:val="17"/>
                <w:vertAlign w:val="subscript"/>
              </w:rPr>
              <w:t xml:space="preserve">r</w:t>
            </w:r>
            <w:r>
              <w:rPr>
                <w:b w:val="false"/>
                <w:bCs w:val="false"/>
                <w:sz w:val="17"/>
                <w:szCs w:val="17"/>
              </w:rPr>
              <w:t xml:space="preserve">+1)²b² − (μ</w:t>
            </w:r>
            <w:r>
              <w:rPr>
                <w:b w:val="false"/>
                <w:bCs w:val="false"/>
                <w:sz w:val="17"/>
                <w:szCs w:val="17"/>
                <w:vertAlign w:val="subscript"/>
              </w:rPr>
              <w:t xml:space="preserve">r</w:t>
            </w:r>
            <w:r>
              <w:rPr>
                <w:b w:val="false"/>
                <w:bCs w:val="false"/>
                <w:sz w:val="17"/>
                <w:szCs w:val="17"/>
              </w:rPr>
              <w:t xml:space="preserve">−1)²a²]</w:t>
            </w:r>
          </w:p>
        </w:tc>
        <w:tc>
          <w:tcPr>
            <w:tcW w:type="dxa" w:w="27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&lt; 2 %</w:t>
            </w:r>
          </w:p>
        </w:tc>
      </w:tr>
      <w:tr>
        <w:trPr>
          <w:cantSplit/>
        </w:trPr>
        <w:tc>
          <w:tcPr>
            <w:tcW w:type="dxa" w:w="3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Long solénoïde (axisymétrique)</w:t>
            </w:r>
          </w:p>
        </w:tc>
        <w:tc>
          <w:tcPr>
            <w:tcW w:type="dxa" w:w="3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 = μ</w:t>
            </w:r>
            <w:r>
              <w:rPr>
                <w:b w:val="false"/>
                <w:bCs w:val="false"/>
                <w:sz w:val="17"/>
                <w:szCs w:val="17"/>
                <w:vertAlign w:val="subscript"/>
              </w:rPr>
              <w:t xml:space="preserve">0</w:t>
            </w:r>
            <w:r>
              <w:rPr>
                <w:b w:val="false"/>
                <w:bCs w:val="false"/>
                <w:sz w:val="17"/>
                <w:szCs w:val="17"/>
              </w:rPr>
              <w:t xml:space="preserve">NI/ℓ au centre</w:t>
            </w:r>
          </w:p>
        </w:tc>
        <w:tc>
          <w:tcPr>
            <w:tcW w:type="dxa" w:w="27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&lt; 1 %</w:t>
            </w:r>
          </w:p>
        </w:tc>
      </w:tr>
      <w:tr>
        <w:trPr>
          <w:cantSplit/>
        </w:trPr>
        <w:tc>
          <w:tcPr>
            <w:tcW w:type="dxa" w:w="3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Lévitation du graphite pyrolytique</w:t>
            </w:r>
          </w:p>
        </w:tc>
        <w:tc>
          <w:tcPr>
            <w:tcW w:type="dxa" w:w="3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B·∂B/∂z = μ</w:t>
            </w:r>
            <w:r>
              <w:rPr>
                <w:b w:val="false"/>
                <w:bCs w:val="false"/>
                <w:sz w:val="17"/>
                <w:szCs w:val="17"/>
                <w:vertAlign w:val="subscript"/>
              </w:rPr>
              <w:t xml:space="preserve">0</w:t>
            </w:r>
            <w:r>
              <w:rPr>
                <w:b w:val="false"/>
                <w:bCs w:val="false"/>
                <w:sz w:val="17"/>
                <w:szCs w:val="17"/>
              </w:rPr>
              <w:t xml:space="preserve">ρg/|χ| ≈ 60 T²/m</w:t>
            </w:r>
          </w:p>
        </w:tc>
        <w:tc>
          <w:tcPr>
            <w:tcW w:type="dxa" w:w="27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Seuil reproduit à 5 %</w:t>
            </w:r>
          </w:p>
        </w:tc>
      </w:tr>
      <w:tr>
        <w:trPr>
          <w:cantSplit/>
        </w:trPr>
        <w:tc>
          <w:tcPr>
            <w:tcW w:type="dxa" w:w="3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Scènes comparées à FEMM</w:t>
            </w:r>
          </w:p>
        </w:tc>
        <w:tc>
          <w:tcPr>
            <w:tcW w:type="dxa" w:w="3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Même géométrie, mêmes matériaux</w:t>
            </w:r>
          </w:p>
        </w:tc>
        <w:tc>
          <w:tcPr>
            <w:tcW w:type="dxa" w:w="27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 &lt; 2 %, forces &lt; 3 %</w:t>
            </w:r>
          </w:p>
        </w:tc>
      </w:tr>
      <w:tr>
        <w:trPr>
          <w:cantSplit/>
        </w:trPr>
        <w:tc>
          <w:tcPr>
            <w:tcW w:type="dxa" w:w="3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Convergence en maillage</w:t>
            </w:r>
          </w:p>
        </w:tc>
        <w:tc>
          <w:tcPr>
            <w:tcW w:type="dxa" w:w="3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Raffinements successifs h, h/2, h/4</w:t>
            </w:r>
          </w:p>
        </w:tc>
        <w:tc>
          <w:tcPr>
            <w:tcW w:type="dxa" w:w="27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Ordre mesuré conforme (≈ 1 aux interfaces, 2 ailleurs)</w:t>
            </w:r>
          </w:p>
        </w:tc>
      </w:tr>
    </w:tbl>
    <w:p>
      <w:pPr>
        <w:spacing w:after="80" w:before="0" w:line="200"/>
      </w:pPr>
    </w:p>
    <w:p>
      <w:pPr>
        <w:pStyle w:val="Heading1"/>
        <w:pageBreakBefore/>
      </w:pPr>
      <w:bookmarkStart w:name="sec_28" w:id="128"/>
      <w:r>
        <w:rPr>
          <w:color w:val="0369A1"/>
        </w:rPr>
        <w:t xml:space="preserve">4  </w:t>
      </w:r>
      <w:r>
        <w:t xml:space="preserve">Architecture logicielle et choix techniques</w:t>
      </w:r>
      <w:bookmarkEnd w:id="128"/>
    </w:p>
    <w:p>
      <w:pPr>
        <w:pStyle w:val="Heading2"/>
      </w:pPr>
      <w:bookmarkStart w:name="sec_29" w:id="129"/>
      <w:r>
        <w:rPr>
          <w:color w:val="0369A1"/>
        </w:rPr>
        <w:t xml:space="preserve">4.1  </w:t>
      </w:r>
      <w:r>
        <w:t xml:space="preserve">Pile technique</w:t>
      </w:r>
      <w:bookmarkEnd w:id="129"/>
    </w:p>
    <w:p>
      <w:pPr>
        <w:spacing w:after="120" w:before="0" w:line="276"/>
        <w:jc w:val="both"/>
      </w:pPr>
      <w:r>
        <w:t xml:space="preserve">Versions relevées en octobre 2026 ; elles seront figées dans Cargo.lock et mises à jour une fois par trimestre.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500"/>
        <w:gridCol w:w="2000"/>
        <w:gridCol w:w="2038"/>
      </w:tblGrid>
      <w:tr>
        <w:trPr>
          <w:tblHeader/>
        </w:trPr>
        <w:tc>
          <w:tcPr>
            <w:tcW w:type="dxa" w:w="21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Brique</w:t>
            </w:r>
          </w:p>
        </w:tc>
        <w:tc>
          <w:tcPr>
            <w:tcW w:type="dxa" w:w="35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Rôle</w:t>
            </w:r>
          </w:p>
        </w:tc>
        <w:tc>
          <w:tcPr>
            <w:tcW w:type="dxa" w:w="20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État (oct. 2026)</w:t>
            </w:r>
          </w:p>
        </w:tc>
        <w:tc>
          <w:tcPr>
            <w:tcW w:type="dxa" w:w="20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Alternative</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Rust, édition 2024</w:t>
            </w:r>
          </w:p>
        </w:tc>
        <w:tc>
          <w:tcPr>
            <w:tcW w:type="dxa" w:w="3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Langage, toolchain stable</w:t>
            </w:r>
          </w:p>
        </w:tc>
        <w:tc>
          <w:tcPr>
            <w:tcW w:type="dxa" w:w="2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Stable</w:t>
            </w:r>
          </w:p>
        </w:tc>
        <w:tc>
          <w:tcPr>
            <w:tcW w:type="dxa" w:w="2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6"/>
                <w:szCs w:val="16"/>
              </w:rPr>
              <w:t xml:space="preserve">wgpu</w:t>
            </w:r>
          </w:p>
        </w:tc>
        <w:tc>
          <w:tcPr>
            <w:tcW w:type="dxa" w:w="35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Accès GPU portable : Vulkan, Metal, DirectX 12, WebGPU, OpenGL</w:t>
            </w:r>
          </w:p>
        </w:tc>
        <w:tc>
          <w:tcPr>
            <w:tcW w:type="dxa" w:w="2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v30.0 (juillet 2026)</w:t>
            </w:r>
          </w:p>
        </w:tc>
        <w:tc>
          <w:tcPr>
            <w:tcW w:type="dxa" w:w="2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ash (Vulkan seul), CubeCL (calcul seul)</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WGSL + WESL</w:t>
            </w:r>
          </w:p>
        </w:tc>
        <w:tc>
          <w:tcPr>
            <w:tcW w:type="dxa" w:w="3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Shaders ; WESL ajoute imports, compilation conditionnelle et paquets</w:t>
            </w:r>
          </w:p>
        </w:tc>
        <w:tc>
          <w:tcPr>
            <w:tcW w:type="dxa" w:w="2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Crate wesl, intégration build.rs</w:t>
            </w:r>
          </w:p>
        </w:tc>
        <w:tc>
          <w:tcPr>
            <w:tcW w:type="dxa" w:w="2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naga_oil</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winit</w:t>
            </w:r>
          </w:p>
        </w:tc>
        <w:tc>
          <w:tcPr>
            <w:tcW w:type="dxa" w:w="35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Fenêtre, clavier, souris, tablette</w:t>
            </w:r>
          </w:p>
        </w:tc>
        <w:tc>
          <w:tcPr>
            <w:tcW w:type="dxa" w:w="2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Stable</w:t>
            </w:r>
          </w:p>
        </w:tc>
        <w:tc>
          <w:tcPr>
            <w:tcW w:type="dxa" w:w="2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SDL3</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egui</w:t>
            </w:r>
            <w:r>
              <w:rPr>
                <w:b w:val="false"/>
                <w:bCs w:val="false"/>
                <w:sz w:val="16"/>
                <w:szCs w:val="16"/>
              </w:rPr>
              <w:t xml:space="preserve"> + egui-wgpu</w:t>
            </w:r>
          </w:p>
        </w:tc>
        <w:tc>
          <w:tcPr>
            <w:tcW w:type="dxa" w:w="3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Interface (panneaux, inspecteur, palettes) ; egui_plot pour les graphes, egui_tiles pour l’ancrage</w:t>
            </w:r>
          </w:p>
        </w:tc>
        <w:tc>
          <w:tcPr>
            <w:tcW w:type="dxa" w:w="2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0.36 (août 2026)</w:t>
            </w:r>
          </w:p>
        </w:tc>
        <w:tc>
          <w:tcPr>
            <w:tcW w:type="dxa" w:w="2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iced, Slint</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glam</w:t>
            </w:r>
          </w:p>
        </w:tc>
        <w:tc>
          <w:tcPr>
            <w:tcW w:type="dxa" w:w="35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Vecteurs et matrices SIMD (f32 et f64)</w:t>
            </w:r>
          </w:p>
        </w:tc>
        <w:tc>
          <w:tcPr>
            <w:tcW w:type="dxa" w:w="2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Stable</w:t>
            </w:r>
          </w:p>
        </w:tc>
        <w:tc>
          <w:tcPr>
            <w:tcW w:type="dxa" w:w="2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nalgebra</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rapier2d / rapier3d</w:t>
            </w:r>
          </w:p>
        </w:tc>
        <w:tc>
          <w:tcPr>
            <w:tcW w:type="dxa" w:w="3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Corps rigides, collisions, liaisons</w:t>
            </w:r>
          </w:p>
        </w:tc>
        <w:tc>
          <w:tcPr>
            <w:tcW w:type="dxa" w:w="2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rapier2d 0.34, rapier3d 0.35</w:t>
            </w:r>
          </w:p>
        </w:tc>
        <w:tc>
          <w:tcPr>
            <w:tcW w:type="dxa" w:w="2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Avian (lié à Bevy)</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lyon, kurbo, i_overlay</w:t>
            </w:r>
          </w:p>
        </w:tc>
        <w:tc>
          <w:tcPr>
            <w:tcW w:type="dxa" w:w="35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Tessellation, courbes de Bézier, booléens de polygones</w:t>
            </w:r>
          </w:p>
        </w:tc>
        <w:tc>
          <w:tcPr>
            <w:tcW w:type="dxa" w:w="2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Stables</w:t>
            </w:r>
          </w:p>
        </w:tc>
        <w:tc>
          <w:tcPr>
            <w:tcW w:type="dxa" w:w="2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geo</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serde + ron</w:t>
            </w:r>
          </w:p>
        </w:tc>
        <w:tc>
          <w:tcPr>
            <w:tcW w:type="dxa" w:w="3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Format de scène et bibliothèque de matériaux</w:t>
            </w:r>
          </w:p>
        </w:tc>
        <w:tc>
          <w:tcPr>
            <w:tcW w:type="dxa" w:w="2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Stables</w:t>
            </w:r>
          </w:p>
        </w:tc>
        <w:tc>
          <w:tcPr>
            <w:tcW w:type="dxa" w:w="2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JSON, TOML</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hecs (ou bevy_ecs seul)</w:t>
            </w:r>
          </w:p>
        </w:tc>
        <w:tc>
          <w:tcPr>
            <w:tcW w:type="dxa" w:w="35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ECS léger pour la scène</w:t>
            </w:r>
          </w:p>
        </w:tc>
        <w:tc>
          <w:tcPr>
            <w:tcW w:type="dxa" w:w="2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Stables</w:t>
            </w:r>
          </w:p>
        </w:tc>
        <w:tc>
          <w:tcPr>
            <w:tcW w:type="dxa" w:w="2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Structures maison</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faer</w:t>
            </w:r>
          </w:p>
        </w:tc>
        <w:tc>
          <w:tcPr>
            <w:tcW w:type="dxa" w:w="3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Algèbre linéaire creuse pour le solveur de référence f64</w:t>
            </w:r>
          </w:p>
        </w:tc>
        <w:tc>
          <w:tcPr>
            <w:tcW w:type="dxa" w:w="2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Actif</w:t>
            </w:r>
          </w:p>
        </w:tc>
        <w:tc>
          <w:tcPr>
            <w:tcW w:type="dxa" w:w="2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sprs</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tracing, puffin, tracy</w:t>
            </w:r>
          </w:p>
        </w:tc>
        <w:tc>
          <w:tcPr>
            <w:tcW w:type="dxa" w:w="35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Journalisation et profilage CPU/GPU</w:t>
            </w:r>
          </w:p>
        </w:tc>
        <w:tc>
          <w:tcPr>
            <w:tcW w:type="dxa" w:w="2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Stables</w:t>
            </w:r>
          </w:p>
        </w:tc>
        <w:tc>
          <w:tcPr>
            <w:tcW w:type="dxa" w:w="2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criterion, insta, proptest</w:t>
            </w:r>
          </w:p>
        </w:tc>
        <w:tc>
          <w:tcPr>
            <w:tcW w:type="dxa" w:w="3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Benchmarks, tests d’instantanés, tests par propriétés</w:t>
            </w:r>
          </w:p>
        </w:tc>
        <w:tc>
          <w:tcPr>
            <w:tcW w:type="dxa" w:w="2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Stables</w:t>
            </w:r>
          </w:p>
        </w:tc>
        <w:tc>
          <w:tcPr>
            <w:tcW w:type="dxa" w:w="2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fluent</w:t>
            </w:r>
          </w:p>
        </w:tc>
        <w:tc>
          <w:tcPr>
            <w:tcW w:type="dxa" w:w="35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Internationalisation (FR, EN)</w:t>
            </w:r>
          </w:p>
        </w:tc>
        <w:tc>
          <w:tcPr>
            <w:tcW w:type="dxa" w:w="2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Stable</w:t>
            </w:r>
          </w:p>
        </w:tc>
        <w:tc>
          <w:tcPr>
            <w:tcW w:type="dxa" w:w="2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rust-i18n</w:t>
            </w:r>
          </w:p>
        </w:tc>
      </w:tr>
    </w:tbl>
    <w:p>
      <w:pPr>
        <w:spacing w:after="80" w:before="0" w:line="200"/>
      </w:pPr>
    </w:p>
    <w:p>
      <w:pPr>
        <w:pStyle w:val="Heading2"/>
      </w:pPr>
      <w:bookmarkStart w:name="sec_30" w:id="130"/>
      <w:r>
        <w:rPr>
          <w:color w:val="0369A1"/>
        </w:rPr>
        <w:t xml:space="preserve">4.2  </w:t>
      </w:r>
      <w:r>
        <w:t xml:space="preserve">wgpu + egui ou moteur Bevy ?</w:t>
      </w:r>
      <w:bookmarkEnd w:id="130"/>
    </w:p>
    <w:p>
      <w:pPr>
        <w:spacing w:after="120" w:before="0" w:line="276"/>
        <w:jc w:val="both"/>
      </w:pPr>
      <w:r>
        <w:t xml:space="preserve">Bevy (version 0.19 en 2026) est séduisant pour la 3D. Mais un simulateur scientifique est d’abord une boucle de calcul GPU itérative pilotée par une interface d’outils, ce qui penche pour une pile plus légère.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800"/>
        <w:gridCol w:w="3738"/>
      </w:tblGrid>
      <w:tr>
        <w:trPr>
          <w:tblHeader/>
        </w:trPr>
        <w:tc>
          <w:tcPr>
            <w:tcW w:type="dxa" w:w="21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Critère</w:t>
            </w:r>
          </w:p>
        </w:tc>
        <w:tc>
          <w:tcPr>
            <w:tcW w:type="dxa" w:w="38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winit + wgpu + egui (recommandé)</w:t>
            </w:r>
          </w:p>
        </w:tc>
        <w:tc>
          <w:tcPr>
            <w:tcW w:type="dxa" w:w="37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Bevy + bevy_egui</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Contrôle du GPU</w:t>
            </w:r>
          </w:p>
        </w:tc>
        <w:tc>
          <w:tcPr>
            <w:tcW w:type="dxa" w:w="38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Total : dispatchs, synchronisation, relectures</w:t>
            </w:r>
          </w:p>
        </w:tc>
        <w:tc>
          <w:tcPr>
            <w:tcW w:type="dxa" w:w="37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Via le render graph, verbeux pour des itérations de compute</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Stabilité d’API</w:t>
            </w:r>
          </w:p>
        </w:tc>
        <w:tc>
          <w:tcPr>
            <w:tcW w:type="dxa" w:w="38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Versions majeures régulières mais ciblées</w:t>
            </w:r>
          </w:p>
        </w:tc>
        <w:tc>
          <w:tcPr>
            <w:tcW w:type="dxa" w:w="37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Ruptures à chaque version, écosystème de plugins à suivre</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Passage à la 3D</w:t>
            </w:r>
          </w:p>
        </w:tc>
        <w:tc>
          <w:tcPr>
            <w:tcW w:type="dxa" w:w="38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Caméra, maillages et éclairage à écrire</w:t>
            </w:r>
          </w:p>
        </w:tc>
        <w:tc>
          <w:tcPr>
            <w:tcW w:type="dxa" w:w="37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Fournis (caméra, PBR, sélection)</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Interface d’outil</w:t>
            </w:r>
          </w:p>
        </w:tc>
        <w:tc>
          <w:tcPr>
            <w:tcW w:type="dxa" w:w="38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egui mûr pour inspecteurs et tableaux</w:t>
            </w:r>
          </w:p>
        </w:tc>
        <w:tc>
          <w:tcPr>
            <w:tcW w:type="dxa" w:w="37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bevy_egui, ou widgets Feathers encore expérimentaux</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Compilation</w:t>
            </w:r>
          </w:p>
        </w:tc>
        <w:tc>
          <w:tcPr>
            <w:tcW w:type="dxa" w:w="38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Légère</w:t>
            </w:r>
          </w:p>
        </w:tc>
        <w:tc>
          <w:tcPr>
            <w:tcW w:type="dxa" w:w="37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Lourde</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ECS</w:t>
            </w:r>
          </w:p>
        </w:tc>
        <w:tc>
          <w:tcPr>
            <w:tcW w:type="dxa" w:w="38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hecs ou bevy_ecs autonome si besoin</w:t>
            </w:r>
          </w:p>
        </w:tc>
        <w:tc>
          <w:tcPr>
            <w:tcW w:type="dxa" w:w="37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Natif</w:t>
            </w:r>
          </w:p>
        </w:tc>
      </w:tr>
    </w:tbl>
    <w:p>
      <w:pPr>
        <w:spacing w:after="80" w:before="0" w:line="200"/>
      </w:pPr>
    </w:p>
    <w:p>
      <w:pPr>
        <w:spacing w:after="120" w:before="0" w:line="276"/>
        <w:jc w:val="both"/>
      </w:pPr>
      <w:r>
        <w:rPr>
          <w:b/>
          <w:bCs/>
        </w:rPr>
        <w:t xml:space="preserve">Recommandation</w:t>
      </w:r>
      <w:r>
        <w:t xml:space="preserve"> : winit + wgpu + egui. C’est l’architecture du visualiseur Rerun (egui sur un moteur de rendu wgpu maison), éprouvée pour des données scientifiques. Le cœur (matériaux, géométrie, solveur, mécanique) ne dépend ni de l’un ni de l’autre : si la 3D justifie Bevy plus tard, seules les couches application et rendu changent.</w:t>
      </w:r>
    </w:p>
    <w:p>
      <w:pPr>
        <w:pStyle w:val="Heading2"/>
      </w:pPr>
      <w:bookmarkStart w:name="sec_31" w:id="131"/>
      <w:r>
        <w:rPr>
          <w:color w:val="0369A1"/>
        </w:rPr>
        <w:t xml:space="preserve">4.3  </w:t>
      </w:r>
      <w:r>
        <w:t xml:space="preserve">Organisation du code</w:t>
      </w:r>
      <w:bookmarkEnd w:id="131"/>
    </w:p>
    <w:p>
      <w:pPr>
        <w:keepNext/>
        <w:spacing w:after="60" w:before="60"/>
        <w:jc w:val="center"/>
      </w:pPr>
      <w:r>
        <w:drawing>
          <wp:inline distT="0" distB="0" distL="0" distR="0">
            <wp:extent cx="6096000" cy="3781425"/>
            <wp:effectExtent t="0" r="0" b="0" l="0"/>
            <wp:docPr id="1" name="fig_archi.png" descr="Workspace Cargo en quatre couches. Les couches basses compilent et se testent sans fenêtr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781425"/>
                    </a:xfrm>
                    <a:prstGeom prst="rect">
                      <a:avLst/>
                    </a:prstGeom>
                  </pic:spPr>
                </pic:pic>
              </a:graphicData>
            </a:graphic>
          </wp:inline>
        </w:drawing>
      </w:r>
    </w:p>
    <w:p>
      <w:pPr>
        <w:spacing w:after="200"/>
        <w:jc w:val="center"/>
      </w:pPr>
      <w:r>
        <w:rPr>
          <w:b/>
          <w:bCs/>
          <w:color w:val="5B6573"/>
          <w:sz w:val="17"/>
          <w:szCs w:val="17"/>
        </w:rPr>
        <w:t xml:space="preserve">Figure 3 — </w:t>
      </w:r>
      <w:r>
        <w:rPr>
          <w:i/>
          <w:iCs/>
          <w:color w:val="5B6573"/>
          <w:sz w:val="17"/>
          <w:szCs w:val="17"/>
        </w:rPr>
        <w:t xml:space="preserve">Workspace Cargo en quatre couches. Les couches basses compilent et se testent sans fenêtre.</w:t>
      </w:r>
    </w:p>
    <w:p>
      <w:pPr>
        <w:pStyle w:val="Heading2"/>
      </w:pPr>
      <w:bookmarkStart w:name="sec_32" w:id="132"/>
      <w:r>
        <w:rPr>
          <w:color w:val="0369A1"/>
        </w:rPr>
        <w:t xml:space="preserve">4.4  </w:t>
      </w:r>
      <w:r>
        <w:t xml:space="preserve">Pipeline d’une image</w:t>
      </w:r>
      <w:bookmarkEnd w:id="132"/>
    </w:p>
    <w:p>
      <w:pPr>
        <w:keepNext/>
        <w:spacing w:after="60" w:before="60"/>
        <w:jc w:val="center"/>
      </w:pPr>
      <w:r>
        <w:drawing>
          <wp:inline distT="0" distB="0" distL="0" distR="0">
            <wp:extent cx="6096000" cy="2600325"/>
            <wp:effectExtent t="0" r="0" b="0" l="0"/>
            <wp:docPr id="1" name="fig_pipeline.png" descr="Enchaînement CPU/GPU d’une image. Seules les forces (quelques kilo-octets) remontent vers le CPU, de façon asynchron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600325"/>
                    </a:xfrm>
                    <a:prstGeom prst="rect">
                      <a:avLst/>
                    </a:prstGeom>
                  </pic:spPr>
                </pic:pic>
              </a:graphicData>
            </a:graphic>
          </wp:inline>
        </w:drawing>
      </w:r>
    </w:p>
    <w:p>
      <w:pPr>
        <w:spacing w:after="200"/>
        <w:jc w:val="center"/>
      </w:pPr>
      <w:r>
        <w:rPr>
          <w:b/>
          <w:bCs/>
          <w:color w:val="5B6573"/>
          <w:sz w:val="17"/>
          <w:szCs w:val="17"/>
        </w:rPr>
        <w:t xml:space="preserve">Figure 4 — </w:t>
      </w:r>
      <w:r>
        <w:rPr>
          <w:i/>
          <w:iCs/>
          <w:color w:val="5B6573"/>
          <w:sz w:val="17"/>
          <w:szCs w:val="17"/>
        </w:rPr>
        <w:t xml:space="preserve">Enchaînement CPU/GPU d’une image. Seules les forces (quelques kilo-octets) remontent vers le CPU, de façon asynchrone.</w:t>
      </w:r>
    </w:p>
    <w:p>
      <w:pPr>
        <w:pStyle w:val="ListParagraph"/>
        <w:numPr>
          <w:ilvl w:val="0"/>
          <w:numId w:val="2"/>
        </w:numPr>
        <w:spacing w:after="60" w:line="276"/>
      </w:pPr>
      <w:r>
        <w:t xml:space="preserve">Les relectures GPU→CPU (forces, sondes) passent par des tampons « staging » mappés de façon asynchrone, avec un tampon triple : le CPU lit toujours un résultat complet, avec au plus une image de retard.</w:t>
      </w:r>
    </w:p>
    <w:p>
      <w:pPr>
        <w:pStyle w:val="ListParagraph"/>
        <w:numPr>
          <w:ilvl w:val="0"/>
          <w:numId w:val="2"/>
        </w:numPr>
        <w:spacing w:after="60" w:line="276"/>
      </w:pPr>
      <w:r>
        <w:t xml:space="preserve">Calcul et rendu partagent la même file d’attente ; les requêtes timestamp de wgpu mesurent chaque étape et alimentent le panneau de performance.</w:t>
      </w:r>
    </w:p>
    <w:p>
      <w:pPr>
        <w:pStyle w:val="ListParagraph"/>
        <w:numPr>
          <w:ilvl w:val="0"/>
          <w:numId w:val="2"/>
        </w:numPr>
        <w:spacing w:after="60" w:line="276"/>
      </w:pPr>
      <w:r>
        <w:t xml:space="preserve">Si le solveur dépasse son budget, l’image affiche le dernier champ convergé et un indicateur discret « calcul… » ; l’interface ne gèle jamais.</w:t>
      </w:r>
    </w:p>
    <w:p>
      <w:pPr>
        <w:spacing w:after="120" w:before="0" w:line="276"/>
        <w:jc w:val="both"/>
      </w:pPr>
      <w:r>
        <w:t xml:space="preserve">Exemple de rendu des lignes de champ, directement dans le fragment shader, sans aucune géométrie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E1116" w:color="auto" w:val="clear"/>
            <w:tcMar>
              <w:top w:type="dxa" w:w="120"/>
              <w:left w:type="dxa" w:w="220"/>
              <w:bottom w:type="dxa" w:w="120"/>
              <w:right w:type="dxa" w:w="220"/>
            </w:tcMar>
          </w:tcPr>
          <w:p>
            <w:pPr>
              <w:spacing w:after="40"/>
            </w:pPr>
            <w:r>
              <w:rPr>
                <w:rFonts w:ascii="Consolas" w:cs="Consolas" w:eastAsia="Consolas" w:hAnsi="Consolas"/>
                <w:color w:val="9AA4B2"/>
                <w:sz w:val="15"/>
                <w:szCs w:val="15"/>
              </w:rPr>
              <w:t xml:space="preserve">WGSL</w:t>
            </w:r>
          </w:p>
          <w:p>
            <w:pPr>
              <w:spacing w:after="0" w:line="240"/>
            </w:pPr>
            <w:r>
              <w:rPr>
                <w:rFonts w:ascii="Consolas" w:cs="Consolas" w:eastAsia="Consolas" w:hAnsi="Consolas"/>
                <w:color w:val="7EE787"/>
                <w:sz w:val="16"/>
                <w:szCs w:val="16"/>
              </w:rPr>
              <w:t xml:space="preserve">// Lignes de champ = isolignes de A_z, anti-aliasées en espace écran</w:t>
            </w:r>
          </w:p>
          <w:p>
            <w:pPr>
              <w:spacing w:after="0" w:line="240"/>
            </w:pPr>
            <w:r>
              <w:rPr>
                <w:rFonts w:ascii="Consolas" w:cs="Consolas" w:eastAsia="Consolas" w:hAnsi="Consolas"/>
                <w:color w:val="E6EAF2"/>
                <w:sz w:val="16"/>
                <w:szCs w:val="16"/>
              </w:rPr>
              <w:t xml:space="preserve">let a = textureSample(potential, samp, uv).r;</w:t>
            </w:r>
          </w:p>
          <w:p>
            <w:pPr>
              <w:spacing w:after="0" w:line="240"/>
            </w:pPr>
            <w:r>
              <w:rPr>
                <w:rFonts w:ascii="Consolas" w:cs="Consolas" w:eastAsia="Consolas" w:hAnsi="Consolas"/>
                <w:color w:val="E6EAF2"/>
                <w:sz w:val="16"/>
                <w:szCs w:val="16"/>
              </w:rPr>
              <w:t xml:space="preserve">let t = a / delta_a;                       // delta_a constant =&gt; densité ∝ |B|</w:t>
            </w:r>
          </w:p>
          <w:p>
            <w:pPr>
              <w:spacing w:after="0" w:line="240"/>
            </w:pPr>
            <w:r>
              <w:rPr>
                <w:rFonts w:ascii="Consolas" w:cs="Consolas" w:eastAsia="Consolas" w:hAnsi="Consolas"/>
                <w:color w:val="E6EAF2"/>
                <w:sz w:val="16"/>
                <w:szCs w:val="16"/>
              </w:rPr>
              <w:t xml:space="preserve">let dist_px = abs(fract(t + 0.5) - 0.5) / fwidth(t);</w:t>
            </w:r>
          </w:p>
          <w:p>
            <w:pPr>
              <w:spacing w:after="0" w:line="240"/>
            </w:pPr>
            <w:r>
              <w:rPr>
                <w:rFonts w:ascii="Consolas" w:cs="Consolas" w:eastAsia="Consolas" w:hAnsi="Consolas"/>
                <w:color w:val="E6EAF2"/>
                <w:sz w:val="16"/>
                <w:szCs w:val="16"/>
              </w:rPr>
              <w:t xml:space="preserve">let line = 1.0 - smoothstep(0.0, line_width_px, dist_px);</w:t>
            </w:r>
          </w:p>
          <w:p>
            <w:pPr>
              <w:spacing w:after="0" w:line="240"/>
            </w:pPr>
            <w:r>
              <w:rPr>
                <w:rFonts w:ascii="Consolas" w:cs="Consolas" w:eastAsia="Consolas" w:hAnsi="Consolas"/>
                <w:color w:val="E6EAF2"/>
                <w:sz w:val="16"/>
                <w:szCs w:val="16"/>
              </w:rPr>
              <w:t xml:space="preserve">color = mix(color, line_color, line * line_opacity);</w:t>
            </w:r>
          </w:p>
        </w:tc>
      </w:tr>
    </w:tbl>
    <w:p>
      <w:pPr>
        <w:spacing w:after="100" w:before="0" w:line="200"/>
      </w:pPr>
    </w:p>
    <w:p>
      <w:pPr>
        <w:pStyle w:val="Heading2"/>
      </w:pPr>
      <w:bookmarkStart w:name="sec_33" w:id="133"/>
      <w:r>
        <w:rPr>
          <w:color w:val="0369A1"/>
        </w:rPr>
        <w:t xml:space="preserve">4.5  </w:t>
      </w:r>
      <w:r>
        <w:t xml:space="preserve">Modèle de données et préparation de la 3D</w:t>
      </w:r>
      <w:bookmarkEnd w:id="133"/>
    </w:p>
    <w:p>
      <w:pPr>
        <w:spacing w:after="120" w:before="0" w:line="276"/>
        <w:jc w:val="both"/>
      </w:pPr>
      <w:r>
        <w:t xml:space="preserve">La 3D ne doit pas être une réécriture. Cinq règles, appliquées dès la première ligne de code :</w:t>
      </w:r>
    </w:p>
    <w:p>
      <w:pPr>
        <w:pStyle w:val="ListParagraph"/>
        <w:numPr>
          <w:ilvl w:val="0"/>
          <w:numId w:val="5"/>
        </w:numPr>
        <w:spacing w:after="60" w:line="276"/>
      </w:pPr>
      <w:r>
        <w:rPr>
          <w:b/>
          <w:bCs/>
        </w:rPr>
        <w:t xml:space="preserve">Grandeurs physiques en 3D aux interfaces publiques</w:t>
      </w:r>
      <w:r>
        <w:t xml:space="preserve"> : positions, B, M, forces et gravité sont des Vec3 (z = 0 en 2D). Seuls les noyaux internes sont spécifiques à la dimension.</w:t>
      </w:r>
    </w:p>
    <w:p>
      <w:pPr>
        <w:pStyle w:val="ListParagraph"/>
        <w:numPr>
          <w:ilvl w:val="0"/>
          <w:numId w:val="5"/>
        </w:numPr>
        <w:spacing w:after="60" w:line="276"/>
      </w:pPr>
      <w:r>
        <w:rPr>
          <w:b/>
          <w:bCs/>
        </w:rPr>
        <w:t xml:space="preserve">Formes via un trait SDF</w:t>
      </w:r>
      <w:r>
        <w:t xml:space="preserve"> défini en 3D (distance(p: Vec3), boîte englobante) ; les formes 2D l’implémentent en ignorant z.</w:t>
      </w:r>
    </w:p>
    <w:p>
      <w:pPr>
        <w:pStyle w:val="ListParagraph"/>
        <w:numPr>
          <w:ilvl w:val="0"/>
          <w:numId w:val="5"/>
        </w:numPr>
        <w:spacing w:after="60" w:line="276"/>
      </w:pPr>
      <w:r>
        <w:rPr>
          <w:b/>
          <w:bCs/>
        </w:rPr>
        <w:t xml:space="preserve">Solveurs derrière un trait</w:t>
      </w:r>
      <w:r>
        <w:t xml:space="preserve"> : Planar2DGpu, Axisym2DGpu, Cpu64Reference aujourd’hui, Grid3DGpu demain.</w:t>
      </w:r>
    </w:p>
    <w:p>
      <w:pPr>
        <w:pStyle w:val="ListParagraph"/>
        <w:numPr>
          <w:ilvl w:val="0"/>
          <w:numId w:val="5"/>
        </w:numPr>
        <w:spacing w:after="60" w:line="276"/>
      </w:pPr>
      <w:r>
        <w:rPr>
          <w:b/>
          <w:bCs/>
        </w:rPr>
        <w:t xml:space="preserve">Mécanique derrière un trait</w:t>
      </w:r>
      <w:r>
        <w:t xml:space="preserve"> qui enveloppe rapier2d puis rapier3d (API quasi identiques).</w:t>
      </w:r>
    </w:p>
    <w:p>
      <w:pPr>
        <w:pStyle w:val="ListParagraph"/>
        <w:numPr>
          <w:ilvl w:val="0"/>
          <w:numId w:val="5"/>
        </w:numPr>
        <w:spacing w:after="60" w:line="276"/>
      </w:pPr>
      <w:r>
        <w:rPr>
          <w:b/>
          <w:bCs/>
        </w:rPr>
        <w:t xml:space="preserve">Shaders en modules WESL</w:t>
      </w:r>
      <w:r>
        <w:t xml:space="preserve"> : lois de matériaux et de température partagées, stencils 2D et 3D séparés.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E1116" w:color="auto" w:val="clear"/>
            <w:tcMar>
              <w:top w:type="dxa" w:w="120"/>
              <w:left w:type="dxa" w:w="220"/>
              <w:bottom w:type="dxa" w:w="120"/>
              <w:right w:type="dxa" w:w="220"/>
            </w:tcMar>
          </w:tcPr>
          <w:p>
            <w:pPr>
              <w:spacing w:after="40"/>
            </w:pPr>
            <w:r>
              <w:rPr>
                <w:rFonts w:ascii="Consolas" w:cs="Consolas" w:eastAsia="Consolas" w:hAnsi="Consolas"/>
                <w:color w:val="9AA4B2"/>
                <w:sz w:val="15"/>
                <w:szCs w:val="15"/>
              </w:rPr>
              <w:t xml:space="preserve">Rust</w:t>
            </w:r>
          </w:p>
          <w:p>
            <w:pPr>
              <w:spacing w:after="0" w:line="240"/>
            </w:pPr>
            <w:r>
              <w:rPr>
                <w:rFonts w:ascii="Consolas" w:cs="Consolas" w:eastAsia="Consolas" w:hAnsi="Consolas"/>
                <w:color w:val="E6EAF2"/>
                <w:sz w:val="16"/>
                <w:szCs w:val="16"/>
              </w:rPr>
              <w:t xml:space="preserve">pub trait FieldSolver {</w:t>
            </w:r>
          </w:p>
          <w:p>
            <w:pPr>
              <w:spacing w:after="0" w:line="240"/>
            </w:pPr>
            <w:r>
              <w:rPr>
                <w:rFonts w:ascii="Consolas" w:cs="Consolas" w:eastAsia="Consolas" w:hAnsi="Consolas"/>
                <w:color w:val="7EE787"/>
                <w:sz w:val="16"/>
                <w:szCs w:val="16"/>
              </w:rPr>
              <w:t xml:space="preserve">    /// Envoie la scène rastérisée (matériaux, sources, états).</w:t>
            </w:r>
          </w:p>
          <w:p>
            <w:pPr>
              <w:spacing w:after="0" w:line="240"/>
            </w:pPr>
            <w:r>
              <w:rPr>
                <w:rFonts w:ascii="Consolas" w:cs="Consolas" w:eastAsia="Consolas" w:hAnsi="Consolas"/>
                <w:color w:val="E6EAF2"/>
                <w:sz w:val="16"/>
                <w:szCs w:val="16"/>
              </w:rPr>
              <w:t xml:space="preserve">    fn upload(&amp;mut self, scene: &amp;RasterizedScene);</w:t>
            </w:r>
          </w:p>
          <w:p>
            <w:pPr>
              <w:spacing w:after="0" w:line="240"/>
            </w:pPr>
            <w:r>
              <w:rPr>
                <w:rFonts w:ascii="Consolas" w:cs="Consolas" w:eastAsia="Consolas" w:hAnsi="Consolas"/>
                <w:color w:val="7EE787"/>
                <w:sz w:val="16"/>
                <w:szCs w:val="16"/>
              </w:rPr>
              <w:t xml:space="preserve">    /// Itère jusqu’au résidu cible ou jusqu’à épuisement du budget.</w:t>
            </w:r>
          </w:p>
          <w:p>
            <w:pPr>
              <w:spacing w:after="0" w:line="240"/>
            </w:pPr>
            <w:r>
              <w:rPr>
                <w:rFonts w:ascii="Consolas" w:cs="Consolas" w:eastAsia="Consolas" w:hAnsi="Consolas"/>
                <w:color w:val="E6EAF2"/>
                <w:sz w:val="16"/>
                <w:szCs w:val="16"/>
              </w:rPr>
              <w:t xml:space="preserve">    fn solve(&amp;mut self, budget: std::time::Duration) -&gt; SolveStatus;</w:t>
            </w:r>
          </w:p>
          <w:p>
            <w:pPr>
              <w:spacing w:after="0" w:line="240"/>
            </w:pPr>
            <w:r>
              <w:rPr>
                <w:rFonts w:ascii="Consolas" w:cs="Consolas" w:eastAsia="Consolas" w:hAnsi="Consolas"/>
                <w:color w:val="7EE787"/>
                <w:sz w:val="16"/>
                <w:szCs w:val="16"/>
              </w:rPr>
              <w:t xml:space="preserve">    /// Champ en un point (z = 0 en 2D).</w:t>
            </w:r>
          </w:p>
          <w:p>
            <w:pPr>
              <w:spacing w:after="0" w:line="240"/>
            </w:pPr>
            <w:r>
              <w:rPr>
                <w:rFonts w:ascii="Consolas" w:cs="Consolas" w:eastAsia="Consolas" w:hAnsi="Consolas"/>
                <w:color w:val="E6EAF2"/>
                <w:sz w:val="16"/>
                <w:szCs w:val="16"/>
              </w:rPr>
              <w:t xml:space="preserve">    fn sample(&amp;self, p: glam::Vec3) -&gt; FieldSample;</w:t>
            </w:r>
          </w:p>
          <w:p>
            <w:pPr>
              <w:spacing w:after="0" w:line="240"/>
            </w:pPr>
            <w:r>
              <w:rPr>
                <w:rFonts w:ascii="Consolas" w:cs="Consolas" w:eastAsia="Consolas" w:hAnsi="Consolas"/>
                <w:color w:val="7EE787"/>
                <w:sz w:val="16"/>
                <w:szCs w:val="16"/>
              </w:rPr>
              <w:t xml:space="preserve">    /// Forces et couples par objet (relecture asynchrone).</w:t>
            </w:r>
          </w:p>
          <w:p>
            <w:pPr>
              <w:spacing w:after="0" w:line="240"/>
            </w:pPr>
            <w:r>
              <w:rPr>
                <w:rFonts w:ascii="Consolas" w:cs="Consolas" w:eastAsia="Consolas" w:hAnsi="Consolas"/>
                <w:color w:val="E6EAF2"/>
                <w:sz w:val="16"/>
                <w:szCs w:val="16"/>
              </w:rPr>
              <w:t xml:space="preserve">    fn wrenches(&amp;self) -&gt; &amp;[Wrench];</w:t>
            </w:r>
          </w:p>
          <w:p>
            <w:pPr>
              <w:spacing w:after="0" w:line="240"/>
            </w:pPr>
            <w:r>
              <w:rPr>
                <w:rFonts w:ascii="Consolas" w:cs="Consolas" w:eastAsia="Consolas" w:hAnsi="Consolas"/>
                <w:color w:val="E6EAF2"/>
                <w:sz w:val="16"/>
                <w:szCs w:val="16"/>
              </w:rPr>
              <w:t xml:space="preserve">}</w:t>
            </w:r>
          </w:p>
        </w:tc>
      </w:tr>
    </w:tbl>
    <w:p>
      <w:pPr>
        <w:spacing w:after="100" w:before="0" w:line="200"/>
      </w:pPr>
    </w:p>
    <w:p>
      <w:pPr>
        <w:spacing w:after="120" w:before="0" w:line="276"/>
        <w:jc w:val="both"/>
      </w:pPr>
      <w:r>
        <w:rPr>
          <w:b/>
          <w:bCs/>
        </w:rPr>
        <w:t xml:space="preserve">Stratégie 3D</w:t>
      </w:r>
      <w:r>
        <w:t xml:space="preserve"> : en 3D, le potentiel vecteur devient un vrai vecteur sur les arêtes (FIT), dont l’opérateur rotationnel-rotationnel exige une multigrille spécialisée (lisseur de Hiptmair). Alternative plus simple, à évaluer en phase 5 : potentiel scalaire réduit/total (méthode de Simkin et Trowbridge) avec Biot–Savart pour les bobines, qui garde une équation de Poisson et donc la même multigrille. Les lignes de champ 3D seront tracées par intégration (Runge–Kutta 4 sur GPU), déjà disponible en 2D comme mode secondaire.</w:t>
      </w:r>
    </w:p>
    <w:p>
      <w:pPr>
        <w:pStyle w:val="Heading2"/>
      </w:pPr>
      <w:bookmarkStart w:name="sec_34" w:id="134"/>
      <w:r>
        <w:rPr>
          <w:color w:val="0369A1"/>
        </w:rPr>
        <w:t xml:space="preserve">4.6  </w:t>
      </w:r>
      <w:r>
        <w:t xml:space="preserve">Persistance, historique et extensibilité</w:t>
      </w:r>
      <w:bookmarkEnd w:id="134"/>
    </w:p>
    <w:p>
      <w:pPr>
        <w:pStyle w:val="ListParagraph"/>
        <w:numPr>
          <w:ilvl w:val="0"/>
          <w:numId w:val="2"/>
        </w:numPr>
        <w:spacing w:after="60" w:line="276"/>
      </w:pPr>
      <w:r>
        <w:rPr>
          <w:b/>
          <w:bCs/>
        </w:rPr>
        <w:t xml:space="preserve">Scènes</w:t>
      </w:r>
      <w:r>
        <w:t xml:space="preserve"> au format RON versionné (champ schema_version + migrations automatiques), lisibles et comparables dans Git. Extension proposée : .flux.</w:t>
      </w:r>
    </w:p>
    <w:p>
      <w:pPr>
        <w:pStyle w:val="ListParagraph"/>
        <w:numPr>
          <w:ilvl w:val="0"/>
          <w:numId w:val="2"/>
        </w:numPr>
        <w:spacing w:after="60" w:line="276"/>
      </w:pPr>
      <w:r>
        <w:rPr>
          <w:b/>
          <w:bCs/>
        </w:rPr>
        <w:t xml:space="preserve">Bibliothèque de matériaux</w:t>
      </w:r>
      <w:r>
        <w:t xml:space="preserve"> en RON, extensible par l’utilisateur (import de courbes B(H) en CSV).</w:t>
      </w:r>
    </w:p>
    <w:p>
      <w:pPr>
        <w:pStyle w:val="ListParagraph"/>
        <w:numPr>
          <w:ilvl w:val="0"/>
          <w:numId w:val="2"/>
        </w:numPr>
        <w:spacing w:after="60" w:line="276"/>
      </w:pPr>
      <w:r>
        <w:rPr>
          <w:b/>
          <w:bCs/>
        </w:rPr>
        <w:t xml:space="preserve">Annuler/rétablir illimité</w:t>
      </w:r>
      <w:r>
        <w:t xml:space="preserve"> : chaque modification est une commande (appliquer, inverser) ; les glisser-déposer continus fusionnent en une seule entrée.</w:t>
      </w:r>
    </w:p>
    <w:p>
      <w:pPr>
        <w:pStyle w:val="ListParagraph"/>
        <w:numPr>
          <w:ilvl w:val="0"/>
          <w:numId w:val="2"/>
        </w:numPr>
        <w:spacing w:after="60" w:line="276"/>
      </w:pPr>
      <w:r>
        <w:rPr>
          <w:b/>
          <w:bCs/>
        </w:rPr>
        <w:t xml:space="preserve">Sauvegarde automatique</w:t>
      </w:r>
      <w:r>
        <w:t xml:space="preserve"> et récupération après plantage.</w:t>
      </w:r>
    </w:p>
    <w:p>
      <w:pPr>
        <w:pStyle w:val="ListParagraph"/>
        <w:numPr>
          <w:ilvl w:val="0"/>
          <w:numId w:val="2"/>
        </w:numPr>
        <w:spacing w:after="60" w:line="276"/>
      </w:pPr>
      <w:r>
        <w:rPr>
          <w:b/>
          <w:bCs/>
        </w:rPr>
        <w:t xml:space="preserve">Exports</w:t>
      </w:r>
      <w:r>
        <w:t xml:space="preserve"> : PNG et SVG (lignes vectorielles), CSV (sondes, coupes, séries temporelles), JSON (résultats complets), vidéo ou GIF (enregistrement).</w:t>
      </w:r>
    </w:p>
    <w:p>
      <w:pPr>
        <w:pStyle w:val="ListParagraph"/>
        <w:numPr>
          <w:ilvl w:val="0"/>
          <w:numId w:val="2"/>
        </w:numPr>
        <w:spacing w:after="60" w:line="276"/>
      </w:pPr>
      <w:r>
        <w:rPr>
          <w:b/>
          <w:bCs/>
        </w:rPr>
        <w:t xml:space="preserve">Scripts</w:t>
      </w:r>
      <w:r>
        <w:t xml:space="preserve"> (plus tard) : expressions pour les courants I(t) et les balayages paramétriques, puis éventuellement un langage embarqué (Rhai) pour automatiser des expériences.</w:t>
      </w:r>
    </w:p>
    <w:p>
      <w:pPr>
        <w:pStyle w:val="Heading2"/>
      </w:pPr>
      <w:bookmarkStart w:name="sec_35" w:id="135"/>
      <w:r>
        <w:rPr>
          <w:color w:val="0369A1"/>
        </w:rPr>
        <w:t xml:space="preserve">4.7  </w:t>
      </w:r>
      <w:r>
        <w:t xml:space="preserve">Budget de performance</w:t>
      </w:r>
      <w:bookmarkEnd w:id="13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700"/>
        <w:gridCol w:w="2300"/>
        <w:gridCol w:w="2738"/>
      </w:tblGrid>
      <w:tr>
        <w:trPr>
          <w:tblHeader/>
        </w:trPr>
        <w:tc>
          <w:tcPr>
            <w:tcW w:type="dxa" w:w="19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Résolution</w:t>
            </w:r>
          </w:p>
        </w:tc>
        <w:tc>
          <w:tcPr>
            <w:tcW w:type="dxa" w:w="27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Usage</w:t>
            </w:r>
          </w:p>
        </w:tc>
        <w:tc>
          <w:tcPr>
            <w:tcW w:type="dxa" w:w="23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Mémoire GPU estimée</w:t>
            </w:r>
          </w:p>
        </w:tc>
        <w:tc>
          <w:tcPr>
            <w:tcW w:type="dxa" w:w="27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Objectif de calcul</w:t>
            </w:r>
          </w:p>
        </w:tc>
      </w:tr>
      <w:tr>
        <w:trPr>
          <w:cantSplit/>
        </w:trPr>
        <w:tc>
          <w:tcPr>
            <w:tcW w:type="dxa" w:w="1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512 × 512</w:t>
            </w:r>
          </w:p>
        </w:tc>
        <w:tc>
          <w:tcPr>
            <w:tcW w:type="dxa" w:w="2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Pendant un glisser-déposer</w:t>
            </w:r>
          </w:p>
        </w:tc>
        <w:tc>
          <w:tcPr>
            <w:tcW w:type="dxa" w:w="2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 21 Mo</w:t>
            </w:r>
          </w:p>
        </w:tc>
        <w:tc>
          <w:tcPr>
            <w:tcW w:type="dxa" w:w="27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&lt; 2 ms</w:t>
            </w:r>
          </w:p>
        </w:tc>
      </w:tr>
      <w:tr>
        <w:trPr>
          <w:cantSplit/>
        </w:trPr>
        <w:tc>
          <w:tcPr>
            <w:tcW w:type="dxa" w:w="1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1024 × 1024</w:t>
            </w:r>
          </w:p>
        </w:tc>
        <w:tc>
          <w:tcPr>
            <w:tcW w:type="dxa" w:w="2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Défaut interactif</w:t>
            </w:r>
          </w:p>
        </w:tc>
        <w:tc>
          <w:tcPr>
            <w:tcW w:type="dxa" w:w="23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 84 Mo</w:t>
            </w:r>
          </w:p>
        </w:tc>
        <w:tc>
          <w:tcPr>
            <w:tcW w:type="dxa" w:w="27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3 à 6 ms</w:t>
            </w:r>
          </w:p>
        </w:tc>
      </w:tr>
      <w:tr>
        <w:trPr>
          <w:cantSplit/>
        </w:trPr>
        <w:tc>
          <w:tcPr>
            <w:tcW w:type="dxa" w:w="1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2048 × 2048</w:t>
            </w:r>
          </w:p>
        </w:tc>
        <w:tc>
          <w:tcPr>
            <w:tcW w:type="dxa" w:w="2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Qualité / export</w:t>
            </w:r>
          </w:p>
        </w:tc>
        <w:tc>
          <w:tcPr>
            <w:tcW w:type="dxa" w:w="2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 335 Mo</w:t>
            </w:r>
          </w:p>
        </w:tc>
        <w:tc>
          <w:tcPr>
            <w:tcW w:type="dxa" w:w="27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&lt; 30 ms (hors temps réel)</w:t>
            </w:r>
          </w:p>
        </w:tc>
      </w:tr>
    </w:tbl>
    <w:p>
      <w:pPr>
        <w:spacing w:after="80" w:before="0" w:line="200"/>
      </w:pPr>
    </w:p>
    <w:p>
      <w:pPr>
        <w:spacing w:after="120" w:before="0" w:line="276"/>
        <w:jc w:val="both"/>
      </w:pPr>
      <w:r>
        <w:t xml:space="preserve">Estimation : environ 60 octets par nœud (vecteurs du gradient conjugué, propriétés et états par cellule, champs dérivés) majorés d’un tiers pour la hiérarchie multigrille. Ces chiffres sont des objectifs à mesurer en phase 0 sur un GPU de milieu de gamme.</w:t>
      </w:r>
    </w:p>
    <w:p>
      <w:pPr>
        <w:pStyle w:val="Heading2"/>
      </w:pPr>
      <w:bookmarkStart w:name="sec_36" w:id="136"/>
      <w:r>
        <w:rPr>
          <w:color w:val="0369A1"/>
        </w:rPr>
        <w:t xml:space="preserve">4.8  </w:t>
      </w:r>
      <w:r>
        <w:t xml:space="preserve">Qualité et outillage</w:t>
      </w:r>
      <w:bookmarkEnd w:id="136"/>
    </w:p>
    <w:p>
      <w:pPr>
        <w:pStyle w:val="ListParagraph"/>
        <w:numPr>
          <w:ilvl w:val="0"/>
          <w:numId w:val="2"/>
        </w:numPr>
        <w:spacing w:after="60" w:line="276"/>
      </w:pPr>
      <w:r>
        <w:rPr>
          <w:b/>
          <w:bCs/>
        </w:rPr>
        <w:t xml:space="preserve">Tests</w:t>
      </w:r>
      <w:r>
        <w:t xml:space="preserve"> unitaires (lois de matériaux, géométrie), tests de validation physique (section 3.9), comparaison GPU/CPU f64 sur des scènes aléatoires, tests d’instantanés d’images avec tolérance.</w:t>
      </w:r>
    </w:p>
    <w:p>
      <w:pPr>
        <w:pStyle w:val="ListParagraph"/>
        <w:numPr>
          <w:ilvl w:val="0"/>
          <w:numId w:val="2"/>
        </w:numPr>
        <w:spacing w:after="60" w:line="276"/>
      </w:pPr>
      <w:r>
        <w:rPr>
          <w:b/>
          <w:bCs/>
        </w:rPr>
        <w:t xml:space="preserve">Intégration continue</w:t>
      </w:r>
      <w:r>
        <w:t xml:space="preserve"> avec un GPU logiciel (lavapipe/llvmpipe) pour exécuter les shaders sans carte graphique.</w:t>
      </w:r>
    </w:p>
    <w:p>
      <w:pPr>
        <w:pStyle w:val="ListParagraph"/>
        <w:numPr>
          <w:ilvl w:val="0"/>
          <w:numId w:val="2"/>
        </w:numPr>
        <w:spacing w:after="60" w:line="276"/>
      </w:pPr>
      <w:r>
        <w:rPr>
          <w:b/>
          <w:bCs/>
        </w:rPr>
        <w:t xml:space="preserve">Profilage</w:t>
      </w:r>
      <w:r>
        <w:t xml:space="preserve"> permanent : puffin/tracy côté CPU, timestamps côté GPU, panneau de performance intégré à l’application.</w:t>
      </w:r>
    </w:p>
    <w:p>
      <w:pPr>
        <w:pStyle w:val="ListParagraph"/>
        <w:numPr>
          <w:ilvl w:val="0"/>
          <w:numId w:val="2"/>
        </w:numPr>
        <w:spacing w:after="60" w:line="276"/>
      </w:pPr>
      <w:r>
        <w:rPr>
          <w:b/>
          <w:bCs/>
        </w:rPr>
        <w:t xml:space="preserve">Clippy et rustfmt</w:t>
      </w:r>
      <w:r>
        <w:t xml:space="preserve"> en vérification bloquante ; documentation des crates publiques.</w:t>
      </w:r>
    </w:p>
    <w:p>
      <w:pPr>
        <w:pStyle w:val="Heading1"/>
        <w:pageBreakBefore/>
      </w:pPr>
      <w:bookmarkStart w:name="sec_37" w:id="137"/>
      <w:r>
        <w:rPr>
          <w:color w:val="0369A1"/>
        </w:rPr>
        <w:t xml:space="preserve">5  </w:t>
      </w:r>
      <w:r>
        <w:t xml:space="preserve">Représentations du champ et instruments de mesure</w:t>
      </w:r>
      <w:bookmarkEnd w:id="137"/>
    </w:p>
    <w:p>
      <w:pPr>
        <w:pStyle w:val="Heading2"/>
      </w:pPr>
      <w:bookmarkStart w:name="sec_38" w:id="138"/>
      <w:r>
        <w:rPr>
          <w:color w:val="0369A1"/>
        </w:rPr>
        <w:t xml:space="preserve">5.1  </w:t>
      </w:r>
      <w:r>
        <w:t xml:space="preserve">Modes de visualisation</w:t>
      </w:r>
      <w:bookmarkEnd w:id="138"/>
    </w:p>
    <w:p>
      <w:pPr>
        <w:spacing w:after="120" w:before="0" w:line="276"/>
        <w:jc w:val="both"/>
      </w:pPr>
      <w:r>
        <w:t xml:space="preserve">Le même champ peut être lu de plusieurs façons, chacune répondant à une question différente. Les modes se combinent (par exemple carte d’intensité + lignes), se basculent avec les touches 1 à 6 et sont tous calculés sur le GPU.</w:t>
      </w:r>
    </w:p>
    <w:p>
      <w:pPr>
        <w:keepNext/>
        <w:spacing w:after="60" w:before="60"/>
        <w:jc w:val="center"/>
      </w:pPr>
      <w:r>
        <w:drawing>
          <wp:inline distT="0" distB="0" distL="0" distR="0">
            <wp:extent cx="6096000" cy="3009900"/>
            <wp:effectExtent t="0" r="0" b="0" l="0"/>
            <wp:docPr id="1" name="fig_modes.png" descr="Six représentations du même calcul (aimant + plaque de fer), toutes générées depuis le champ du prototyp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009900"/>
                    </a:xfrm>
                    <a:prstGeom prst="rect">
                      <a:avLst/>
                    </a:prstGeom>
                  </pic:spPr>
                </pic:pic>
              </a:graphicData>
            </a:graphic>
          </wp:inline>
        </w:drawing>
      </w:r>
    </w:p>
    <w:p>
      <w:pPr>
        <w:spacing w:after="200"/>
        <w:jc w:val="center"/>
      </w:pPr>
      <w:r>
        <w:rPr>
          <w:b/>
          <w:bCs/>
          <w:color w:val="5B6573"/>
          <w:sz w:val="17"/>
          <w:szCs w:val="17"/>
        </w:rPr>
        <w:t xml:space="preserve">Figure 5 — </w:t>
      </w:r>
      <w:r>
        <w:rPr>
          <w:i/>
          <w:iCs/>
          <w:color w:val="5B6573"/>
          <w:sz w:val="17"/>
          <w:szCs w:val="17"/>
        </w:rPr>
        <w:t xml:space="preserve">Six représentations du même calcul (aimant + plaque de fer), toutes générées depuis le champ du prototype.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500"/>
        <w:gridCol w:w="4238"/>
      </w:tblGrid>
      <w:tr>
        <w:trPr>
          <w:tblHeader/>
        </w:trPr>
        <w:tc>
          <w:tcPr>
            <w:tcW w:type="dxa" w:w="19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Mode</w:t>
            </w:r>
          </w:p>
        </w:tc>
        <w:tc>
          <w:tcPr>
            <w:tcW w:type="dxa" w:w="35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Ce qu’il montre</w:t>
            </w:r>
          </w:p>
        </w:tc>
        <w:tc>
          <w:tcPr>
            <w:tcW w:type="dxa" w:w="42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Implémentation GPU</w:t>
            </w:r>
          </w:p>
        </w:tc>
      </w:tr>
      <w:tr>
        <w:trPr>
          <w:cantSplit/>
        </w:trPr>
        <w:tc>
          <w:tcPr>
            <w:tcW w:type="dxa" w:w="1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Lignes de champ</w:t>
            </w:r>
          </w:p>
        </w:tc>
        <w:tc>
          <w:tcPr>
            <w:tcW w:type="dxa" w:w="3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Topologie et intensité (densité des lignes)</w:t>
            </w:r>
          </w:p>
        </w:tc>
        <w:tc>
          <w:tcPr>
            <w:tcW w:type="dxa" w:w="42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Isolignes de A</w:t>
            </w:r>
            <w:r>
              <w:rPr>
                <w:b w:val="false"/>
                <w:bCs w:val="false"/>
                <w:sz w:val="17"/>
                <w:szCs w:val="17"/>
                <w:vertAlign w:val="subscript"/>
              </w:rPr>
              <w:t xml:space="preserve">z</w:t>
            </w:r>
            <w:r>
              <w:rPr>
                <w:b w:val="false"/>
                <w:bCs w:val="false"/>
                <w:sz w:val="17"/>
                <w:szCs w:val="17"/>
              </w:rPr>
              <w:t xml:space="preserve"> dans le fragment shader, interpolation bicubique au zoom</w:t>
            </w:r>
          </w:p>
        </w:tc>
      </w:tr>
      <w:tr>
        <w:trPr>
          <w:cantSplit/>
        </w:trPr>
        <w:tc>
          <w:tcPr>
            <w:tcW w:type="dxa" w:w="1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Carte d’intensité</w:t>
            </w:r>
          </w:p>
        </w:tc>
        <w:tc>
          <w:tcPr>
            <w:tcW w:type="dxa" w:w="35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 B</w:t>
            </w:r>
            <w:r>
              <w:rPr>
                <w:b w:val="false"/>
                <w:bCs w:val="false"/>
                <w:sz w:val="17"/>
                <w:szCs w:val="17"/>
                <w:vertAlign w:val="subscript"/>
              </w:rPr>
              <w:t xml:space="preserve">x</w:t>
            </w:r>
            <w:r>
              <w:rPr>
                <w:b w:val="false"/>
                <w:bCs w:val="false"/>
                <w:sz w:val="17"/>
                <w:szCs w:val="17"/>
              </w:rPr>
              <w:t xml:space="preserve">, B</w:t>
            </w:r>
            <w:r>
              <w:rPr>
                <w:b w:val="false"/>
                <w:bCs w:val="false"/>
                <w:sz w:val="17"/>
                <w:szCs w:val="17"/>
                <w:vertAlign w:val="subscript"/>
              </w:rPr>
              <w:t xml:space="preserve">y</w:t>
            </w:r>
            <w:r>
              <w:rPr>
                <w:b w:val="false"/>
                <w:bCs w:val="false"/>
                <w:sz w:val="17"/>
                <w:szCs w:val="17"/>
              </w:rPr>
              <w:t xml:space="preserve">, |H|, |M|, μ</w:t>
            </w:r>
            <w:r>
              <w:rPr>
                <w:b w:val="false"/>
                <w:bCs w:val="false"/>
                <w:sz w:val="17"/>
                <w:szCs w:val="17"/>
                <w:vertAlign w:val="subscript"/>
              </w:rPr>
              <w:t xml:space="preserve">r</w:t>
            </w:r>
            <w:r>
              <w:rPr>
                <w:b w:val="false"/>
                <w:bCs w:val="false"/>
                <w:sz w:val="17"/>
                <w:szCs w:val="17"/>
              </w:rPr>
              <w:t xml:space="preserve"> effectif, énergie B²/2μ</w:t>
            </w:r>
            <w:r>
              <w:rPr>
                <w:b w:val="false"/>
                <w:bCs w:val="false"/>
                <w:sz w:val="17"/>
                <w:szCs w:val="17"/>
                <w:vertAlign w:val="subscript"/>
              </w:rPr>
              <w:t xml:space="preserve">0</w:t>
            </w:r>
            <w:r>
              <w:rPr>
                <w:b w:val="false"/>
                <w:bCs w:val="false"/>
                <w:sz w:val="17"/>
                <w:szCs w:val="17"/>
              </w:rPr>
              <w:t xml:space="preserve">, A, température, densité de force</w:t>
            </w:r>
          </w:p>
        </w:tc>
        <w:tc>
          <w:tcPr>
            <w:tcW w:type="dxa" w:w="42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Texture + palette perceptuelle ; échelle linéaire ou logarithmique</w:t>
            </w:r>
          </w:p>
        </w:tc>
      </w:tr>
      <w:tr>
        <w:trPr>
          <w:cantSplit/>
        </w:trPr>
        <w:tc>
          <w:tcPr>
            <w:tcW w:type="dxa" w:w="1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Vecteurs</w:t>
            </w:r>
          </w:p>
        </w:tc>
        <w:tc>
          <w:tcPr>
            <w:tcW w:type="dxa" w:w="3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Direction et intensité locales</w:t>
            </w:r>
          </w:p>
        </w:tc>
        <w:tc>
          <w:tcPr>
            <w:tcW w:type="dxa" w:w="42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Flèches instanciées, densité adaptée au zoom</w:t>
            </w:r>
          </w:p>
        </w:tc>
      </w:tr>
      <w:tr>
        <w:trPr>
          <w:cantSplit/>
        </w:trPr>
        <w:tc>
          <w:tcPr>
            <w:tcW w:type="dxa" w:w="1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LIC</w:t>
            </w:r>
          </w:p>
        </w:tc>
        <w:tc>
          <w:tcPr>
            <w:tcW w:type="dxa" w:w="35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Structure fine de l’écoulement, rendu « photographique »</w:t>
            </w:r>
          </w:p>
        </w:tc>
        <w:tc>
          <w:tcPr>
            <w:tcW w:type="dxa" w:w="42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Convolution d’un bruit le long des lignes (compute), animable par décalage de phase</w:t>
            </w:r>
          </w:p>
        </w:tc>
      </w:tr>
      <w:tr>
        <w:trPr>
          <w:cantSplit/>
        </w:trPr>
        <w:tc>
          <w:tcPr>
            <w:tcW w:type="dxa" w:w="1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Particules de flux</w:t>
            </w:r>
          </w:p>
        </w:tc>
        <w:tc>
          <w:tcPr>
            <w:tcW w:type="dxa" w:w="3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Sens et « vitesse » du flux, rendu vivant</w:t>
            </w:r>
          </w:p>
        </w:tc>
        <w:tc>
          <w:tcPr>
            <w:tcW w:type="dxa" w:w="42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Milliers de particules advectées le long de B, traînées</w:t>
            </w:r>
          </w:p>
        </w:tc>
      </w:tr>
      <w:tr>
        <w:trPr>
          <w:cantSplit/>
        </w:trPr>
        <w:tc>
          <w:tcPr>
            <w:tcW w:type="dxa" w:w="1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Limaille de fer</w:t>
            </w:r>
          </w:p>
        </w:tc>
        <w:tc>
          <w:tcPr>
            <w:tcW w:type="dxa" w:w="35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Expérience de classe reproduite</w:t>
            </w:r>
          </w:p>
        </w:tc>
        <w:tc>
          <w:tcPr>
            <w:tcW w:type="dxa" w:w="42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Grains orientés selon B, densité ∝ |B|</w:t>
            </w:r>
            <w:r>
              <w:rPr>
                <w:b w:val="false"/>
                <w:bCs w:val="false"/>
                <w:sz w:val="17"/>
                <w:szCs w:val="17"/>
                <w:vertAlign w:val="superscript"/>
              </w:rPr>
              <w:t xml:space="preserve">0,55</w:t>
            </w:r>
            <w:r>
              <w:rPr>
                <w:b w:val="false"/>
                <w:bCs w:val="false"/>
                <w:sz w:val="17"/>
                <w:szCs w:val="17"/>
              </w:rPr>
              <w:t xml:space="preserve">, outil « saupoudrer »</w:t>
            </w:r>
          </w:p>
        </w:tc>
      </w:tr>
      <w:tr>
        <w:trPr>
          <w:cantSplit/>
        </w:trPr>
        <w:tc>
          <w:tcPr>
            <w:tcW w:type="dxa" w:w="1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Boussoles</w:t>
            </w:r>
          </w:p>
        </w:tc>
        <w:tc>
          <w:tcPr>
            <w:tcW w:type="dxa" w:w="3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Orientation locale, pôle Nord</w:t>
            </w:r>
          </w:p>
        </w:tc>
        <w:tc>
          <w:tcPr>
            <w:tcW w:type="dxa" w:w="42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Grille d’aiguilles, ou boussoles physiques (couple m × B, inertie, amortissement)</w:t>
            </w:r>
          </w:p>
        </w:tc>
      </w:tr>
      <w:tr>
        <w:trPr>
          <w:cantSplit/>
        </w:trPr>
        <w:tc>
          <w:tcPr>
            <w:tcW w:type="dxa" w:w="1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Lignes depuis des graines</w:t>
            </w:r>
          </w:p>
        </w:tc>
        <w:tc>
          <w:tcPr>
            <w:tcW w:type="dxa" w:w="35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Lignes choisies par l’utilisateur</w:t>
            </w:r>
          </w:p>
        </w:tc>
        <w:tc>
          <w:tcPr>
            <w:tcW w:type="dxa" w:w="42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Intégration Runge–Kutta 4 ; indispensable en 3D</w:t>
            </w:r>
          </w:p>
        </w:tc>
      </w:tr>
      <w:tr>
        <w:trPr>
          <w:cantSplit/>
        </w:trPr>
        <w:tc>
          <w:tcPr>
            <w:tcW w:type="dxa" w:w="1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Surcouches</w:t>
            </w:r>
          </w:p>
        </w:tc>
        <w:tc>
          <w:tcPr>
            <w:tcW w:type="dxa" w:w="3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Forces, couples, centre de masse, contacts, cônes de frottement, aimantation interne, halo de saturation</w:t>
            </w:r>
          </w:p>
        </w:tc>
        <w:tc>
          <w:tcPr>
            <w:tcW w:type="dxa" w:w="42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Primitives vectorielles anti-aliasées</w:t>
            </w:r>
          </w:p>
        </w:tc>
      </w:tr>
      <w:tr>
        <w:trPr>
          <w:cantSplit/>
        </w:trPr>
        <w:tc>
          <w:tcPr>
            <w:tcW w:type="dxa" w:w="1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Comparaison</w:t>
            </w:r>
          </w:p>
        </w:tc>
        <w:tc>
          <w:tcPr>
            <w:tcW w:type="dxa" w:w="35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Effet d’une modification</w:t>
            </w:r>
          </w:p>
        </w:tc>
        <w:tc>
          <w:tcPr>
            <w:tcW w:type="dxa" w:w="42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Vue scindée avant/après ou carte de différence</w:t>
            </w:r>
          </w:p>
        </w:tc>
      </w:tr>
    </w:tbl>
    <w:p>
      <w:pPr>
        <w:spacing w:after="80" w:before="0" w:line="200"/>
      </w:pPr>
    </w:p>
    <w:p>
      <w:pPr>
        <w:spacing w:after="120" w:before="0" w:line="276"/>
        <w:jc w:val="both"/>
      </w:pPr>
      <w:r>
        <w:rPr>
          <w:b/>
          <w:bCs/>
        </w:rPr>
        <w:t xml:space="preserve">Palettes</w:t>
      </w:r>
      <w:r>
        <w:t xml:space="preserve"> : magma ou inferno par défaut pour |B| (elles prolongent le fond noir), viridis et cividis pour les personnes daltoniennes, palette divergente bleu–gris–rouge pour les composantes signées (B</w:t>
      </w:r>
      <w:r>
        <w:rPr>
          <w:vertAlign w:val="subscript"/>
        </w:rPr>
        <w:t xml:space="preserve">x</w:t>
      </w:r>
      <w:r>
        <w:t xml:space="preserve">, B</w:t>
      </w:r>
      <w:r>
        <w:rPr>
          <w:vertAlign w:val="subscript"/>
        </w:rPr>
        <w:t xml:space="preserve">y</w:t>
      </w:r>
      <w:r>
        <w:t xml:space="preserve">). Jamais d’arc-en-ciel, qui crée de fausses frontières.</w:t>
      </w:r>
    </w:p>
    <w:p>
      <w:pPr>
        <w:pStyle w:val="Heading2"/>
      </w:pPr>
      <w:bookmarkStart w:name="sec_39" w:id="139"/>
      <w:r>
        <w:rPr>
          <w:color w:val="0369A1"/>
        </w:rPr>
        <w:t xml:space="preserve">5.2  </w:t>
      </w:r>
      <w:r>
        <w:t xml:space="preserve">Instruments de mesure</w:t>
      </w:r>
      <w:bookmarkEnd w:id="139"/>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200"/>
        <w:gridCol w:w="4338"/>
      </w:tblGrid>
      <w:tr>
        <w:trPr>
          <w:tblHeader/>
        </w:trPr>
        <w:tc>
          <w:tcPr>
            <w:tcW w:type="dxa" w:w="21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Instrument</w:t>
            </w:r>
          </w:p>
        </w:tc>
        <w:tc>
          <w:tcPr>
            <w:tcW w:type="dxa" w:w="32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Mesure</w:t>
            </w:r>
          </w:p>
        </w:tc>
        <w:tc>
          <w:tcPr>
            <w:tcW w:type="dxa" w:w="43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Détail</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Sonde au survol</w:t>
            </w:r>
          </w:p>
        </w:tc>
        <w:tc>
          <w:tcPr>
            <w:tcW w:type="dxa" w:w="3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 H, M, A, μ</w:t>
            </w:r>
            <w:r>
              <w:rPr>
                <w:b w:val="false"/>
                <w:bCs w:val="false"/>
                <w:sz w:val="17"/>
                <w:szCs w:val="17"/>
                <w:vertAlign w:val="subscript"/>
              </w:rPr>
              <w:t xml:space="preserve">r</w:t>
            </w:r>
            <w:r>
              <w:rPr>
                <w:b w:val="false"/>
                <w:bCs w:val="false"/>
                <w:sz w:val="17"/>
                <w:szCs w:val="17"/>
              </w:rPr>
              <w:t xml:space="preserve">, densité d’énergie, T</w:t>
            </w:r>
          </w:p>
        </w:tc>
        <w:tc>
          <w:tcPr>
            <w:tcW w:type="dxa" w:w="4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Lecture permanente dans la barre d’état, infobulle après 400 ms</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Sonde épinglée</w:t>
            </w:r>
          </w:p>
        </w:tc>
        <w:tc>
          <w:tcPr>
            <w:tcW w:type="dxa" w:w="3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Mêmes grandeurs, en continu</w:t>
            </w:r>
          </w:p>
        </w:tc>
        <w:tc>
          <w:tcPr>
            <w:tcW w:type="dxa" w:w="4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Étiquette sur le canevas, enregistrement en série temporelle</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Capteur Hall</w:t>
            </w:r>
          </w:p>
        </w:tc>
        <w:tc>
          <w:tcPr>
            <w:tcW w:type="dxa" w:w="3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Composante de B selon son axe</w:t>
            </w:r>
          </w:p>
        </w:tc>
        <w:tc>
          <w:tcPr>
            <w:tcW w:type="dxa" w:w="4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Orientable, bruit et saturation paramétrables</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Ligne de coupe</w:t>
            </w:r>
          </w:p>
        </w:tc>
        <w:tc>
          <w:tcPr>
            <w:tcW w:type="dxa" w:w="3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Profil de |B|, B</w:t>
            </w:r>
            <w:r>
              <w:rPr>
                <w:b w:val="false"/>
                <w:bCs w:val="false"/>
                <w:sz w:val="17"/>
                <w:szCs w:val="17"/>
                <w:vertAlign w:val="subscript"/>
              </w:rPr>
              <w:t xml:space="preserve">n</w:t>
            </w:r>
            <w:r>
              <w:rPr>
                <w:b w:val="false"/>
                <w:bCs w:val="false"/>
                <w:sz w:val="17"/>
                <w:szCs w:val="17"/>
              </w:rPr>
              <w:t xml:space="preserve">, B</w:t>
            </w:r>
            <w:r>
              <w:rPr>
                <w:b w:val="false"/>
                <w:bCs w:val="false"/>
                <w:sz w:val="17"/>
                <w:szCs w:val="17"/>
                <w:vertAlign w:val="subscript"/>
              </w:rPr>
              <w:t xml:space="preserve">t</w:t>
            </w:r>
            <w:r>
              <w:rPr>
                <w:b w:val="false"/>
                <w:bCs w:val="false"/>
                <w:sz w:val="17"/>
                <w:szCs w:val="17"/>
              </w:rPr>
              <w:t xml:space="preserve"> le long d’un segment</w:t>
            </w:r>
          </w:p>
        </w:tc>
        <w:tc>
          <w:tcPr>
            <w:tcW w:type="dxa" w:w="4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Graphe dans le panneau inférieur, export CSV</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Flux</w:t>
            </w:r>
          </w:p>
        </w:tc>
        <w:tc>
          <w:tcPr>
            <w:tcW w:type="dxa" w:w="3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Φ à travers un segment</w:t>
            </w:r>
          </w:p>
        </w:tc>
        <w:tc>
          <w:tcPr>
            <w:tcW w:type="dxa" w:w="4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Φ = (A(Q) − A(P)) × profondeur, exact et instantané</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Intégrale de région</w:t>
            </w:r>
          </w:p>
        </w:tc>
        <w:tc>
          <w:tcPr>
            <w:tcW w:type="dxa" w:w="3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Énergie, induction moyenne, force sur la zone</w:t>
            </w:r>
          </w:p>
        </w:tc>
        <w:tc>
          <w:tcPr>
            <w:tcW w:type="dxa" w:w="4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Sélection au lasso</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Forces et couples</w:t>
            </w:r>
          </w:p>
        </w:tc>
        <w:tc>
          <w:tcPr>
            <w:tcW w:type="dxa" w:w="3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Par objet, en N/m et en N</w:t>
            </w:r>
          </w:p>
        </w:tc>
        <w:tc>
          <w:tcPr>
            <w:tcW w:type="dxa" w:w="4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Vecteurs affichés, jauge F/(μ</w:t>
            </w:r>
            <w:r>
              <w:rPr>
                <w:b w:val="false"/>
                <w:bCs w:val="false"/>
                <w:sz w:val="17"/>
                <w:szCs w:val="17"/>
                <w:vertAlign w:val="subscript"/>
              </w:rPr>
              <w:t xml:space="preserve">s</w:t>
            </w:r>
            <w:r>
              <w:rPr>
                <w:b w:val="false"/>
                <w:bCs w:val="false"/>
                <w:sz w:val="17"/>
                <w:szCs w:val="17"/>
              </w:rPr>
              <w:t xml:space="preserve">N)</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Balayage paramétrique</w:t>
            </w:r>
          </w:p>
        </w:tc>
        <w:tc>
          <w:tcPr>
            <w:tcW w:type="dxa" w:w="3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F(distance), B(courant), etc.</w:t>
            </w:r>
          </w:p>
        </w:tc>
        <w:tc>
          <w:tcPr>
            <w:tcW w:type="dxa" w:w="4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Déplacement automatique d’un objet, courbe tracée</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Inductance</w:t>
            </w:r>
          </w:p>
        </w:tc>
        <w:tc>
          <w:tcPr>
            <w:tcW w:type="dxa" w:w="3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 mutuelle M, couplage k</w:t>
            </w:r>
          </w:p>
        </w:tc>
        <w:tc>
          <w:tcPr>
            <w:tcW w:type="dxa" w:w="4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Depuis le flux embrassé par chaque bobine</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Courbe B(H)</w:t>
            </w:r>
          </w:p>
        </w:tc>
        <w:tc>
          <w:tcPr>
            <w:tcW w:type="dxa" w:w="3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Point de fonctionnement d’un matériau</w:t>
            </w:r>
          </w:p>
        </w:tc>
        <w:tc>
          <w:tcPr>
            <w:tcW w:type="dxa" w:w="4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Droite de charge et coefficient de perméance des aimants</w:t>
            </w:r>
          </w:p>
        </w:tc>
      </w:tr>
      <w:tr>
        <w:trPr>
          <w:cantSplit/>
        </w:trPr>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Règle, rapporteur</w:t>
            </w:r>
          </w:p>
        </w:tc>
        <w:tc>
          <w:tcPr>
            <w:tcW w:type="dxa" w:w="3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Distances et angles</w:t>
            </w:r>
          </w:p>
        </w:tc>
        <w:tc>
          <w:tcPr>
            <w:tcW w:type="dxa" w:w="4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Aimantation à la grille et aux objets</w:t>
            </w:r>
          </w:p>
        </w:tc>
      </w:tr>
      <w:tr>
        <w:trPr>
          <w:cantSplit/>
        </w:trPr>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Chronogrammes</w:t>
            </w:r>
          </w:p>
        </w:tc>
        <w:tc>
          <w:tcPr>
            <w:tcW w:type="dxa" w:w="3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Toute grandeur en fonction du temps</w:t>
            </w:r>
          </w:p>
        </w:tc>
        <w:tc>
          <w:tcPr>
            <w:tcW w:type="dxa" w:w="4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Plusieurs pistes, export</w:t>
            </w:r>
          </w:p>
        </w:tc>
      </w:tr>
    </w:tbl>
    <w:p>
      <w:pPr>
        <w:spacing w:after="80" w:before="0" w:line="200"/>
      </w:pPr>
    </w:p>
    <w:p>
      <w:pPr>
        <w:pStyle w:val="Heading2"/>
      </w:pPr>
      <w:bookmarkStart w:name="sec_40" w:id="140"/>
      <w:r>
        <w:rPr>
          <w:color w:val="0369A1"/>
        </w:rPr>
        <w:t xml:space="preserve">5.3  </w:t>
      </w:r>
      <w:r>
        <w:t xml:space="preserve">Unités et confiance</w:t>
      </w:r>
      <w:bookmarkEnd w:id="140"/>
    </w:p>
    <w:p>
      <w:pPr>
        <w:pStyle w:val="ListParagraph"/>
        <w:numPr>
          <w:ilvl w:val="0"/>
          <w:numId w:val="2"/>
        </w:numPr>
        <w:spacing w:after="60" w:line="276"/>
      </w:pPr>
      <w:r>
        <w:t xml:space="preserve">SI par défaut (T, mT, A/m, N) ; bascule CGS (G, Oe, emu) ; préfixes automatiques et nombre de chiffres significatifs adapté.</w:t>
      </w:r>
    </w:p>
    <w:p>
      <w:pPr>
        <w:pStyle w:val="ListParagraph"/>
        <w:numPr>
          <w:ilvl w:val="0"/>
          <w:numId w:val="2"/>
        </w:numPr>
        <w:spacing w:after="60" w:line="276"/>
      </w:pPr>
      <w:r>
        <w:t xml:space="preserve">Saisie d’expressions dans les champs : « 12 mm + 3 mm », « 0,5 T », « 1 kOe ».</w:t>
      </w:r>
    </w:p>
    <w:p>
      <w:pPr>
        <w:pStyle w:val="ListParagraph"/>
        <w:numPr>
          <w:ilvl w:val="0"/>
          <w:numId w:val="2"/>
        </w:numPr>
        <w:spacing w:after="60" w:line="276"/>
      </w:pPr>
      <w:r>
        <w:t xml:space="preserve">Un </w:t>
      </w:r>
      <w:r>
        <w:rPr>
          <w:b/>
          <w:bCs/>
        </w:rPr>
        <w:t xml:space="preserve">indicateur de confiance</w:t>
      </w:r>
      <w:r>
        <w:t xml:space="preserve"> accompagne les valeurs : il combine le résidu du solveur et une estimation de l’erreur de discrétisation (comparaison avec la grille de niveau inférieur). Une force mesurée à travers un entrefer d’une seule cellule est marquée comme « limitée par la résolution ».</w:t>
      </w:r>
    </w:p>
    <w:p>
      <w:pPr>
        <w:pStyle w:val="Heading1"/>
        <w:pageBreakBefore/>
      </w:pPr>
      <w:bookmarkStart w:name="sec_41" w:id="141"/>
      <w:r>
        <w:rPr>
          <w:color w:val="0369A1"/>
        </w:rPr>
        <w:t xml:space="preserve">6  </w:t>
      </w:r>
      <w:r>
        <w:t xml:space="preserve">Catalogue des objets et des matériaux</w:t>
      </w:r>
      <w:bookmarkEnd w:id="141"/>
    </w:p>
    <w:p>
      <w:pPr>
        <w:spacing w:after="120" w:before="0" w:line="276"/>
        <w:jc w:val="both"/>
      </w:pPr>
      <w:r>
        <w:t xml:space="preserve">Les valeurs ci-dessous sont typiques des catalogues de fabricants et de la littérature ; elles servent de valeurs par défaut. Chaque matériau sera stocké avec ses courbes complètes quand elles existent (courbes B(H), courbes de démagnétisation à plusieurs températures).</w:t>
      </w:r>
    </w:p>
    <w:p>
      <w:pPr>
        <w:pStyle w:val="Heading2"/>
      </w:pPr>
      <w:bookmarkStart w:name="sec_42" w:id="142"/>
      <w:r>
        <w:rPr>
          <w:color w:val="0369A1"/>
        </w:rPr>
        <w:t xml:space="preserve">6.1  </w:t>
      </w:r>
      <w:r>
        <w:t xml:space="preserve">Aimants permanents</w:t>
      </w:r>
      <w:bookmarkEnd w:id="142"/>
    </w:p>
    <w:p>
      <w:pPr>
        <w:spacing w:after="120" w:before="0" w:line="276"/>
        <w:jc w:val="both"/>
      </w:pPr>
      <w:r>
        <w:rPr>
          <w:b/>
          <w:bCs/>
        </w:rPr>
        <w:t xml:space="preserve">Formes</w:t>
      </w:r>
      <w:r>
        <w:t xml:space="preserve"> : barreau, disque (coupe), anneau, fer à cheval (U), secteur d’arc, plaque souple, polygone libre. </w:t>
      </w:r>
      <w:r>
        <w:rPr>
          <w:b/>
          <w:bCs/>
        </w:rPr>
        <w:t xml:space="preserve">Aimantation</w:t>
      </w:r>
      <w:r>
        <w:t xml:space="preserve"> : uniforme à angle libre, radiale, diamétrale, multipolaire, réseau de Halbach, motif peint.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900"/>
        <w:gridCol w:w="950"/>
        <w:gridCol w:w="1050"/>
        <w:gridCol w:w="900"/>
        <w:gridCol w:w="900"/>
        <w:gridCol w:w="850"/>
        <w:gridCol w:w="800"/>
        <w:gridCol w:w="900"/>
        <w:gridCol w:w="888"/>
      </w:tblGrid>
      <w:tr>
        <w:trPr>
          <w:tblHeader/>
        </w:trPr>
        <w:tc>
          <w:tcPr>
            <w:tcW w:type="dxa" w:w="15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5"/>
                <w:szCs w:val="15"/>
              </w:rPr>
              <w:t xml:space="preserve">Matériau</w:t>
            </w:r>
          </w:p>
        </w:tc>
        <w:tc>
          <w:tcPr>
            <w:tcW w:type="dxa" w:w="9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5"/>
                <w:szCs w:val="15"/>
              </w:rPr>
              <w:t xml:space="preserve">B</w:t>
            </w:r>
            <w:r>
              <w:rPr>
                <w:b/>
                <w:bCs/>
                <w:color w:val="FFFFFF"/>
                <w:sz w:val="15"/>
                <w:szCs w:val="15"/>
                <w:vertAlign w:val="subscript"/>
              </w:rPr>
              <w:t xml:space="preserve">r</w:t>
            </w:r>
            <w:r>
              <w:rPr>
                <w:b/>
                <w:bCs/>
                <w:color w:val="FFFFFF"/>
                <w:sz w:val="15"/>
                <w:szCs w:val="15"/>
              </w:rPr>
              <w:t xml:space="preserve"> (T)</w:t>
            </w:r>
          </w:p>
        </w:tc>
        <w:tc>
          <w:tcPr>
            <w:tcW w:type="dxa" w:w="95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5"/>
                <w:szCs w:val="15"/>
              </w:rPr>
              <w:t xml:space="preserve">H</w:t>
            </w:r>
            <w:r>
              <w:rPr>
                <w:b/>
                <w:bCs/>
                <w:color w:val="FFFFFF"/>
                <w:sz w:val="15"/>
                <w:szCs w:val="15"/>
                <w:vertAlign w:val="subscript"/>
              </w:rPr>
              <w:t xml:space="preserve">cJ</w:t>
            </w:r>
            <w:r>
              <w:rPr>
                <w:b/>
                <w:bCs/>
                <w:color w:val="FFFFFF"/>
                <w:sz w:val="15"/>
                <w:szCs w:val="15"/>
              </w:rPr>
              <w:t xml:space="preserve"> (kA/m)</w:t>
            </w:r>
          </w:p>
        </w:tc>
        <w:tc>
          <w:tcPr>
            <w:tcW w:type="dxa" w:w="105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5"/>
                <w:szCs w:val="15"/>
              </w:rPr>
              <w:t xml:space="preserve">(BH)</w:t>
            </w:r>
            <w:r>
              <w:rPr>
                <w:b/>
                <w:bCs/>
                <w:color w:val="FFFFFF"/>
                <w:sz w:val="15"/>
                <w:szCs w:val="15"/>
                <w:vertAlign w:val="subscript"/>
              </w:rPr>
              <w:t xml:space="preserve">max</w:t>
            </w:r>
            <w:r>
              <w:rPr>
                <w:b/>
                <w:bCs/>
                <w:color w:val="FFFFFF"/>
                <w:sz w:val="15"/>
                <w:szCs w:val="15"/>
              </w:rPr>
              <w:t xml:space="preserve"> (kJ/m³)</w:t>
            </w:r>
          </w:p>
        </w:tc>
        <w:tc>
          <w:tcPr>
            <w:tcW w:type="dxa" w:w="9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5"/>
                <w:szCs w:val="15"/>
              </w:rPr>
              <w:t xml:space="preserve">α B</w:t>
            </w:r>
            <w:r>
              <w:rPr>
                <w:b/>
                <w:bCs/>
                <w:color w:val="FFFFFF"/>
                <w:sz w:val="15"/>
                <w:szCs w:val="15"/>
                <w:vertAlign w:val="subscript"/>
              </w:rPr>
              <w:t xml:space="preserve">r</w:t>
            </w:r>
            <w:r>
              <w:rPr>
                <w:b/>
                <w:bCs/>
                <w:color w:val="FFFFFF"/>
                <w:sz w:val="15"/>
                <w:szCs w:val="15"/>
              </w:rPr>
              <w:t xml:space="preserve"> (%/K)</w:t>
            </w:r>
          </w:p>
        </w:tc>
        <w:tc>
          <w:tcPr>
            <w:tcW w:type="dxa" w:w="9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5"/>
                <w:szCs w:val="15"/>
              </w:rPr>
              <w:t xml:space="preserve">β H</w:t>
            </w:r>
            <w:r>
              <w:rPr>
                <w:b/>
                <w:bCs/>
                <w:color w:val="FFFFFF"/>
                <w:sz w:val="15"/>
                <w:szCs w:val="15"/>
                <w:vertAlign w:val="subscript"/>
              </w:rPr>
              <w:t xml:space="preserve">cJ</w:t>
            </w:r>
            <w:r>
              <w:rPr>
                <w:b/>
                <w:bCs/>
                <w:color w:val="FFFFFF"/>
                <w:sz w:val="15"/>
                <w:szCs w:val="15"/>
              </w:rPr>
              <w:t xml:space="preserve"> (%/K)</w:t>
            </w:r>
          </w:p>
        </w:tc>
        <w:tc>
          <w:tcPr>
            <w:tcW w:type="dxa" w:w="85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5"/>
                <w:szCs w:val="15"/>
              </w:rPr>
              <w:t xml:space="preserve">T</w:t>
            </w:r>
            <w:r>
              <w:rPr>
                <w:b/>
                <w:bCs/>
                <w:color w:val="FFFFFF"/>
                <w:sz w:val="15"/>
                <w:szCs w:val="15"/>
                <w:vertAlign w:val="subscript"/>
              </w:rPr>
              <w:t xml:space="preserve">max</w:t>
            </w:r>
            <w:r>
              <w:rPr>
                <w:b/>
                <w:bCs/>
                <w:color w:val="FFFFFF"/>
                <w:sz w:val="15"/>
                <w:szCs w:val="15"/>
              </w:rPr>
              <w:t xml:space="preserve"> (°C)</w:t>
            </w:r>
          </w:p>
        </w:tc>
        <w:tc>
          <w:tcPr>
            <w:tcW w:type="dxa" w:w="8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5"/>
                <w:szCs w:val="15"/>
              </w:rPr>
              <w:t xml:space="preserve">T</w:t>
            </w:r>
            <w:r>
              <w:rPr>
                <w:b/>
                <w:bCs/>
                <w:color w:val="FFFFFF"/>
                <w:sz w:val="15"/>
                <w:szCs w:val="15"/>
                <w:vertAlign w:val="subscript"/>
              </w:rPr>
              <w:t xml:space="preserve">c</w:t>
            </w:r>
            <w:r>
              <w:rPr>
                <w:b/>
                <w:bCs/>
                <w:color w:val="FFFFFF"/>
                <w:sz w:val="15"/>
                <w:szCs w:val="15"/>
              </w:rPr>
              <w:t xml:space="preserve"> (°C)</w:t>
            </w:r>
          </w:p>
        </w:tc>
        <w:tc>
          <w:tcPr>
            <w:tcW w:type="dxa" w:w="9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5"/>
                <w:szCs w:val="15"/>
              </w:rPr>
              <w:t xml:space="preserve">ρ (g/cm³)</w:t>
            </w:r>
          </w:p>
        </w:tc>
        <w:tc>
          <w:tcPr>
            <w:tcW w:type="dxa" w:w="88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5"/>
                <w:szCs w:val="15"/>
              </w:rPr>
              <w:t xml:space="preserve">μ</w:t>
            </w:r>
            <w:r>
              <w:rPr>
                <w:b/>
                <w:bCs/>
                <w:color w:val="FFFFFF"/>
                <w:sz w:val="15"/>
                <w:szCs w:val="15"/>
                <w:vertAlign w:val="subscript"/>
              </w:rPr>
              <w:t xml:space="preserve">rec</w:t>
            </w:r>
          </w:p>
        </w:tc>
      </w:tr>
      <w:tr>
        <w:trPr>
          <w:cantSplit/>
        </w:trPr>
        <w:tc>
          <w:tcPr>
            <w:tcW w:type="dxa" w:w="1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5"/>
                <w:szCs w:val="15"/>
              </w:rPr>
              <w:t xml:space="preserve">NdFeB N35</w:t>
            </w:r>
          </w:p>
        </w:tc>
        <w:tc>
          <w:tcPr>
            <w:tcW w:type="dxa" w:w="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1,17–1,21</w:t>
            </w:r>
          </w:p>
        </w:tc>
        <w:tc>
          <w:tcPr>
            <w:tcW w:type="dxa" w:w="95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 955</w:t>
            </w:r>
          </w:p>
        </w:tc>
        <w:tc>
          <w:tcPr>
            <w:tcW w:type="dxa" w:w="105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263–287</w:t>
            </w:r>
          </w:p>
        </w:tc>
        <w:tc>
          <w:tcPr>
            <w:tcW w:type="dxa" w:w="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−0,12</w:t>
            </w:r>
          </w:p>
        </w:tc>
        <w:tc>
          <w:tcPr>
            <w:tcW w:type="dxa" w:w="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−0,6</w:t>
            </w:r>
          </w:p>
        </w:tc>
        <w:tc>
          <w:tcPr>
            <w:tcW w:type="dxa" w:w="85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80</w:t>
            </w:r>
          </w:p>
        </w:tc>
        <w:tc>
          <w:tcPr>
            <w:tcW w:type="dxa" w:w="8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310</w:t>
            </w:r>
          </w:p>
        </w:tc>
        <w:tc>
          <w:tcPr>
            <w:tcW w:type="dxa" w:w="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7,5</w:t>
            </w:r>
          </w:p>
        </w:tc>
        <w:tc>
          <w:tcPr>
            <w:tcW w:type="dxa" w:w="88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1,05</w:t>
            </w:r>
          </w:p>
        </w:tc>
      </w:tr>
      <w:tr>
        <w:trPr>
          <w:cantSplit/>
        </w:trPr>
        <w:tc>
          <w:tcPr>
            <w:tcW w:type="dxa" w:w="15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5"/>
                <w:szCs w:val="15"/>
              </w:rPr>
              <w:t xml:space="preserve">NdFeB N42</w:t>
            </w:r>
          </w:p>
        </w:tc>
        <w:tc>
          <w:tcPr>
            <w:tcW w:type="dxa" w:w="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1,28–1,32</w:t>
            </w:r>
          </w:p>
        </w:tc>
        <w:tc>
          <w:tcPr>
            <w:tcW w:type="dxa" w:w="95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 955</w:t>
            </w:r>
          </w:p>
        </w:tc>
        <w:tc>
          <w:tcPr>
            <w:tcW w:type="dxa" w:w="105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318–342</w:t>
            </w:r>
          </w:p>
        </w:tc>
        <w:tc>
          <w:tcPr>
            <w:tcW w:type="dxa" w:w="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−0,12</w:t>
            </w:r>
          </w:p>
        </w:tc>
        <w:tc>
          <w:tcPr>
            <w:tcW w:type="dxa" w:w="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−0,6</w:t>
            </w:r>
          </w:p>
        </w:tc>
        <w:tc>
          <w:tcPr>
            <w:tcW w:type="dxa" w:w="85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80</w:t>
            </w:r>
          </w:p>
        </w:tc>
        <w:tc>
          <w:tcPr>
            <w:tcW w:type="dxa" w:w="8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310</w:t>
            </w:r>
          </w:p>
        </w:tc>
        <w:tc>
          <w:tcPr>
            <w:tcW w:type="dxa" w:w="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7,5</w:t>
            </w:r>
          </w:p>
        </w:tc>
        <w:tc>
          <w:tcPr>
            <w:tcW w:type="dxa" w:w="88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1,05</w:t>
            </w:r>
          </w:p>
        </w:tc>
      </w:tr>
      <w:tr>
        <w:trPr>
          <w:cantSplit/>
        </w:trPr>
        <w:tc>
          <w:tcPr>
            <w:tcW w:type="dxa" w:w="1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5"/>
                <w:szCs w:val="15"/>
              </w:rPr>
              <w:t xml:space="preserve">NdFeB N52</w:t>
            </w:r>
          </w:p>
        </w:tc>
        <w:tc>
          <w:tcPr>
            <w:tcW w:type="dxa" w:w="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1,43–1,48</w:t>
            </w:r>
          </w:p>
        </w:tc>
        <w:tc>
          <w:tcPr>
            <w:tcW w:type="dxa" w:w="95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 876</w:t>
            </w:r>
          </w:p>
        </w:tc>
        <w:tc>
          <w:tcPr>
            <w:tcW w:type="dxa" w:w="105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398–422</w:t>
            </w:r>
          </w:p>
        </w:tc>
        <w:tc>
          <w:tcPr>
            <w:tcW w:type="dxa" w:w="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−0,12</w:t>
            </w:r>
          </w:p>
        </w:tc>
        <w:tc>
          <w:tcPr>
            <w:tcW w:type="dxa" w:w="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−0,6</w:t>
            </w:r>
          </w:p>
        </w:tc>
        <w:tc>
          <w:tcPr>
            <w:tcW w:type="dxa" w:w="85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60</w:t>
            </w:r>
          </w:p>
        </w:tc>
        <w:tc>
          <w:tcPr>
            <w:tcW w:type="dxa" w:w="8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310</w:t>
            </w:r>
          </w:p>
        </w:tc>
        <w:tc>
          <w:tcPr>
            <w:tcW w:type="dxa" w:w="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7,5</w:t>
            </w:r>
          </w:p>
        </w:tc>
        <w:tc>
          <w:tcPr>
            <w:tcW w:type="dxa" w:w="88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1,05</w:t>
            </w:r>
          </w:p>
        </w:tc>
      </w:tr>
      <w:tr>
        <w:trPr>
          <w:cantSplit/>
        </w:trPr>
        <w:tc>
          <w:tcPr>
            <w:tcW w:type="dxa" w:w="15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5"/>
                <w:szCs w:val="15"/>
              </w:rPr>
              <w:t xml:space="preserve">NdFeB N42SH</w:t>
            </w:r>
          </w:p>
        </w:tc>
        <w:tc>
          <w:tcPr>
            <w:tcW w:type="dxa" w:w="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1,28–1,32</w:t>
            </w:r>
          </w:p>
        </w:tc>
        <w:tc>
          <w:tcPr>
            <w:tcW w:type="dxa" w:w="95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 1 592</w:t>
            </w:r>
          </w:p>
        </w:tc>
        <w:tc>
          <w:tcPr>
            <w:tcW w:type="dxa" w:w="105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318–342</w:t>
            </w:r>
          </w:p>
        </w:tc>
        <w:tc>
          <w:tcPr>
            <w:tcW w:type="dxa" w:w="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−0,12</w:t>
            </w:r>
          </w:p>
        </w:tc>
        <w:tc>
          <w:tcPr>
            <w:tcW w:type="dxa" w:w="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−0,55</w:t>
            </w:r>
          </w:p>
        </w:tc>
        <w:tc>
          <w:tcPr>
            <w:tcW w:type="dxa" w:w="85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150</w:t>
            </w:r>
          </w:p>
        </w:tc>
        <w:tc>
          <w:tcPr>
            <w:tcW w:type="dxa" w:w="8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340</w:t>
            </w:r>
          </w:p>
        </w:tc>
        <w:tc>
          <w:tcPr>
            <w:tcW w:type="dxa" w:w="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7,5</w:t>
            </w:r>
          </w:p>
        </w:tc>
        <w:tc>
          <w:tcPr>
            <w:tcW w:type="dxa" w:w="88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1,05</w:t>
            </w:r>
          </w:p>
        </w:tc>
      </w:tr>
      <w:tr>
        <w:trPr>
          <w:cantSplit/>
        </w:trPr>
        <w:tc>
          <w:tcPr>
            <w:tcW w:type="dxa" w:w="1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5"/>
                <w:szCs w:val="15"/>
              </w:rPr>
              <w:t xml:space="preserve">SmCo 2:17</w:t>
            </w:r>
          </w:p>
        </w:tc>
        <w:tc>
          <w:tcPr>
            <w:tcW w:type="dxa" w:w="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1,03–1,10</w:t>
            </w:r>
          </w:p>
        </w:tc>
        <w:tc>
          <w:tcPr>
            <w:tcW w:type="dxa" w:w="95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 1 433</w:t>
            </w:r>
          </w:p>
        </w:tc>
        <w:tc>
          <w:tcPr>
            <w:tcW w:type="dxa" w:w="105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191–223</w:t>
            </w:r>
          </w:p>
        </w:tc>
        <w:tc>
          <w:tcPr>
            <w:tcW w:type="dxa" w:w="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−0,035</w:t>
            </w:r>
          </w:p>
        </w:tc>
        <w:tc>
          <w:tcPr>
            <w:tcW w:type="dxa" w:w="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−0,2</w:t>
            </w:r>
          </w:p>
        </w:tc>
        <w:tc>
          <w:tcPr>
            <w:tcW w:type="dxa" w:w="85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300</w:t>
            </w:r>
          </w:p>
        </w:tc>
        <w:tc>
          <w:tcPr>
            <w:tcW w:type="dxa" w:w="8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800</w:t>
            </w:r>
          </w:p>
        </w:tc>
        <w:tc>
          <w:tcPr>
            <w:tcW w:type="dxa" w:w="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8,4</w:t>
            </w:r>
          </w:p>
        </w:tc>
        <w:tc>
          <w:tcPr>
            <w:tcW w:type="dxa" w:w="88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1,05</w:t>
            </w:r>
          </w:p>
        </w:tc>
      </w:tr>
      <w:tr>
        <w:trPr>
          <w:cantSplit/>
        </w:trPr>
        <w:tc>
          <w:tcPr>
            <w:tcW w:type="dxa" w:w="15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5"/>
                <w:szCs w:val="15"/>
              </w:rPr>
              <w:t xml:space="preserve">Ferrite Sr (Y30)</w:t>
            </w:r>
          </w:p>
        </w:tc>
        <w:tc>
          <w:tcPr>
            <w:tcW w:type="dxa" w:w="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0,37–0,40</w:t>
            </w:r>
          </w:p>
        </w:tc>
        <w:tc>
          <w:tcPr>
            <w:tcW w:type="dxa" w:w="95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180–220</w:t>
            </w:r>
          </w:p>
        </w:tc>
        <w:tc>
          <w:tcPr>
            <w:tcW w:type="dxa" w:w="105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26–30</w:t>
            </w:r>
          </w:p>
        </w:tc>
        <w:tc>
          <w:tcPr>
            <w:tcW w:type="dxa" w:w="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−0,20</w:t>
            </w:r>
          </w:p>
        </w:tc>
        <w:tc>
          <w:tcPr>
            <w:tcW w:type="dxa" w:w="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+0,3</w:t>
            </w:r>
          </w:p>
        </w:tc>
        <w:tc>
          <w:tcPr>
            <w:tcW w:type="dxa" w:w="85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250</w:t>
            </w:r>
          </w:p>
        </w:tc>
        <w:tc>
          <w:tcPr>
            <w:tcW w:type="dxa" w:w="8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450</w:t>
            </w:r>
          </w:p>
        </w:tc>
        <w:tc>
          <w:tcPr>
            <w:tcW w:type="dxa" w:w="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4,9</w:t>
            </w:r>
          </w:p>
        </w:tc>
        <w:tc>
          <w:tcPr>
            <w:tcW w:type="dxa" w:w="88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1,1</w:t>
            </w:r>
          </w:p>
        </w:tc>
      </w:tr>
      <w:tr>
        <w:trPr>
          <w:cantSplit/>
        </w:trPr>
        <w:tc>
          <w:tcPr>
            <w:tcW w:type="dxa" w:w="15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5"/>
                <w:szCs w:val="15"/>
              </w:rPr>
              <w:t xml:space="preserve">AlNiCo 5</w:t>
            </w:r>
          </w:p>
        </w:tc>
        <w:tc>
          <w:tcPr>
            <w:tcW w:type="dxa" w:w="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1,24–1,28</w:t>
            </w:r>
          </w:p>
        </w:tc>
        <w:tc>
          <w:tcPr>
            <w:tcW w:type="dxa" w:w="95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48–52</w:t>
            </w:r>
          </w:p>
        </w:tc>
        <w:tc>
          <w:tcPr>
            <w:tcW w:type="dxa" w:w="105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40–44</w:t>
            </w:r>
          </w:p>
        </w:tc>
        <w:tc>
          <w:tcPr>
            <w:tcW w:type="dxa" w:w="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−0,02</w:t>
            </w:r>
          </w:p>
        </w:tc>
        <w:tc>
          <w:tcPr>
            <w:tcW w:type="dxa" w:w="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 0</w:t>
            </w:r>
          </w:p>
        </w:tc>
        <w:tc>
          <w:tcPr>
            <w:tcW w:type="dxa" w:w="85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525</w:t>
            </w:r>
          </w:p>
        </w:tc>
        <w:tc>
          <w:tcPr>
            <w:tcW w:type="dxa" w:w="8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860</w:t>
            </w:r>
          </w:p>
        </w:tc>
        <w:tc>
          <w:tcPr>
            <w:tcW w:type="dxa" w:w="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7,3</w:t>
            </w:r>
          </w:p>
        </w:tc>
        <w:tc>
          <w:tcPr>
            <w:tcW w:type="dxa" w:w="88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5"/>
                <w:szCs w:val="15"/>
              </w:rPr>
              <w:t xml:space="preserve">3–4</w:t>
            </w:r>
          </w:p>
        </w:tc>
      </w:tr>
    </w:tbl>
    <w:p>
      <w:pPr>
        <w:spacing w:after="80" w:before="0" w:line="200"/>
      </w:pPr>
    </w:p>
    <w:p>
      <w:pPr>
        <w:spacing w:after="120" w:before="0" w:line="276"/>
        <w:jc w:val="both"/>
      </w:pPr>
      <w:r>
        <w:t xml:space="preserve">À noter : le coefficient β de la ferrite est </w:t>
      </w:r>
      <w:r>
        <w:rPr>
          <w:b/>
          <w:bCs/>
        </w:rPr>
        <w:t xml:space="preserve">positif</w:t>
      </w:r>
      <w:r>
        <w:t xml:space="preserve"> (sa coercivité augmente à chaud, elle est donc plus fragile au froid), et l’AlNiCo, très peu coercitif, se désaimante facilement en présence d’un champ opposé. Ces deux particularités donnent des expériences intéressantes.</w:t>
      </w:r>
    </w:p>
    <w:p>
      <w:pPr>
        <w:pStyle w:val="Heading2"/>
      </w:pPr>
      <w:bookmarkStart w:name="sec_43" w:id="143"/>
      <w:r>
        <w:rPr>
          <w:color w:val="0369A1"/>
        </w:rPr>
        <w:t xml:space="preserve">6.2  </w:t>
      </w:r>
      <w:r>
        <w:t xml:space="preserve">Électroaimants, conducteurs et sources de champ</w:t>
      </w:r>
      <w:bookmarkEnd w:id="143"/>
    </w:p>
    <w:p>
      <w:pPr>
        <w:pStyle w:val="ListParagraph"/>
        <w:numPr>
          <w:ilvl w:val="0"/>
          <w:numId w:val="2"/>
        </w:numPr>
        <w:spacing w:after="60" w:line="276"/>
      </w:pPr>
      <w:r>
        <w:rPr>
          <w:b/>
          <w:bCs/>
        </w:rPr>
        <w:t xml:space="preserve">Fil rectiligne</w:t>
      </w:r>
      <w:r>
        <w:t xml:space="preserve"> (courant entrant ⊗ ou sortant ⊙), </w:t>
      </w:r>
      <w:r>
        <w:rPr>
          <w:b/>
          <w:bCs/>
        </w:rPr>
        <w:t xml:space="preserve">bobine</w:t>
      </w:r>
      <w:r>
        <w:t xml:space="preserve"> (paire de conducteurs) avec ou sans noyau, </w:t>
      </w:r>
      <w:r>
        <w:rPr>
          <w:b/>
          <w:bCs/>
        </w:rPr>
        <w:t xml:space="preserve">solénoïde</w:t>
      </w:r>
      <w:r>
        <w:t xml:space="preserve"> en coupe.</w:t>
      </w:r>
    </w:p>
    <w:p>
      <w:pPr>
        <w:pStyle w:val="ListParagraph"/>
        <w:numPr>
          <w:ilvl w:val="0"/>
          <w:numId w:val="2"/>
        </w:numPr>
        <w:spacing w:after="60" w:line="276"/>
      </w:pPr>
      <w:r>
        <w:rPr>
          <w:b/>
          <w:bCs/>
        </w:rPr>
        <w:t xml:space="preserve">Électroaimant en U</w:t>
      </w:r>
      <w:r>
        <w:t xml:space="preserve"> (circuit de fer + bobine), </w:t>
      </w:r>
      <w:r>
        <w:rPr>
          <w:b/>
          <w:bCs/>
        </w:rPr>
        <w:t xml:space="preserve">électroaimant de levage</w:t>
      </w:r>
      <w:r>
        <w:t xml:space="preserve">, </w:t>
      </w:r>
      <w:r>
        <w:rPr>
          <w:b/>
          <w:bCs/>
        </w:rPr>
        <w:t xml:space="preserve">relais</w:t>
      </w:r>
      <w:r>
        <w:t xml:space="preserve"> (armature mobile + ressort).</w:t>
      </w:r>
    </w:p>
    <w:p>
      <w:pPr>
        <w:pStyle w:val="ListParagraph"/>
        <w:numPr>
          <w:ilvl w:val="0"/>
          <w:numId w:val="2"/>
        </w:numPr>
        <w:spacing w:after="60" w:line="276"/>
      </w:pPr>
      <w:r>
        <w:rPr>
          <w:b/>
          <w:bCs/>
        </w:rPr>
        <w:t xml:space="preserve">Bobines de Helmholtz</w:t>
      </w:r>
      <w:r>
        <w:t xml:space="preserve"> (champ uniforme), </w:t>
      </w:r>
      <w:r>
        <w:rPr>
          <w:b/>
          <w:bCs/>
        </w:rPr>
        <w:t xml:space="preserve">bobines anti-Helmholtz</w:t>
      </w:r>
      <w:r>
        <w:t xml:space="preserve"> (gradient), </w:t>
      </w:r>
      <w:r>
        <w:rPr>
          <w:b/>
          <w:bCs/>
        </w:rPr>
        <w:t xml:space="preserve">tore</w:t>
      </w:r>
      <w:r>
        <w:t xml:space="preserve">, </w:t>
      </w:r>
      <w:r>
        <w:rPr>
          <w:b/>
          <w:bCs/>
        </w:rPr>
        <w:t xml:space="preserve">quadrupôle</w:t>
      </w:r>
      <w:r>
        <w:t xml:space="preserve">.</w:t>
      </w:r>
    </w:p>
    <w:p>
      <w:pPr>
        <w:pStyle w:val="ListParagraph"/>
        <w:numPr>
          <w:ilvl w:val="0"/>
          <w:numId w:val="2"/>
        </w:numPr>
        <w:spacing w:after="60" w:line="276"/>
      </w:pPr>
      <w:r>
        <w:rPr>
          <w:b/>
          <w:bCs/>
        </w:rPr>
        <w:t xml:space="preserve">Moteur pas-à-pas simplifié</w:t>
      </w:r>
      <w:r>
        <w:t xml:space="preserve"> (rotor aimanté, 4 bobines séquencées), </w:t>
      </w:r>
      <w:r>
        <w:rPr>
          <w:b/>
          <w:bCs/>
        </w:rPr>
        <w:t xml:space="preserve">transformateur</w:t>
      </w:r>
      <w:r>
        <w:t xml:space="preserve"> et </w:t>
      </w:r>
      <w:r>
        <w:rPr>
          <w:b/>
          <w:bCs/>
        </w:rPr>
        <w:t xml:space="preserve">anneau de Thomson</w:t>
      </w:r>
      <w:r>
        <w:t xml:space="preserve"> (phase 4).</w:t>
      </w:r>
    </w:p>
    <w:p>
      <w:pPr>
        <w:pStyle w:val="ListParagraph"/>
        <w:numPr>
          <w:ilvl w:val="0"/>
          <w:numId w:val="2"/>
        </w:numPr>
        <w:spacing w:after="60" w:line="276"/>
      </w:pPr>
      <w:r>
        <w:rPr>
          <w:b/>
          <w:bCs/>
        </w:rPr>
        <w:t xml:space="preserve">Champ uniforme extérieur</w:t>
      </w:r>
      <w:r>
        <w:t xml:space="preserve"> (B</w:t>
      </w:r>
      <w:r>
        <w:rPr>
          <w:vertAlign w:val="subscript"/>
        </w:rPr>
        <w:t xml:space="preserve">0</w:t>
      </w:r>
      <w:r>
        <w:t xml:space="preserve">, angle) et </w:t>
      </w:r>
      <w:r>
        <w:rPr>
          <w:b/>
          <w:bCs/>
        </w:rPr>
        <w:t xml:space="preserve">champ terrestre</w:t>
      </w:r>
      <w:r>
        <w:t xml:space="preserve"> (environ 20 µT de composante horizontale en France).</w:t>
      </w:r>
    </w:p>
    <w:p>
      <w:pPr>
        <w:pStyle w:val="Heading2"/>
      </w:pPr>
      <w:bookmarkStart w:name="sec_44" w:id="144"/>
      <w:r>
        <w:rPr>
          <w:color w:val="0369A1"/>
        </w:rPr>
        <w:t xml:space="preserve">6.3  </w:t>
      </w:r>
      <w:r>
        <w:t xml:space="preserve">Ferromagnétiques doux</w:t>
      </w:r>
      <w:bookmarkEnd w:id="144"/>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600"/>
        <w:gridCol w:w="1100"/>
        <w:gridCol w:w="1000"/>
        <w:gridCol w:w="1000"/>
        <w:gridCol w:w="2638"/>
      </w:tblGrid>
      <w:tr>
        <w:trPr>
          <w:tblHeader/>
        </w:trPr>
        <w:tc>
          <w:tcPr>
            <w:tcW w:type="dxa" w:w="23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Matériau</w:t>
            </w:r>
          </w:p>
        </w:tc>
        <w:tc>
          <w:tcPr>
            <w:tcW w:type="dxa" w:w="16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μ</w:t>
            </w:r>
            <w:r>
              <w:rPr>
                <w:b/>
                <w:bCs/>
                <w:color w:val="FFFFFF"/>
                <w:sz w:val="16"/>
                <w:szCs w:val="16"/>
                <w:vertAlign w:val="subscript"/>
              </w:rPr>
              <w:t xml:space="preserve">r</w:t>
            </w:r>
            <w:r>
              <w:rPr>
                <w:b/>
                <w:bCs/>
                <w:color w:val="FFFFFF"/>
                <w:sz w:val="16"/>
                <w:szCs w:val="16"/>
              </w:rPr>
              <w:t xml:space="preserve"> max (typ.)</w:t>
            </w:r>
          </w:p>
        </w:tc>
        <w:tc>
          <w:tcPr>
            <w:tcW w:type="dxa" w:w="11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B</w:t>
            </w:r>
            <w:r>
              <w:rPr>
                <w:b/>
                <w:bCs/>
                <w:color w:val="FFFFFF"/>
                <w:sz w:val="16"/>
                <w:szCs w:val="16"/>
                <w:vertAlign w:val="subscript"/>
              </w:rPr>
              <w:t xml:space="preserve">s</w:t>
            </w:r>
            <w:r>
              <w:rPr>
                <w:b/>
                <w:bCs/>
                <w:color w:val="FFFFFF"/>
                <w:sz w:val="16"/>
                <w:szCs w:val="16"/>
              </w:rPr>
              <w:t xml:space="preserve"> (T)</w:t>
            </w:r>
          </w:p>
        </w:tc>
        <w:tc>
          <w:tcPr>
            <w:tcW w:type="dxa" w:w="10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T</w:t>
            </w:r>
            <w:r>
              <w:rPr>
                <w:b/>
                <w:bCs/>
                <w:color w:val="FFFFFF"/>
                <w:sz w:val="16"/>
                <w:szCs w:val="16"/>
                <w:vertAlign w:val="subscript"/>
              </w:rPr>
              <w:t xml:space="preserve">c</w:t>
            </w:r>
            <w:r>
              <w:rPr>
                <w:b/>
                <w:bCs/>
                <w:color w:val="FFFFFF"/>
                <w:sz w:val="16"/>
                <w:szCs w:val="16"/>
              </w:rPr>
              <w:t xml:space="preserve"> (°C)</w:t>
            </w:r>
          </w:p>
        </w:tc>
        <w:tc>
          <w:tcPr>
            <w:tcW w:type="dxa" w:w="10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ρ (g/cm³)</w:t>
            </w:r>
          </w:p>
        </w:tc>
        <w:tc>
          <w:tcPr>
            <w:tcW w:type="dxa" w:w="26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Usage dans le simulateur</w:t>
            </w:r>
          </w:p>
        </w:tc>
      </w:tr>
      <w:tr>
        <w:trPr>
          <w:cantSplit/>
        </w:trPr>
        <w:tc>
          <w:tcPr>
            <w:tcW w:type="dxa" w:w="2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Fer pur (Armco)</w:t>
            </w:r>
          </w:p>
        </w:tc>
        <w:tc>
          <w:tcPr>
            <w:tcW w:type="dxa" w:w="1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5 000–7 000</w:t>
            </w:r>
          </w:p>
        </w:tc>
        <w:tc>
          <w:tcPr>
            <w:tcW w:type="dxa" w:w="1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2,15</w:t>
            </w:r>
          </w:p>
        </w:tc>
        <w:tc>
          <w:tcPr>
            <w:tcW w:type="dxa" w:w="1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770</w:t>
            </w:r>
          </w:p>
        </w:tc>
        <w:tc>
          <w:tcPr>
            <w:tcW w:type="dxa" w:w="1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7,87</w:t>
            </w:r>
          </w:p>
        </w:tc>
        <w:tc>
          <w:tcPr>
            <w:tcW w:type="dxa" w:w="26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Noyaux, pièces polaires</w:t>
            </w:r>
          </w:p>
        </w:tc>
      </w:tr>
      <w:tr>
        <w:trPr>
          <w:cantSplit/>
        </w:trPr>
        <w:tc>
          <w:tcPr>
            <w:tcW w:type="dxa" w:w="23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6"/>
                <w:szCs w:val="16"/>
              </w:rPr>
              <w:t xml:space="preserve">Acier doux (S235, 1010)</w:t>
            </w:r>
          </w:p>
        </w:tc>
        <w:tc>
          <w:tcPr>
            <w:tcW w:type="dxa" w:w="1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1 000–2 000</w:t>
            </w:r>
          </w:p>
        </w:tc>
        <w:tc>
          <w:tcPr>
            <w:tcW w:type="dxa" w:w="1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 2,0</w:t>
            </w:r>
          </w:p>
        </w:tc>
        <w:tc>
          <w:tcPr>
            <w:tcW w:type="dxa" w:w="1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 770</w:t>
            </w:r>
          </w:p>
        </w:tc>
        <w:tc>
          <w:tcPr>
            <w:tcW w:type="dxa" w:w="1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7,85</w:t>
            </w:r>
          </w:p>
        </w:tc>
        <w:tc>
          <w:tcPr>
            <w:tcW w:type="dxa" w:w="26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Objets du quotidien, billes, plaques</w:t>
            </w:r>
          </w:p>
        </w:tc>
      </w:tr>
      <w:tr>
        <w:trPr>
          <w:cantSplit/>
        </w:trPr>
        <w:tc>
          <w:tcPr>
            <w:tcW w:type="dxa" w:w="2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Acier électrique Fe-3 %Si</w:t>
            </w:r>
          </w:p>
        </w:tc>
        <w:tc>
          <w:tcPr>
            <w:tcW w:type="dxa" w:w="1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5 000–10 000</w:t>
            </w:r>
          </w:p>
        </w:tc>
        <w:tc>
          <w:tcPr>
            <w:tcW w:type="dxa" w:w="1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2,0</w:t>
            </w:r>
          </w:p>
        </w:tc>
        <w:tc>
          <w:tcPr>
            <w:tcW w:type="dxa" w:w="1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740</w:t>
            </w:r>
          </w:p>
        </w:tc>
        <w:tc>
          <w:tcPr>
            <w:tcW w:type="dxa" w:w="1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7,65</w:t>
            </w:r>
          </w:p>
        </w:tc>
        <w:tc>
          <w:tcPr>
            <w:tcW w:type="dxa" w:w="26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Transformateurs, moteurs</w:t>
            </w:r>
          </w:p>
        </w:tc>
      </w:tr>
      <w:tr>
        <w:trPr>
          <w:cantSplit/>
        </w:trPr>
        <w:tc>
          <w:tcPr>
            <w:tcW w:type="dxa" w:w="23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6"/>
                <w:szCs w:val="16"/>
              </w:rPr>
              <w:t xml:space="preserve">Mu-métal</w:t>
            </w:r>
          </w:p>
        </w:tc>
        <w:tc>
          <w:tcPr>
            <w:tcW w:type="dxa" w:w="1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50 000–100 000</w:t>
            </w:r>
          </w:p>
        </w:tc>
        <w:tc>
          <w:tcPr>
            <w:tcW w:type="dxa" w:w="1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0,75–0,8</w:t>
            </w:r>
          </w:p>
        </w:tc>
        <w:tc>
          <w:tcPr>
            <w:tcW w:type="dxa" w:w="1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 400</w:t>
            </w:r>
          </w:p>
        </w:tc>
        <w:tc>
          <w:tcPr>
            <w:tcW w:type="dxa" w:w="1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8,7</w:t>
            </w:r>
          </w:p>
        </w:tc>
        <w:tc>
          <w:tcPr>
            <w:tcW w:type="dxa" w:w="26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Blindage</w:t>
            </w:r>
          </w:p>
        </w:tc>
      </w:tr>
      <w:tr>
        <w:trPr>
          <w:cantSplit/>
        </w:trPr>
        <w:tc>
          <w:tcPr>
            <w:tcW w:type="dxa" w:w="2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Permalloy 50 % Ni</w:t>
            </w:r>
          </w:p>
        </w:tc>
        <w:tc>
          <w:tcPr>
            <w:tcW w:type="dxa" w:w="1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30 000–100 000</w:t>
            </w:r>
          </w:p>
        </w:tc>
        <w:tc>
          <w:tcPr>
            <w:tcW w:type="dxa" w:w="1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1,5–1,6</w:t>
            </w:r>
          </w:p>
        </w:tc>
        <w:tc>
          <w:tcPr>
            <w:tcW w:type="dxa" w:w="1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 480</w:t>
            </w:r>
          </w:p>
        </w:tc>
        <w:tc>
          <w:tcPr>
            <w:tcW w:type="dxa" w:w="1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8,2</w:t>
            </w:r>
          </w:p>
        </w:tc>
        <w:tc>
          <w:tcPr>
            <w:tcW w:type="dxa" w:w="26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Capteurs, relais</w:t>
            </w:r>
          </w:p>
        </w:tc>
      </w:tr>
      <w:tr>
        <w:trPr>
          <w:cantSplit/>
        </w:trPr>
        <w:tc>
          <w:tcPr>
            <w:tcW w:type="dxa" w:w="23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6"/>
                <w:szCs w:val="16"/>
              </w:rPr>
              <w:t xml:space="preserve">Fer-cobalt (Permendur)</w:t>
            </w:r>
          </w:p>
        </w:tc>
        <w:tc>
          <w:tcPr>
            <w:tcW w:type="dxa" w:w="1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5 000–15 000</w:t>
            </w:r>
          </w:p>
        </w:tc>
        <w:tc>
          <w:tcPr>
            <w:tcW w:type="dxa" w:w="1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2,3–2,4</w:t>
            </w:r>
          </w:p>
        </w:tc>
        <w:tc>
          <w:tcPr>
            <w:tcW w:type="dxa" w:w="1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 940</w:t>
            </w:r>
          </w:p>
        </w:tc>
        <w:tc>
          <w:tcPr>
            <w:tcW w:type="dxa" w:w="1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8,1</w:t>
            </w:r>
          </w:p>
        </w:tc>
        <w:tc>
          <w:tcPr>
            <w:tcW w:type="dxa" w:w="26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Pièces polaires haute induction</w:t>
            </w:r>
          </w:p>
        </w:tc>
      </w:tr>
      <w:tr>
        <w:trPr>
          <w:cantSplit/>
        </w:trPr>
        <w:tc>
          <w:tcPr>
            <w:tcW w:type="dxa" w:w="2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Ferrite douce MnZn</w:t>
            </w:r>
          </w:p>
        </w:tc>
        <w:tc>
          <w:tcPr>
            <w:tcW w:type="dxa" w:w="1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2 000–15 000</w:t>
            </w:r>
          </w:p>
        </w:tc>
        <w:tc>
          <w:tcPr>
            <w:tcW w:type="dxa" w:w="1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0,4–0,5</w:t>
            </w:r>
          </w:p>
        </w:tc>
        <w:tc>
          <w:tcPr>
            <w:tcW w:type="dxa" w:w="1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150–250</w:t>
            </w:r>
          </w:p>
        </w:tc>
        <w:tc>
          <w:tcPr>
            <w:tcW w:type="dxa" w:w="1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4,8</w:t>
            </w:r>
          </w:p>
        </w:tc>
        <w:tc>
          <w:tcPr>
            <w:tcW w:type="dxa" w:w="26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Inductances, Curie bas</w:t>
            </w:r>
          </w:p>
        </w:tc>
      </w:tr>
      <w:tr>
        <w:trPr>
          <w:cantSplit/>
        </w:trPr>
        <w:tc>
          <w:tcPr>
            <w:tcW w:type="dxa" w:w="23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6"/>
                <w:szCs w:val="16"/>
              </w:rPr>
              <w:t xml:space="preserve">Nickel</w:t>
            </w:r>
          </w:p>
        </w:tc>
        <w:tc>
          <w:tcPr>
            <w:tcW w:type="dxa" w:w="1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100–600</w:t>
            </w:r>
          </w:p>
        </w:tc>
        <w:tc>
          <w:tcPr>
            <w:tcW w:type="dxa" w:w="1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0,6</w:t>
            </w:r>
          </w:p>
        </w:tc>
        <w:tc>
          <w:tcPr>
            <w:tcW w:type="dxa" w:w="1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354</w:t>
            </w:r>
          </w:p>
        </w:tc>
        <w:tc>
          <w:tcPr>
            <w:tcW w:type="dxa" w:w="1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8,9</w:t>
            </w:r>
          </w:p>
        </w:tc>
        <w:tc>
          <w:tcPr>
            <w:tcW w:type="dxa" w:w="26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Démonstration de Curie</w:t>
            </w:r>
          </w:p>
        </w:tc>
      </w:tr>
      <w:tr>
        <w:trPr>
          <w:cantSplit/>
        </w:trPr>
        <w:tc>
          <w:tcPr>
            <w:tcW w:type="dxa" w:w="2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Cobalt</w:t>
            </w:r>
          </w:p>
        </w:tc>
        <w:tc>
          <w:tcPr>
            <w:tcW w:type="dxa" w:w="1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70–250</w:t>
            </w:r>
          </w:p>
        </w:tc>
        <w:tc>
          <w:tcPr>
            <w:tcW w:type="dxa" w:w="1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1,8</w:t>
            </w:r>
          </w:p>
        </w:tc>
        <w:tc>
          <w:tcPr>
            <w:tcW w:type="dxa" w:w="1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1 115</w:t>
            </w:r>
          </w:p>
        </w:tc>
        <w:tc>
          <w:tcPr>
            <w:tcW w:type="dxa" w:w="1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8,9</w:t>
            </w:r>
          </w:p>
        </w:tc>
        <w:tc>
          <w:tcPr>
            <w:tcW w:type="dxa" w:w="26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Ferro à haute température</w:t>
            </w:r>
          </w:p>
        </w:tc>
      </w:tr>
      <w:tr>
        <w:trPr>
          <w:cantSplit/>
        </w:trPr>
        <w:tc>
          <w:tcPr>
            <w:tcW w:type="dxa" w:w="23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6"/>
                <w:szCs w:val="16"/>
              </w:rPr>
              <w:t xml:space="preserve">Gadolinium</w:t>
            </w:r>
          </w:p>
        </w:tc>
        <w:tc>
          <w:tcPr>
            <w:tcW w:type="dxa" w:w="1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ferro sous ≈ 20 °C</w:t>
            </w:r>
          </w:p>
        </w:tc>
        <w:tc>
          <w:tcPr>
            <w:tcW w:type="dxa" w:w="1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 2,6 à 0 K</w:t>
            </w:r>
          </w:p>
        </w:tc>
        <w:tc>
          <w:tcPr>
            <w:tcW w:type="dxa" w:w="1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 20</w:t>
            </w:r>
          </w:p>
        </w:tc>
        <w:tc>
          <w:tcPr>
            <w:tcW w:type="dxa" w:w="1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7,9</w:t>
            </w:r>
          </w:p>
        </w:tc>
        <w:tc>
          <w:tcPr>
            <w:tcW w:type="dxa" w:w="26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Moteur de Curie, réfrigération magnétique</w:t>
            </w:r>
          </w:p>
        </w:tc>
      </w:tr>
      <w:tr>
        <w:trPr>
          <w:cantSplit/>
        </w:trPr>
        <w:tc>
          <w:tcPr>
            <w:tcW w:type="dxa" w:w="2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Magnétite (Fe</w:t>
            </w:r>
            <w:r>
              <w:rPr>
                <w:b/>
                <w:bCs/>
                <w:sz w:val="16"/>
                <w:szCs w:val="16"/>
                <w:vertAlign w:val="subscript"/>
              </w:rPr>
              <w:t xml:space="preserve">3</w:t>
            </w:r>
            <w:r>
              <w:rPr>
                <w:b/>
                <w:bCs/>
                <w:sz w:val="16"/>
                <w:szCs w:val="16"/>
              </w:rPr>
              <w:t xml:space="preserve">O</w:t>
            </w:r>
            <w:r>
              <w:rPr>
                <w:b/>
                <w:bCs/>
                <w:sz w:val="16"/>
                <w:szCs w:val="16"/>
                <w:vertAlign w:val="subscript"/>
              </w:rPr>
              <w:t xml:space="preserve">4</w:t>
            </w:r>
            <w:r>
              <w:rPr>
                <w:b/>
                <w:bCs/>
                <w:sz w:val="16"/>
                <w:szCs w:val="16"/>
              </w:rPr>
              <w:t xml:space="preserve">)</w:t>
            </w:r>
          </w:p>
        </w:tc>
        <w:tc>
          <w:tcPr>
            <w:tcW w:type="dxa" w:w="1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w:t>
            </w:r>
          </w:p>
        </w:tc>
        <w:tc>
          <w:tcPr>
            <w:tcW w:type="dxa" w:w="1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0,6</w:t>
            </w:r>
          </w:p>
        </w:tc>
        <w:tc>
          <w:tcPr>
            <w:tcW w:type="dxa" w:w="1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585</w:t>
            </w:r>
          </w:p>
        </w:tc>
        <w:tc>
          <w:tcPr>
            <w:tcW w:type="dxa" w:w="1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5,2</w:t>
            </w:r>
          </w:p>
        </w:tc>
        <w:tc>
          <w:tcPr>
            <w:tcW w:type="dxa" w:w="26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Pierre d’aimant naturelle</w:t>
            </w:r>
          </w:p>
        </w:tc>
      </w:tr>
    </w:tbl>
    <w:p>
      <w:pPr>
        <w:spacing w:after="80" w:before="0" w:line="200"/>
      </w:pPr>
    </w:p>
    <w:p>
      <w:pPr>
        <w:pStyle w:val="Heading2"/>
      </w:pPr>
      <w:bookmarkStart w:name="sec_45" w:id="145"/>
      <w:r>
        <w:rPr>
          <w:color w:val="0369A1"/>
        </w:rPr>
        <w:t xml:space="preserve">6.4  </w:t>
      </w:r>
      <w:r>
        <w:t xml:space="preserve">Paramagnétiques et diamagnétiques</w:t>
      </w:r>
      <w:bookmarkEnd w:id="145"/>
    </w:p>
    <w:p>
      <w:pPr>
        <w:spacing w:after="120" w:before="0" w:line="276"/>
        <w:jc w:val="both"/>
      </w:pPr>
      <w:r>
        <w:t xml:space="preserve">La dernière colonne donne le produit B·∂B/∂z nécessaire pour faire léviter le matériau (μ</w:t>
      </w:r>
      <w:r>
        <w:rPr>
          <w:vertAlign w:val="subscript"/>
        </w:rPr>
        <w:t xml:space="preserve">0</w:t>
      </w:r>
      <w:r>
        <w:t xml:space="preserve">ρg/|χ|). Elle montre d’un coup d’œil pourquoi seul le graphite pyrolytique flotte au-dessus d’aimants courants (dont le produit atteint de l’ordre de 100 T²/m près de leur surface).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100"/>
        <w:gridCol w:w="2338"/>
        <w:gridCol w:w="1100"/>
        <w:gridCol w:w="1400"/>
      </w:tblGrid>
      <w:tr>
        <w:trPr>
          <w:tblHeader/>
        </w:trPr>
        <w:tc>
          <w:tcPr>
            <w:tcW w:type="dxa" w:w="27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Matériau</w:t>
            </w:r>
          </w:p>
        </w:tc>
        <w:tc>
          <w:tcPr>
            <w:tcW w:type="dxa" w:w="21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Classe</w:t>
            </w:r>
          </w:p>
        </w:tc>
        <w:tc>
          <w:tcPr>
            <w:tcW w:type="dxa" w:w="23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χ (SI, volumique)</w:t>
            </w:r>
          </w:p>
        </w:tc>
        <w:tc>
          <w:tcPr>
            <w:tcW w:type="dxa" w:w="11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ρ (g/cm³)</w:t>
            </w:r>
          </w:p>
        </w:tc>
        <w:tc>
          <w:tcPr>
            <w:tcW w:type="dxa" w:w="14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Lévitation (T²/m)</w:t>
            </w:r>
          </w:p>
        </w:tc>
      </w:tr>
      <w:tr>
        <w:trPr>
          <w:cantSplit/>
        </w:trPr>
        <w:tc>
          <w:tcPr>
            <w:tcW w:type="dxa" w:w="2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Aluminium</w:t>
            </w:r>
          </w:p>
        </w:tc>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Para</w:t>
            </w:r>
          </w:p>
        </w:tc>
        <w:tc>
          <w:tcPr>
            <w:tcW w:type="dxa" w:w="2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+2,2×10</w:t>
            </w:r>
            <w:r>
              <w:rPr>
                <w:b w:val="false"/>
                <w:bCs w:val="false"/>
                <w:sz w:val="16"/>
                <w:szCs w:val="16"/>
                <w:vertAlign w:val="superscript"/>
              </w:rPr>
              <w:t xml:space="preserve">−5</w:t>
            </w:r>
          </w:p>
        </w:tc>
        <w:tc>
          <w:tcPr>
            <w:tcW w:type="dxa" w:w="1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2,70</w:t>
            </w:r>
          </w:p>
        </w:tc>
        <w:tc>
          <w:tcPr>
            <w:tcW w:type="dxa" w:w="14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w:t>
            </w:r>
          </w:p>
        </w:tc>
      </w:tr>
      <w:tr>
        <w:trPr>
          <w:cantSplit/>
        </w:trPr>
        <w:tc>
          <w:tcPr>
            <w:tcW w:type="dxa" w:w="2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6"/>
                <w:szCs w:val="16"/>
              </w:rPr>
              <w:t xml:space="preserve">Platine</w:t>
            </w:r>
          </w:p>
        </w:tc>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Para</w:t>
            </w:r>
          </w:p>
        </w:tc>
        <w:tc>
          <w:tcPr>
            <w:tcW w:type="dxa" w:w="2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+2,7×10</w:t>
            </w:r>
            <w:r>
              <w:rPr>
                <w:b w:val="false"/>
                <w:bCs w:val="false"/>
                <w:sz w:val="16"/>
                <w:szCs w:val="16"/>
                <w:vertAlign w:val="superscript"/>
              </w:rPr>
              <w:t xml:space="preserve">−4</w:t>
            </w:r>
          </w:p>
        </w:tc>
        <w:tc>
          <w:tcPr>
            <w:tcW w:type="dxa" w:w="1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21,45</w:t>
            </w:r>
          </w:p>
        </w:tc>
        <w:tc>
          <w:tcPr>
            <w:tcW w:type="dxa" w:w="14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w:t>
            </w:r>
          </w:p>
        </w:tc>
      </w:tr>
      <w:tr>
        <w:trPr>
          <w:cantSplit/>
        </w:trPr>
        <w:tc>
          <w:tcPr>
            <w:tcW w:type="dxa" w:w="2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Titane</w:t>
            </w:r>
          </w:p>
        </w:tc>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Para</w:t>
            </w:r>
          </w:p>
        </w:tc>
        <w:tc>
          <w:tcPr>
            <w:tcW w:type="dxa" w:w="2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+1,8×10</w:t>
            </w:r>
            <w:r>
              <w:rPr>
                <w:b w:val="false"/>
                <w:bCs w:val="false"/>
                <w:sz w:val="16"/>
                <w:szCs w:val="16"/>
                <w:vertAlign w:val="superscript"/>
              </w:rPr>
              <w:t xml:space="preserve">−4</w:t>
            </w:r>
          </w:p>
        </w:tc>
        <w:tc>
          <w:tcPr>
            <w:tcW w:type="dxa" w:w="1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4,51</w:t>
            </w:r>
          </w:p>
        </w:tc>
        <w:tc>
          <w:tcPr>
            <w:tcW w:type="dxa" w:w="14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w:t>
            </w:r>
          </w:p>
        </w:tc>
      </w:tr>
      <w:tr>
        <w:trPr>
          <w:cantSplit/>
        </w:trPr>
        <w:tc>
          <w:tcPr>
            <w:tcW w:type="dxa" w:w="2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6"/>
                <w:szCs w:val="16"/>
              </w:rPr>
              <w:t xml:space="preserve">Tungstène</w:t>
            </w:r>
          </w:p>
        </w:tc>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Para</w:t>
            </w:r>
          </w:p>
        </w:tc>
        <w:tc>
          <w:tcPr>
            <w:tcW w:type="dxa" w:w="2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+7,8×10</w:t>
            </w:r>
            <w:r>
              <w:rPr>
                <w:b w:val="false"/>
                <w:bCs w:val="false"/>
                <w:sz w:val="16"/>
                <w:szCs w:val="16"/>
                <w:vertAlign w:val="superscript"/>
              </w:rPr>
              <w:t xml:space="preserve">−5</w:t>
            </w:r>
          </w:p>
        </w:tc>
        <w:tc>
          <w:tcPr>
            <w:tcW w:type="dxa" w:w="1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19,3</w:t>
            </w:r>
          </w:p>
        </w:tc>
        <w:tc>
          <w:tcPr>
            <w:tcW w:type="dxa" w:w="14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w:t>
            </w:r>
          </w:p>
        </w:tc>
      </w:tr>
      <w:tr>
        <w:trPr>
          <w:cantSplit/>
        </w:trPr>
        <w:tc>
          <w:tcPr>
            <w:tcW w:type="dxa" w:w="2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Oxygène liquide (−183 °C)</w:t>
            </w:r>
          </w:p>
        </w:tc>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Para</w:t>
            </w:r>
          </w:p>
        </w:tc>
        <w:tc>
          <w:tcPr>
            <w:tcW w:type="dxa" w:w="2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+3,5×10</w:t>
            </w:r>
            <w:r>
              <w:rPr>
                <w:b w:val="false"/>
                <w:bCs w:val="false"/>
                <w:sz w:val="16"/>
                <w:szCs w:val="16"/>
                <w:vertAlign w:val="superscript"/>
              </w:rPr>
              <w:t xml:space="preserve">−3</w:t>
            </w:r>
          </w:p>
        </w:tc>
        <w:tc>
          <w:tcPr>
            <w:tcW w:type="dxa" w:w="1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1,14</w:t>
            </w:r>
          </w:p>
        </w:tc>
        <w:tc>
          <w:tcPr>
            <w:tcW w:type="dxa" w:w="14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w:t>
            </w:r>
          </w:p>
        </w:tc>
      </w:tr>
      <w:tr>
        <w:trPr>
          <w:cantSplit/>
        </w:trPr>
        <w:tc>
          <w:tcPr>
            <w:tcW w:type="dxa" w:w="2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6"/>
                <w:szCs w:val="16"/>
              </w:rPr>
              <w:t xml:space="preserve">Inox austénitique 304</w:t>
            </w:r>
          </w:p>
        </w:tc>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Para (faiblement ferro si écroui)</w:t>
            </w:r>
          </w:p>
        </w:tc>
        <w:tc>
          <w:tcPr>
            <w:tcW w:type="dxa" w:w="2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μ</w:t>
            </w:r>
            <w:r>
              <w:rPr>
                <w:b w:val="false"/>
                <w:bCs w:val="false"/>
                <w:sz w:val="16"/>
                <w:szCs w:val="16"/>
                <w:vertAlign w:val="subscript"/>
              </w:rPr>
              <w:t xml:space="preserve">r</w:t>
            </w:r>
            <w:r>
              <w:rPr>
                <w:b w:val="false"/>
                <w:bCs w:val="false"/>
                <w:sz w:val="16"/>
                <w:szCs w:val="16"/>
              </w:rPr>
              <w:t xml:space="preserve"> 1,003–1,05</w:t>
            </w:r>
          </w:p>
        </w:tc>
        <w:tc>
          <w:tcPr>
            <w:tcW w:type="dxa" w:w="1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8,0</w:t>
            </w:r>
          </w:p>
        </w:tc>
        <w:tc>
          <w:tcPr>
            <w:tcW w:type="dxa" w:w="14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w:t>
            </w:r>
          </w:p>
        </w:tc>
      </w:tr>
      <w:tr>
        <w:trPr>
          <w:cantSplit/>
        </w:trPr>
        <w:tc>
          <w:tcPr>
            <w:tcW w:type="dxa" w:w="2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Graphite pyrolytique</w:t>
            </w:r>
          </w:p>
        </w:tc>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Dia (anisotrope)</w:t>
            </w:r>
          </w:p>
        </w:tc>
        <w:tc>
          <w:tcPr>
            <w:tcW w:type="dxa" w:w="2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−4,5×10</w:t>
            </w:r>
            <w:r>
              <w:rPr>
                <w:b w:val="false"/>
                <w:bCs w:val="false"/>
                <w:sz w:val="16"/>
                <w:szCs w:val="16"/>
                <w:vertAlign w:val="superscript"/>
              </w:rPr>
              <w:t xml:space="preserve">−4</w:t>
            </w:r>
            <w:r>
              <w:rPr>
                <w:b w:val="false"/>
                <w:bCs w:val="false"/>
                <w:sz w:val="16"/>
                <w:szCs w:val="16"/>
              </w:rPr>
              <w:t xml:space="preserve"> (⊥), −8,5×10</w:t>
            </w:r>
            <w:r>
              <w:rPr>
                <w:b w:val="false"/>
                <w:bCs w:val="false"/>
                <w:sz w:val="16"/>
                <w:szCs w:val="16"/>
                <w:vertAlign w:val="superscript"/>
              </w:rPr>
              <w:t xml:space="preserve">−5</w:t>
            </w:r>
            <w:r>
              <w:rPr>
                <w:b w:val="false"/>
                <w:bCs w:val="false"/>
                <w:sz w:val="16"/>
                <w:szCs w:val="16"/>
              </w:rPr>
              <w:t xml:space="preserve"> (∥)</w:t>
            </w:r>
          </w:p>
        </w:tc>
        <w:tc>
          <w:tcPr>
            <w:tcW w:type="dxa" w:w="1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2,2</w:t>
            </w:r>
          </w:p>
        </w:tc>
        <w:tc>
          <w:tcPr>
            <w:tcW w:type="dxa" w:w="14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 60</w:t>
            </w:r>
          </w:p>
        </w:tc>
      </w:tr>
      <w:tr>
        <w:trPr>
          <w:cantSplit/>
        </w:trPr>
        <w:tc>
          <w:tcPr>
            <w:tcW w:type="dxa" w:w="2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6"/>
                <w:szCs w:val="16"/>
              </w:rPr>
              <w:t xml:space="preserve">Bismuth</w:t>
            </w:r>
          </w:p>
        </w:tc>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Dia</w:t>
            </w:r>
          </w:p>
        </w:tc>
        <w:tc>
          <w:tcPr>
            <w:tcW w:type="dxa" w:w="2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−1,66×10</w:t>
            </w:r>
            <w:r>
              <w:rPr>
                <w:b w:val="false"/>
                <w:bCs w:val="false"/>
                <w:sz w:val="16"/>
                <w:szCs w:val="16"/>
                <w:vertAlign w:val="superscript"/>
              </w:rPr>
              <w:t xml:space="preserve">−4</w:t>
            </w:r>
          </w:p>
        </w:tc>
        <w:tc>
          <w:tcPr>
            <w:tcW w:type="dxa" w:w="1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9,78</w:t>
            </w:r>
          </w:p>
        </w:tc>
        <w:tc>
          <w:tcPr>
            <w:tcW w:type="dxa" w:w="14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 730</w:t>
            </w:r>
          </w:p>
        </w:tc>
      </w:tr>
      <w:tr>
        <w:trPr>
          <w:cantSplit/>
        </w:trPr>
        <w:tc>
          <w:tcPr>
            <w:tcW w:type="dxa" w:w="2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Eau</w:t>
            </w:r>
          </w:p>
        </w:tc>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Dia</w:t>
            </w:r>
          </w:p>
        </w:tc>
        <w:tc>
          <w:tcPr>
            <w:tcW w:type="dxa" w:w="2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−9,0×10</w:t>
            </w:r>
            <w:r>
              <w:rPr>
                <w:b w:val="false"/>
                <w:bCs w:val="false"/>
                <w:sz w:val="16"/>
                <w:szCs w:val="16"/>
                <w:vertAlign w:val="superscript"/>
              </w:rPr>
              <w:t xml:space="preserve">−6</w:t>
            </w:r>
          </w:p>
        </w:tc>
        <w:tc>
          <w:tcPr>
            <w:tcW w:type="dxa" w:w="1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1,00</w:t>
            </w:r>
          </w:p>
        </w:tc>
        <w:tc>
          <w:tcPr>
            <w:tcW w:type="dxa" w:w="14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 1 360</w:t>
            </w:r>
          </w:p>
        </w:tc>
      </w:tr>
      <w:tr>
        <w:trPr>
          <w:cantSplit/>
        </w:trPr>
        <w:tc>
          <w:tcPr>
            <w:tcW w:type="dxa" w:w="2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6"/>
                <w:szCs w:val="16"/>
              </w:rPr>
              <w:t xml:space="preserve">Diamant</w:t>
            </w:r>
          </w:p>
        </w:tc>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Dia</w:t>
            </w:r>
          </w:p>
        </w:tc>
        <w:tc>
          <w:tcPr>
            <w:tcW w:type="dxa" w:w="2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−2,2×10</w:t>
            </w:r>
            <w:r>
              <w:rPr>
                <w:b w:val="false"/>
                <w:bCs w:val="false"/>
                <w:sz w:val="16"/>
                <w:szCs w:val="16"/>
                <w:vertAlign w:val="superscript"/>
              </w:rPr>
              <w:t xml:space="preserve">−5</w:t>
            </w:r>
          </w:p>
        </w:tc>
        <w:tc>
          <w:tcPr>
            <w:tcW w:type="dxa" w:w="1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3,51</w:t>
            </w:r>
          </w:p>
        </w:tc>
        <w:tc>
          <w:tcPr>
            <w:tcW w:type="dxa" w:w="14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 2 000</w:t>
            </w:r>
          </w:p>
        </w:tc>
      </w:tr>
      <w:tr>
        <w:trPr>
          <w:cantSplit/>
        </w:trPr>
        <w:tc>
          <w:tcPr>
            <w:tcW w:type="dxa" w:w="2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Argent</w:t>
            </w:r>
          </w:p>
        </w:tc>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Dia</w:t>
            </w:r>
          </w:p>
        </w:tc>
        <w:tc>
          <w:tcPr>
            <w:tcW w:type="dxa" w:w="2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−2,4×10</w:t>
            </w:r>
            <w:r>
              <w:rPr>
                <w:b w:val="false"/>
                <w:bCs w:val="false"/>
                <w:sz w:val="16"/>
                <w:szCs w:val="16"/>
                <w:vertAlign w:val="superscript"/>
              </w:rPr>
              <w:t xml:space="preserve">−5</w:t>
            </w:r>
          </w:p>
        </w:tc>
        <w:tc>
          <w:tcPr>
            <w:tcW w:type="dxa" w:w="1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10,5</w:t>
            </w:r>
          </w:p>
        </w:tc>
        <w:tc>
          <w:tcPr>
            <w:tcW w:type="dxa" w:w="14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 5 400</w:t>
            </w:r>
          </w:p>
        </w:tc>
      </w:tr>
      <w:tr>
        <w:trPr>
          <w:cantSplit/>
        </w:trPr>
        <w:tc>
          <w:tcPr>
            <w:tcW w:type="dxa" w:w="2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6"/>
                <w:szCs w:val="16"/>
              </w:rPr>
              <w:t xml:space="preserve">Or</w:t>
            </w:r>
          </w:p>
        </w:tc>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Dia</w:t>
            </w:r>
          </w:p>
        </w:tc>
        <w:tc>
          <w:tcPr>
            <w:tcW w:type="dxa" w:w="2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−3,4×10</w:t>
            </w:r>
            <w:r>
              <w:rPr>
                <w:b w:val="false"/>
                <w:bCs w:val="false"/>
                <w:sz w:val="16"/>
                <w:szCs w:val="16"/>
                <w:vertAlign w:val="superscript"/>
              </w:rPr>
              <w:t xml:space="preserve">−5</w:t>
            </w:r>
          </w:p>
        </w:tc>
        <w:tc>
          <w:tcPr>
            <w:tcW w:type="dxa" w:w="1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19,3</w:t>
            </w:r>
          </w:p>
        </w:tc>
        <w:tc>
          <w:tcPr>
            <w:tcW w:type="dxa" w:w="14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 7 000</w:t>
            </w:r>
          </w:p>
        </w:tc>
      </w:tr>
      <w:tr>
        <w:trPr>
          <w:cantSplit/>
        </w:trPr>
        <w:tc>
          <w:tcPr>
            <w:tcW w:type="dxa" w:w="2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Plomb</w:t>
            </w:r>
          </w:p>
        </w:tc>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Dia</w:t>
            </w:r>
          </w:p>
        </w:tc>
        <w:tc>
          <w:tcPr>
            <w:tcW w:type="dxa" w:w="2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−1,6×10</w:t>
            </w:r>
            <w:r>
              <w:rPr>
                <w:b w:val="false"/>
                <w:bCs w:val="false"/>
                <w:sz w:val="16"/>
                <w:szCs w:val="16"/>
                <w:vertAlign w:val="superscript"/>
              </w:rPr>
              <w:t xml:space="preserve">−5</w:t>
            </w:r>
          </w:p>
        </w:tc>
        <w:tc>
          <w:tcPr>
            <w:tcW w:type="dxa" w:w="1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11,3</w:t>
            </w:r>
          </w:p>
        </w:tc>
        <w:tc>
          <w:tcPr>
            <w:tcW w:type="dxa" w:w="14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 8 700</w:t>
            </w:r>
          </w:p>
        </w:tc>
      </w:tr>
      <w:tr>
        <w:trPr>
          <w:cantSplit/>
        </w:trPr>
        <w:tc>
          <w:tcPr>
            <w:tcW w:type="dxa" w:w="2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6"/>
                <w:szCs w:val="16"/>
              </w:rPr>
              <w:t xml:space="preserve">Cuivre</w:t>
            </w:r>
          </w:p>
        </w:tc>
        <w:tc>
          <w:tcPr>
            <w:tcW w:type="dxa" w:w="2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Dia</w:t>
            </w:r>
          </w:p>
        </w:tc>
        <w:tc>
          <w:tcPr>
            <w:tcW w:type="dxa" w:w="2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−9,6×10</w:t>
            </w:r>
            <w:r>
              <w:rPr>
                <w:b w:val="false"/>
                <w:bCs w:val="false"/>
                <w:sz w:val="16"/>
                <w:szCs w:val="16"/>
                <w:vertAlign w:val="superscript"/>
              </w:rPr>
              <w:t xml:space="preserve">−6</w:t>
            </w:r>
          </w:p>
        </w:tc>
        <w:tc>
          <w:tcPr>
            <w:tcW w:type="dxa" w:w="11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8,96</w:t>
            </w:r>
          </w:p>
        </w:tc>
        <w:tc>
          <w:tcPr>
            <w:tcW w:type="dxa" w:w="14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 11 500</w:t>
            </w:r>
          </w:p>
        </w:tc>
      </w:tr>
      <w:tr>
        <w:trPr>
          <w:cantSplit/>
        </w:trPr>
        <w:tc>
          <w:tcPr>
            <w:tcW w:type="dxa" w:w="2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Supraconducteur YBCO (T &lt; 92 K)</w:t>
            </w:r>
          </w:p>
        </w:tc>
        <w:tc>
          <w:tcPr>
            <w:tcW w:type="dxa" w:w="2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Dia parfait</w:t>
            </w:r>
          </w:p>
        </w:tc>
        <w:tc>
          <w:tcPr>
            <w:tcW w:type="dxa" w:w="2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−1 (idéal)</w:t>
            </w:r>
          </w:p>
        </w:tc>
        <w:tc>
          <w:tcPr>
            <w:tcW w:type="dxa" w:w="11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6,3</w:t>
            </w:r>
          </w:p>
        </w:tc>
        <w:tc>
          <w:tcPr>
            <w:tcW w:type="dxa" w:w="14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quasi immédiate</w:t>
            </w:r>
          </w:p>
        </w:tc>
      </w:tr>
    </w:tbl>
    <w:p>
      <w:pPr>
        <w:spacing w:after="80" w:before="0" w:line="200"/>
      </w:pPr>
    </w:p>
    <w:p>
      <w:pPr>
        <w:pStyle w:val="Heading2"/>
      </w:pPr>
      <w:bookmarkStart w:name="sec_46" w:id="146"/>
      <w:r>
        <w:rPr>
          <w:color w:val="0369A1"/>
        </w:rPr>
        <w:t xml:space="preserve">6.5  </w:t>
      </w:r>
      <w:r>
        <w:t xml:space="preserve">Surfaces et frottement</w:t>
      </w:r>
      <w:bookmarkEnd w:id="14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2300"/>
        <w:gridCol w:w="2338"/>
      </w:tblGrid>
      <w:tr>
        <w:trPr>
          <w:tblHeader/>
        </w:trPr>
        <w:tc>
          <w:tcPr>
            <w:tcW w:type="dxa" w:w="50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Couple de matériaux (à sec)</w:t>
            </w:r>
          </w:p>
        </w:tc>
        <w:tc>
          <w:tcPr>
            <w:tcW w:type="dxa" w:w="23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μ</w:t>
            </w:r>
            <w:r>
              <w:rPr>
                <w:b/>
                <w:bCs/>
                <w:color w:val="FFFFFF"/>
                <w:sz w:val="17"/>
                <w:szCs w:val="17"/>
                <w:vertAlign w:val="subscript"/>
              </w:rPr>
              <w:t xml:space="preserve">s</w:t>
            </w:r>
            <w:r>
              <w:rPr>
                <w:b/>
                <w:bCs/>
                <w:color w:val="FFFFFF"/>
                <w:sz w:val="17"/>
                <w:szCs w:val="17"/>
              </w:rPr>
              <w:t xml:space="preserve"> (statique)</w:t>
            </w:r>
          </w:p>
        </w:tc>
        <w:tc>
          <w:tcPr>
            <w:tcW w:type="dxa" w:w="23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μ</w:t>
            </w:r>
            <w:r>
              <w:rPr>
                <w:b/>
                <w:bCs/>
                <w:color w:val="FFFFFF"/>
                <w:sz w:val="17"/>
                <w:szCs w:val="17"/>
                <w:vertAlign w:val="subscript"/>
              </w:rPr>
              <w:t xml:space="preserve">k</w:t>
            </w:r>
            <w:r>
              <w:rPr>
                <w:b/>
                <w:bCs/>
                <w:color w:val="FFFFFF"/>
                <w:sz w:val="17"/>
                <w:szCs w:val="17"/>
              </w:rPr>
              <w:t xml:space="preserve"> (dynamique)</w:t>
            </w:r>
          </w:p>
        </w:tc>
      </w:tr>
      <w:tr>
        <w:trPr>
          <w:cantSplit/>
        </w:trPr>
        <w:tc>
          <w:tcPr>
            <w:tcW w:type="dxa" w:w="5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Acier / acier</w:t>
            </w:r>
          </w:p>
        </w:tc>
        <w:tc>
          <w:tcPr>
            <w:tcW w:type="dxa" w:w="2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0,74</w:t>
            </w:r>
          </w:p>
        </w:tc>
        <w:tc>
          <w:tcPr>
            <w:tcW w:type="dxa" w:w="2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0,57</w:t>
            </w:r>
          </w:p>
        </w:tc>
      </w:tr>
      <w:tr>
        <w:trPr>
          <w:cantSplit/>
        </w:trPr>
        <w:tc>
          <w:tcPr>
            <w:tcW w:type="dxa" w:w="5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Aluminium / acier</w:t>
            </w:r>
          </w:p>
        </w:tc>
        <w:tc>
          <w:tcPr>
            <w:tcW w:type="dxa" w:w="23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0,61</w:t>
            </w:r>
          </w:p>
        </w:tc>
        <w:tc>
          <w:tcPr>
            <w:tcW w:type="dxa" w:w="2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0,47</w:t>
            </w:r>
          </w:p>
        </w:tc>
      </w:tr>
      <w:tr>
        <w:trPr>
          <w:cantSplit/>
        </w:trPr>
        <w:tc>
          <w:tcPr>
            <w:tcW w:type="dxa" w:w="5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Cuivre / acier</w:t>
            </w:r>
          </w:p>
        </w:tc>
        <w:tc>
          <w:tcPr>
            <w:tcW w:type="dxa" w:w="2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0,53</w:t>
            </w:r>
          </w:p>
        </w:tc>
        <w:tc>
          <w:tcPr>
            <w:tcW w:type="dxa" w:w="2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0,36</w:t>
            </w:r>
          </w:p>
        </w:tc>
      </w:tr>
      <w:tr>
        <w:trPr>
          <w:cantSplit/>
        </w:trPr>
        <w:tc>
          <w:tcPr>
            <w:tcW w:type="dxa" w:w="5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Verre / verre</w:t>
            </w:r>
          </w:p>
        </w:tc>
        <w:tc>
          <w:tcPr>
            <w:tcW w:type="dxa" w:w="23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0,94</w:t>
            </w:r>
          </w:p>
        </w:tc>
        <w:tc>
          <w:tcPr>
            <w:tcW w:type="dxa" w:w="2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0,40</w:t>
            </w:r>
          </w:p>
        </w:tc>
      </w:tr>
      <w:tr>
        <w:trPr>
          <w:cantSplit/>
        </w:trPr>
        <w:tc>
          <w:tcPr>
            <w:tcW w:type="dxa" w:w="5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Bois / bois</w:t>
            </w:r>
          </w:p>
        </w:tc>
        <w:tc>
          <w:tcPr>
            <w:tcW w:type="dxa" w:w="2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0,25–0,50</w:t>
            </w:r>
          </w:p>
        </w:tc>
        <w:tc>
          <w:tcPr>
            <w:tcW w:type="dxa" w:w="2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0,20</w:t>
            </w:r>
          </w:p>
        </w:tc>
      </w:tr>
      <w:tr>
        <w:trPr>
          <w:cantSplit/>
        </w:trPr>
        <w:tc>
          <w:tcPr>
            <w:tcW w:type="dxa" w:w="5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PTFE (Téflon) / acier</w:t>
            </w:r>
          </w:p>
        </w:tc>
        <w:tc>
          <w:tcPr>
            <w:tcW w:type="dxa" w:w="23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0,04</w:t>
            </w:r>
          </w:p>
        </w:tc>
        <w:tc>
          <w:tcPr>
            <w:tcW w:type="dxa" w:w="2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0,04</w:t>
            </w:r>
          </w:p>
        </w:tc>
      </w:tr>
      <w:tr>
        <w:trPr>
          <w:cantSplit/>
        </w:trPr>
        <w:tc>
          <w:tcPr>
            <w:tcW w:type="dxa" w:w="5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Caoutchouc / béton</w:t>
            </w:r>
          </w:p>
        </w:tc>
        <w:tc>
          <w:tcPr>
            <w:tcW w:type="dxa" w:w="2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1,0</w:t>
            </w:r>
          </w:p>
        </w:tc>
        <w:tc>
          <w:tcPr>
            <w:tcW w:type="dxa" w:w="2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0,8</w:t>
            </w:r>
          </w:p>
        </w:tc>
      </w:tr>
      <w:tr>
        <w:trPr>
          <w:cantSplit/>
        </w:trPr>
        <w:tc>
          <w:tcPr>
            <w:tcW w:type="dxa" w:w="5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Glace / glace</w:t>
            </w:r>
          </w:p>
        </w:tc>
        <w:tc>
          <w:tcPr>
            <w:tcW w:type="dxa" w:w="23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0,10</w:t>
            </w:r>
          </w:p>
        </w:tc>
        <w:tc>
          <w:tcPr>
            <w:tcW w:type="dxa" w:w="2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0,03</w:t>
            </w:r>
          </w:p>
        </w:tc>
      </w:tr>
      <w:tr>
        <w:trPr>
          <w:cantSplit/>
        </w:trPr>
        <w:tc>
          <w:tcPr>
            <w:tcW w:type="dxa" w:w="5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Table à coussin d’air</w:t>
            </w:r>
          </w:p>
        </w:tc>
        <w:tc>
          <w:tcPr>
            <w:tcW w:type="dxa" w:w="2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 0</w:t>
            </w:r>
          </w:p>
        </w:tc>
        <w:tc>
          <w:tcPr>
            <w:tcW w:type="dxa" w:w="2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 0,001</w:t>
            </w:r>
          </w:p>
        </w:tc>
      </w:tr>
    </w:tbl>
    <w:p>
      <w:pPr>
        <w:spacing w:after="80" w:before="0" w:line="200"/>
      </w:pPr>
    </w:p>
    <w:p>
      <w:pPr>
        <w:spacing w:after="120" w:before="0" w:line="276"/>
        <w:jc w:val="both"/>
      </w:pPr>
      <w:r>
        <w:t xml:space="preserve">Valeurs indicatives de manuels. Une matrice de couples de matériaux remplace la règle de combinaison par défaut quand une valeur spécifique est connue. Les objets ronds disposent d’un coefficient de résistance au roulement (environ 0,001 pour l’acier sur l’acier).</w:t>
      </w:r>
    </w:p>
    <w:p>
      <w:pPr>
        <w:pStyle w:val="Heading2"/>
      </w:pPr>
      <w:bookmarkStart w:name="sec_47" w:id="147"/>
      <w:r>
        <w:rPr>
          <w:color w:val="0369A1"/>
        </w:rPr>
        <w:t xml:space="preserve">6.6  </w:t>
      </w:r>
      <w:r>
        <w:t xml:space="preserve">Objets mécaniques, instruments et outils</w:t>
      </w:r>
      <w:bookmarkEnd w:id="14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Catégorie</w:t>
            </w:r>
          </w:p>
        </w:tc>
        <w:tc>
          <w:tcPr>
            <w:tcW w:type="dxa" w:w="72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Éléments</w:t>
            </w:r>
          </w:p>
        </w:tc>
      </w:tr>
      <w:tr>
        <w:trPr>
          <w:cantSplit/>
        </w:trPr>
        <w:tc>
          <w:tcPr>
            <w:tcW w:type="dxa" w:w="24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Supports et liaisons</w:t>
            </w:r>
          </w:p>
        </w:tc>
        <w:tc>
          <w:tcPr>
            <w:tcW w:type="dxa" w:w="72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Table (vue de dessus), sol et rampes (vue de côté), rails, butées, murs ; pivots, glissières, ressorts, amortisseurs, fils, pendules ; plateau tournant ; état fixe ou mobile pour tout objet</w:t>
            </w:r>
          </w:p>
        </w:tc>
      </w:tr>
      <w:tr>
        <w:trPr>
          <w:cantSplit/>
        </w:trPr>
        <w:tc>
          <w:tcPr>
            <w:tcW w:type="dxa" w:w="24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Corps</w:t>
            </w:r>
          </w:p>
        </w:tc>
        <w:tc>
          <w:tcPr>
            <w:tcW w:type="dxa" w:w="72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Billes et cylindres (roulement), plaques, clous, trombones (fil d’acier fin), contrepoids</w:t>
            </w:r>
          </w:p>
        </w:tc>
      </w:tr>
      <w:tr>
        <w:trPr>
          <w:cantSplit/>
        </w:trPr>
        <w:tc>
          <w:tcPr>
            <w:tcW w:type="dxa" w:w="24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Instruments</w:t>
            </w:r>
          </w:p>
        </w:tc>
        <w:tc>
          <w:tcPr>
            <w:tcW w:type="dxa" w:w="72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Sonde, capteur Hall, gaussmètre, boussole, dynamomètre (ressort étalonné), thermomètre, ampèremètre et voltmètre de circuit, chronomètre, enregistreur vidéo</w:t>
            </w:r>
          </w:p>
        </w:tc>
      </w:tr>
      <w:tr>
        <w:trPr>
          <w:cantSplit/>
        </w:trPr>
        <w:tc>
          <w:tcPr>
            <w:tcW w:type="dxa" w:w="24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Outils</w:t>
            </w:r>
          </w:p>
        </w:tc>
        <w:tc>
          <w:tcPr>
            <w:tcW w:type="dxa" w:w="72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Magnétiseur (impulsion de champ intense orientée), démagnétiseur (champ alterné décroissant), pistolet chauffant, bombe de froid, pinceau de matériau, booléens, réseau (duplication en grille ou en cercle), balayage paramétrique</w:t>
            </w:r>
          </w:p>
        </w:tc>
      </w:tr>
    </w:tbl>
    <w:p>
      <w:pPr>
        <w:spacing w:after="80" w:before="0" w:line="200"/>
      </w:pPr>
    </w:p>
    <w:p>
      <w:pPr>
        <w:pStyle w:val="Heading2"/>
      </w:pPr>
      <w:bookmarkStart w:name="sec_48" w:id="148"/>
      <w:r>
        <w:rPr>
          <w:color w:val="0369A1"/>
        </w:rPr>
        <w:t xml:space="preserve">6.7  </w:t>
      </w:r>
      <w:r>
        <w:t xml:space="preserve">Scènes d’exemple</w:t>
      </w:r>
      <w:bookmarkEnd w:id="148"/>
    </w:p>
    <w:p>
      <w:pPr>
        <w:spacing w:after="120" w:before="0" w:line="276"/>
        <w:jc w:val="both"/>
      </w:pPr>
      <w:r>
        <w:t xml:space="preserve">Livrées avec l’application, elles servent à la fois de tutoriels, de démonstrations et de tests de non-régression.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900"/>
        <w:gridCol w:w="3138"/>
      </w:tblGrid>
      <w:tr>
        <w:trPr>
          <w:tblHeader/>
        </w:trPr>
        <w:tc>
          <w:tcPr>
            <w:tcW w:type="dxa" w:w="26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Scène</w:t>
            </w:r>
          </w:p>
        </w:tc>
        <w:tc>
          <w:tcPr>
            <w:tcW w:type="dxa" w:w="39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Ce qu’elle montre</w:t>
            </w:r>
          </w:p>
        </w:tc>
        <w:tc>
          <w:tcPr>
            <w:tcW w:type="dxa" w:w="31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Variables à manipuler</w:t>
            </w:r>
          </w:p>
        </w:tc>
      </w:tr>
      <w:tr>
        <w:trPr>
          <w:cantSplit/>
        </w:trPr>
        <w:tc>
          <w:tcPr>
            <w:tcW w:type="dxa" w:w="2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Barreau et limaille</w:t>
            </w:r>
          </w:p>
        </w:tc>
        <w:tc>
          <w:tcPr>
            <w:tcW w:type="dxa" w:w="3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Topologie des lignes, pôles</w:t>
            </w:r>
          </w:p>
        </w:tc>
        <w:tc>
          <w:tcPr>
            <w:tcW w:type="dxa" w:w="31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Forme, matériau, mode de rendu</w:t>
            </w:r>
          </w:p>
        </w:tc>
      </w:tr>
      <w:tr>
        <w:trPr>
          <w:cantSplit/>
        </w:trPr>
        <w:tc>
          <w:tcPr>
            <w:tcW w:type="dxa" w:w="2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Deux aimants</w:t>
            </w:r>
          </w:p>
        </w:tc>
        <w:tc>
          <w:tcPr>
            <w:tcW w:type="dxa" w:w="3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Attraction, répulsion, loi de décroissance</w:t>
            </w:r>
          </w:p>
        </w:tc>
        <w:tc>
          <w:tcPr>
            <w:tcW w:type="dxa" w:w="31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Distance, angle, grade</w:t>
            </w:r>
          </w:p>
        </w:tc>
      </w:tr>
      <w:tr>
        <w:trPr>
          <w:cantSplit/>
        </w:trPr>
        <w:tc>
          <w:tcPr>
            <w:tcW w:type="dxa" w:w="2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Électroaimant de levage</w:t>
            </w:r>
          </w:p>
        </w:tc>
        <w:tc>
          <w:tcPr>
            <w:tcW w:type="dxa" w:w="3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Saturation, force de maintien</w:t>
            </w:r>
          </w:p>
        </w:tc>
        <w:tc>
          <w:tcPr>
            <w:tcW w:type="dxa" w:w="31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Courant, spires, noyau</w:t>
            </w:r>
          </w:p>
        </w:tc>
      </w:tr>
      <w:tr>
        <w:trPr>
          <w:cantSplit/>
        </w:trPr>
        <w:tc>
          <w:tcPr>
            <w:tcW w:type="dxa" w:w="2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La bille qui démarre</w:t>
            </w:r>
          </w:p>
        </w:tc>
        <w:tc>
          <w:tcPr>
            <w:tcW w:type="dxa" w:w="3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Seuil de frottement statique</w:t>
            </w:r>
          </w:p>
        </w:tc>
        <w:tc>
          <w:tcPr>
            <w:tcW w:type="dxa" w:w="31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μ</w:t>
            </w:r>
            <w:r>
              <w:rPr>
                <w:b w:val="false"/>
                <w:bCs w:val="false"/>
                <w:sz w:val="17"/>
                <w:szCs w:val="17"/>
                <w:vertAlign w:val="subscript"/>
              </w:rPr>
              <w:t xml:space="preserve">s</w:t>
            </w:r>
            <w:r>
              <w:rPr>
                <w:b w:val="false"/>
                <w:bCs w:val="false"/>
                <w:sz w:val="17"/>
                <w:szCs w:val="17"/>
              </w:rPr>
              <w:t xml:space="preserve">, distance, masse</w:t>
            </w:r>
          </w:p>
        </w:tc>
      </w:tr>
      <w:tr>
        <w:trPr>
          <w:cantSplit/>
        </w:trPr>
        <w:tc>
          <w:tcPr>
            <w:tcW w:type="dxa" w:w="2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Blindage mu-métal</w:t>
            </w:r>
          </w:p>
        </w:tc>
        <w:tc>
          <w:tcPr>
            <w:tcW w:type="dxa" w:w="3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Facteur de blindage, saturation du blindage</w:t>
            </w:r>
          </w:p>
        </w:tc>
        <w:tc>
          <w:tcPr>
            <w:tcW w:type="dxa" w:w="31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Épaisseur, champ appliqué</w:t>
            </w:r>
          </w:p>
        </w:tc>
      </w:tr>
      <w:tr>
        <w:trPr>
          <w:cantSplit/>
        </w:trPr>
        <w:tc>
          <w:tcPr>
            <w:tcW w:type="dxa" w:w="2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Réseau de Halbach</w:t>
            </w:r>
          </w:p>
        </w:tc>
        <w:tc>
          <w:tcPr>
            <w:tcW w:type="dxa" w:w="3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Champ concentré d’un seul côté</w:t>
            </w:r>
          </w:p>
        </w:tc>
        <w:tc>
          <w:tcPr>
            <w:tcW w:type="dxa" w:w="31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Nombre et angle des segments</w:t>
            </w:r>
          </w:p>
        </w:tc>
      </w:tr>
      <w:tr>
        <w:trPr>
          <w:cantSplit/>
        </w:trPr>
        <w:tc>
          <w:tcPr>
            <w:tcW w:type="dxa" w:w="2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Lévitation diamagnétique</w:t>
            </w:r>
          </w:p>
        </w:tc>
        <w:tc>
          <w:tcPr>
            <w:tcW w:type="dxa" w:w="3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Graphite flottant sur un damier NdFeB (vue de côté)</w:t>
            </w:r>
          </w:p>
        </w:tc>
        <w:tc>
          <w:tcPr>
            <w:tcW w:type="dxa" w:w="31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Matériau, hauteur, grade</w:t>
            </w:r>
          </w:p>
        </w:tc>
      </w:tr>
      <w:tr>
        <w:trPr>
          <w:cantSplit/>
        </w:trPr>
        <w:tc>
          <w:tcPr>
            <w:tcW w:type="dxa" w:w="2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Moteur de Curie</w:t>
            </w:r>
          </w:p>
        </w:tc>
        <w:tc>
          <w:tcPr>
            <w:tcW w:type="dxa" w:w="3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Roue de nickel ou de gadolinium chauffée localement</w:t>
            </w:r>
          </w:p>
        </w:tc>
        <w:tc>
          <w:tcPr>
            <w:tcW w:type="dxa" w:w="31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Température, position de la source</w:t>
            </w:r>
          </w:p>
        </w:tc>
      </w:tr>
      <w:tr>
        <w:trPr>
          <w:cantSplit/>
        </w:trPr>
        <w:tc>
          <w:tcPr>
            <w:tcW w:type="dxa" w:w="2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Aimant surchauffé</w:t>
            </w:r>
          </w:p>
        </w:tc>
        <w:tc>
          <w:tcPr>
            <w:tcW w:type="dxa" w:w="3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Pertes réversibles puis irréversibles</w:t>
            </w:r>
          </w:p>
        </w:tc>
        <w:tc>
          <w:tcPr>
            <w:tcW w:type="dxa" w:w="31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Température, champ opposé</w:t>
            </w:r>
          </w:p>
        </w:tc>
      </w:tr>
      <w:tr>
        <w:trPr>
          <w:cantSplit/>
        </w:trPr>
        <w:tc>
          <w:tcPr>
            <w:tcW w:type="dxa" w:w="2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Bobines de Helmholtz</w:t>
            </w:r>
          </w:p>
        </w:tc>
        <w:tc>
          <w:tcPr>
            <w:tcW w:type="dxa" w:w="3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Uniformité du champ central</w:t>
            </w:r>
          </w:p>
        </w:tc>
        <w:tc>
          <w:tcPr>
            <w:tcW w:type="dxa" w:w="31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Écartement, courant</w:t>
            </w:r>
          </w:p>
        </w:tc>
      </w:tr>
      <w:tr>
        <w:trPr>
          <w:cantSplit/>
        </w:trPr>
        <w:tc>
          <w:tcPr>
            <w:tcW w:type="dxa" w:w="2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Expérience d’Ørsted</w:t>
            </w:r>
          </w:p>
        </w:tc>
        <w:tc>
          <w:tcPr>
            <w:tcW w:type="dxa" w:w="3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Boussole déviée par un fil</w:t>
            </w:r>
          </w:p>
        </w:tc>
        <w:tc>
          <w:tcPr>
            <w:tcW w:type="dxa" w:w="31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Courant, distance, champ terrestre</w:t>
            </w:r>
          </w:p>
        </w:tc>
      </w:tr>
      <w:tr>
        <w:trPr>
          <w:cantSplit/>
        </w:trPr>
        <w:tc>
          <w:tcPr>
            <w:tcW w:type="dxa" w:w="2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Cycle d’hystérésis</w:t>
            </w:r>
          </w:p>
        </w:tc>
        <w:tc>
          <w:tcPr>
            <w:tcW w:type="dxa" w:w="3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Aimantation et désaimantation du fer</w:t>
            </w:r>
          </w:p>
        </w:tc>
        <w:tc>
          <w:tcPr>
            <w:tcW w:type="dxa" w:w="31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Amplitude, paramètres Jiles–Atherton</w:t>
            </w:r>
          </w:p>
        </w:tc>
      </w:tr>
      <w:tr>
        <w:trPr>
          <w:cantSplit/>
        </w:trPr>
        <w:tc>
          <w:tcPr>
            <w:tcW w:type="dxa" w:w="2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Tube de cuivre (phase 4)</w:t>
            </w:r>
          </w:p>
        </w:tc>
        <w:tc>
          <w:tcPr>
            <w:tcW w:type="dxa" w:w="3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Freinage par courants de Foucault</w:t>
            </w:r>
          </w:p>
        </w:tc>
        <w:tc>
          <w:tcPr>
            <w:tcW w:type="dxa" w:w="31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Conductivité, épaisseur</w:t>
            </w:r>
          </w:p>
        </w:tc>
      </w:tr>
    </w:tbl>
    <w:p>
      <w:pPr>
        <w:spacing w:after="80" w:before="0" w:line="200"/>
      </w:pPr>
    </w:p>
    <w:p>
      <w:pPr>
        <w:pStyle w:val="Heading1"/>
        <w:pageBreakBefore/>
      </w:pPr>
      <w:bookmarkStart w:name="sec_49" w:id="149"/>
      <w:r>
        <w:rPr>
          <w:color w:val="0369A1"/>
        </w:rPr>
        <w:t xml:space="preserve">7  </w:t>
      </w:r>
      <w:r>
        <w:t xml:space="preserve">Interface et expérience utilisateur</w:t>
      </w:r>
      <w:bookmarkEnd w:id="149"/>
    </w:p>
    <w:p>
      <w:pPr>
        <w:pStyle w:val="Heading2"/>
      </w:pPr>
      <w:bookmarkStart w:name="sec_50" w:id="150"/>
      <w:r>
        <w:rPr>
          <w:color w:val="0369A1"/>
        </w:rPr>
        <w:t xml:space="preserve">7.1  </w:t>
      </w:r>
      <w:r>
        <w:t xml:space="preserve">Principes</w:t>
      </w:r>
      <w:bookmarkEnd w:id="150"/>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Principe</w:t>
            </w:r>
          </w:p>
        </w:tc>
        <w:tc>
          <w:tcPr>
            <w:tcW w:type="dxa" w:w="70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Traduction concrète</w:t>
            </w:r>
          </w:p>
        </w:tc>
      </w:tr>
      <w:tr>
        <w:trPr>
          <w:cantSplit/>
        </w:trPr>
        <w:tc>
          <w:tcPr>
            <w:tcW w:type="dxa" w:w="2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Toucher la physique</w:t>
            </w:r>
          </w:p>
        </w:tc>
        <w:tc>
          <w:tcPr>
            <w:tcW w:type="dxa" w:w="7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Tout se manipule directement sur le canevas : déplacer, tourner, orienter l’aimantation, inverser un courant. L’inspecteur sert à affiner, pas à découvrir.</w:t>
            </w:r>
          </w:p>
        </w:tc>
      </w:tr>
      <w:tr>
        <w:trPr>
          <w:cantSplit/>
        </w:trPr>
        <w:tc>
          <w:tcPr>
            <w:tcW w:type="dxa" w:w="2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Retour immédiat</w:t>
            </w:r>
          </w:p>
        </w:tc>
        <w:tc>
          <w:tcPr>
            <w:tcW w:type="dxa" w:w="7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Le champ suit le geste (moins de 100 ms entre l’action et l’effet visible), quitte à baisser temporairement la résolution.</w:t>
            </w:r>
          </w:p>
        </w:tc>
      </w:tr>
      <w:tr>
        <w:trPr>
          <w:cantSplit/>
        </w:trPr>
        <w:tc>
          <w:tcPr>
            <w:tcW w:type="dxa" w:w="2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Profondeur progressive</w:t>
            </w:r>
          </w:p>
        </w:tc>
        <w:tc>
          <w:tcPr>
            <w:tcW w:type="dxa" w:w="7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Un mode Découverte (paramètres essentiels) et un mode Expert (tout : hystérésis, maillage, solveur). Les sections avancées de l’inspecteur sont repliées par défaut.</w:t>
            </w:r>
          </w:p>
        </w:tc>
      </w:tr>
      <w:tr>
        <w:trPr>
          <w:cantSplit/>
        </w:trPr>
        <w:tc>
          <w:tcPr>
            <w:tcW w:type="dxa" w:w="2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Honnêteté scientifique</w:t>
            </w:r>
          </w:p>
        </w:tc>
        <w:tc>
          <w:tcPr>
            <w:tcW w:type="dxa" w:w="7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Unités partout, hypothèses visibles (badge 2D plan, profondeur), indicateur de confiance sur les mesures.</w:t>
            </w:r>
          </w:p>
        </w:tc>
      </w:tr>
      <w:tr>
        <w:trPr>
          <w:cantSplit/>
        </w:trPr>
        <w:tc>
          <w:tcPr>
            <w:tcW w:type="dxa" w:w="2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Le champ est la vedette</w:t>
            </w:r>
          </w:p>
        </w:tc>
        <w:tc>
          <w:tcPr>
            <w:tcW w:type="dxa" w:w="7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Interface sobre et sombre qui s’efface ; la couleur vive est réservée aux données et à la sélection.</w:t>
            </w:r>
          </w:p>
        </w:tc>
      </w:tr>
      <w:tr>
        <w:trPr>
          <w:cantSplit/>
        </w:trPr>
        <w:tc>
          <w:tcPr>
            <w:tcW w:type="dxa" w:w="2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Rien n’est destructif</w:t>
            </w:r>
          </w:p>
        </w:tc>
        <w:tc>
          <w:tcPr>
            <w:tcW w:type="dxa" w:w="7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Annuler/rétablir illimité, sauvegarde automatique, confirmation uniquement pour les actions irréversibles.</w:t>
            </w:r>
          </w:p>
        </w:tc>
      </w:tr>
    </w:tbl>
    <w:p>
      <w:pPr>
        <w:spacing w:after="80" w:before="0" w:line="200"/>
      </w:pPr>
    </w:p>
    <w:p>
      <w:pPr>
        <w:pStyle w:val="Heading2"/>
      </w:pPr>
      <w:bookmarkStart w:name="sec_51" w:id="151"/>
      <w:r>
        <w:rPr>
          <w:color w:val="0369A1"/>
        </w:rPr>
        <w:t xml:space="preserve">7.2  </w:t>
      </w:r>
      <w:r>
        <w:t xml:space="preserve">Disposition de l’écran</w:t>
      </w:r>
      <w:bookmarkEnd w:id="151"/>
    </w:p>
    <w:p>
      <w:pPr>
        <w:keepNext/>
        <w:spacing w:after="60" w:before="60"/>
        <w:jc w:val="center"/>
      </w:pPr>
      <w:r>
        <w:drawing>
          <wp:inline distT="0" distB="0" distL="0" distR="0">
            <wp:extent cx="6096000" cy="3810000"/>
            <wp:effectExtent t="0" r="0" b="0" l="0"/>
            <wp:docPr id="1" name="fig_ui.png" descr="Maquette de l’écran principal en mode sombre. Le champ affiché est issu du calcul du prototype ; les valeurs de l’inspecteur sont cohérentes avec la scèn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b/>
          <w:bCs/>
          <w:color w:val="5B6573"/>
          <w:sz w:val="17"/>
          <w:szCs w:val="17"/>
        </w:rPr>
        <w:t xml:space="preserve">Figure 6 — </w:t>
      </w:r>
      <w:r>
        <w:rPr>
          <w:i/>
          <w:iCs/>
          <w:color w:val="5B6573"/>
          <w:sz w:val="17"/>
          <w:szCs w:val="17"/>
        </w:rPr>
        <w:t xml:space="preserve">Maquette de l’écran principal en mode sombre. Le champ affiché est issu du calcul du prototype ; les valeurs de l’inspecteur sont cohérentes avec la scène.</w:t>
      </w:r>
    </w:p>
    <w:p>
      <w:pPr>
        <w:pStyle w:val="ListParagraph"/>
        <w:numPr>
          <w:ilvl w:val="0"/>
          <w:numId w:val="2"/>
        </w:numPr>
        <w:spacing w:after="60" w:line="276"/>
      </w:pPr>
      <w:r>
        <w:rPr>
          <w:b/>
          <w:bCs/>
        </w:rPr>
        <w:t xml:space="preserve">Barre supérieure</w:t>
      </w:r>
      <w:r>
        <w:t xml:space="preserve"> : nom de la scène, commandes de simulation (lecture, pause, pas à pas, vitesse), recherche de commandes (Ctrl K), unités SI/CGS, annuler/rétablir, partage.</w:t>
      </w:r>
    </w:p>
    <w:p>
      <w:pPr>
        <w:pStyle w:val="ListParagraph"/>
        <w:numPr>
          <w:ilvl w:val="0"/>
          <w:numId w:val="2"/>
        </w:numPr>
        <w:spacing w:after="60" w:line="276"/>
      </w:pPr>
      <w:r>
        <w:rPr>
          <w:b/>
          <w:bCs/>
        </w:rPr>
        <w:t xml:space="preserve">Rail d’outils</w:t>
      </w:r>
      <w:r>
        <w:t xml:space="preserve"> (gauche) : sélection, rectangle, ellipse, polygone, aimant, bobine, matériau, sonde, ligne de coupe, chaleur.</w:t>
      </w:r>
    </w:p>
    <w:p>
      <w:pPr>
        <w:pStyle w:val="ListParagraph"/>
        <w:numPr>
          <w:ilvl w:val="0"/>
          <w:numId w:val="2"/>
        </w:numPr>
        <w:spacing w:after="60" w:line="276"/>
      </w:pPr>
      <w:r>
        <w:rPr>
          <w:b/>
          <w:bCs/>
        </w:rPr>
        <w:t xml:space="preserve">Bibliothèque</w:t>
      </w:r>
      <w:r>
        <w:t xml:space="preserve"> : recherche, filtres par classe magnétique (aimants, ferro, para, dia), cartes de matériaux avec leurs valeurs clés, puis arbre de la scène (visibilité, verrouillage).</w:t>
      </w:r>
    </w:p>
    <w:p>
      <w:pPr>
        <w:pStyle w:val="ListParagraph"/>
        <w:numPr>
          <w:ilvl w:val="0"/>
          <w:numId w:val="2"/>
        </w:numPr>
        <w:spacing w:after="60" w:line="276"/>
      </w:pPr>
      <w:r>
        <w:rPr>
          <w:b/>
          <w:bCs/>
        </w:rPr>
        <w:t xml:space="preserve">Canevas</w:t>
      </w:r>
      <w:r>
        <w:t xml:space="preserve"> : modes de rendu en haut à gauche, contexte physique en haut à droite (vue, gravité, température ambiante), légende de couleurs et zoom en bas.</w:t>
      </w:r>
    </w:p>
    <w:p>
      <w:pPr>
        <w:pStyle w:val="ListParagraph"/>
        <w:numPr>
          <w:ilvl w:val="0"/>
          <w:numId w:val="2"/>
        </w:numPr>
        <w:spacing w:after="60" w:line="276"/>
      </w:pPr>
      <w:r>
        <w:rPr>
          <w:b/>
          <w:bCs/>
        </w:rPr>
        <w:t xml:space="preserve">Inspecteur</w:t>
      </w:r>
      <w:r>
        <w:t xml:space="preserve"> (droite) : géométrie, aimantation (cadran d’angle), matériau, température, mécanique (mobile/fixe, masse, frottement), forces avec jauge de glissement, options d’affichage de l’objet.</w:t>
      </w:r>
    </w:p>
    <w:p>
      <w:pPr>
        <w:pStyle w:val="ListParagraph"/>
        <w:numPr>
          <w:ilvl w:val="0"/>
          <w:numId w:val="2"/>
        </w:numPr>
        <w:spacing w:after="60" w:line="276"/>
      </w:pPr>
      <w:r>
        <w:rPr>
          <w:b/>
          <w:bCs/>
        </w:rPr>
        <w:t xml:space="preserve">Panneau inférieur</w:t>
      </w:r>
      <w:r>
        <w:t xml:space="preserve"> : graphes (ligne de coupe, forces, températures, énergie et inductance).</w:t>
      </w:r>
    </w:p>
    <w:p>
      <w:pPr>
        <w:pStyle w:val="ListParagraph"/>
        <w:numPr>
          <w:ilvl w:val="0"/>
          <w:numId w:val="2"/>
        </w:numPr>
        <w:spacing w:after="60" w:line="276"/>
      </w:pPr>
      <w:r>
        <w:rPr>
          <w:b/>
          <w:bCs/>
        </w:rPr>
        <w:t xml:space="preserve">Barre d’état</w:t>
      </w:r>
      <w:r>
        <w:t xml:space="preserve"> : état du solveur (itérations, résidu, durée), grille, lecture du curseur, images par seconde.</w:t>
      </w:r>
    </w:p>
    <w:p>
      <w:pPr>
        <w:spacing w:after="120" w:before="0" w:line="276"/>
        <w:jc w:val="both"/>
      </w:pPr>
      <w:r>
        <w:t xml:space="preserve">Tous les panneaux sont repliables et ancrables (egui_tiles). La touche Tab masque toute l’interface pour un mode présentation plein écran.</w:t>
      </w:r>
    </w:p>
    <w:p>
      <w:pPr>
        <w:pStyle w:val="Heading2"/>
      </w:pPr>
      <w:bookmarkStart w:name="sec_52" w:id="152"/>
      <w:r>
        <w:rPr>
          <w:color w:val="0369A1"/>
        </w:rPr>
        <w:t xml:space="preserve">7.3  </w:t>
      </w:r>
      <w:r>
        <w:t xml:space="preserve">Gestes et raccourcis</w:t>
      </w:r>
      <w:bookmarkEnd w:id="152"/>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tblHeader/>
        </w:trPr>
        <w:tc>
          <w:tcPr>
            <w:tcW w:type="dxa" w:w="33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Action</w:t>
            </w:r>
          </w:p>
        </w:tc>
        <w:tc>
          <w:tcPr>
            <w:tcW w:type="dxa" w:w="63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Geste ou raccourci</w:t>
            </w:r>
          </w:p>
        </w:tc>
      </w:tr>
      <w:tr>
        <w:trPr>
          <w:cantSplit/>
        </w:trPr>
        <w:tc>
          <w:tcPr>
            <w:tcW w:type="dxa" w:w="3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Déplacer un objet</w:t>
            </w:r>
          </w:p>
        </w:tc>
        <w:tc>
          <w:tcPr>
            <w:tcW w:type="dxa" w:w="6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Glisser (le champ se recalcule en direct)</w:t>
            </w:r>
          </w:p>
        </w:tc>
      </w:tr>
      <w:tr>
        <w:trPr>
          <w:cantSplit/>
        </w:trPr>
        <w:tc>
          <w:tcPr>
            <w:tcW w:type="dxa" w:w="33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Tourner</w:t>
            </w:r>
          </w:p>
        </w:tc>
        <w:tc>
          <w:tcPr>
            <w:tcW w:type="dxa" w:w="6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Poignée ronde au-dessus de la sélection ; Maj : pas de 15°</w:t>
            </w:r>
          </w:p>
        </w:tc>
      </w:tr>
      <w:tr>
        <w:trPr>
          <w:cantSplit/>
        </w:trPr>
        <w:tc>
          <w:tcPr>
            <w:tcW w:type="dxa" w:w="3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Orienter l’aimantation</w:t>
            </w:r>
          </w:p>
        </w:tc>
        <w:tc>
          <w:tcPr>
            <w:tcW w:type="dxa" w:w="6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Tirer la flèche blanche dans l’aimant ; double-clic pour saisir un angle</w:t>
            </w:r>
          </w:p>
        </w:tc>
      </w:tr>
      <w:tr>
        <w:trPr>
          <w:cantSplit/>
        </w:trPr>
        <w:tc>
          <w:tcPr>
            <w:tcW w:type="dxa" w:w="33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Inverser un courant</w:t>
            </w:r>
          </w:p>
        </w:tc>
        <w:tc>
          <w:tcPr>
            <w:tcW w:type="dxa" w:w="6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Clic sur le conducteur (⊙ ↔ ⊗)</w:t>
            </w:r>
          </w:p>
        </w:tc>
      </w:tr>
      <w:tr>
        <w:trPr>
          <w:cantSplit/>
        </w:trPr>
        <w:tc>
          <w:tcPr>
            <w:tcW w:type="dxa" w:w="3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Changer de matériau</w:t>
            </w:r>
          </w:p>
        </w:tc>
        <w:tc>
          <w:tcPr>
            <w:tcW w:type="dxa" w:w="6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Glisser une carte de la bibliothèque sur l’objet (aperçu au survol)</w:t>
            </w:r>
          </w:p>
        </w:tc>
      </w:tr>
      <w:tr>
        <w:trPr>
          <w:cantSplit/>
        </w:trPr>
        <w:tc>
          <w:tcPr>
            <w:tcW w:type="dxa" w:w="33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Dupliquer</w:t>
            </w:r>
          </w:p>
        </w:tc>
        <w:tc>
          <w:tcPr>
            <w:tcW w:type="dxa" w:w="6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Alt + glisser, ou Ctrl D</w:t>
            </w:r>
          </w:p>
        </w:tc>
      </w:tr>
      <w:tr>
        <w:trPr>
          <w:cantSplit/>
        </w:trPr>
        <w:tc>
          <w:tcPr>
            <w:tcW w:type="dxa" w:w="3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Zoom / déplacement de la vue</w:t>
            </w:r>
          </w:p>
        </w:tc>
        <w:tc>
          <w:tcPr>
            <w:tcW w:type="dxa" w:w="6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Molette centrée sur le curseur ; clic milieu ou Espace + glisser</w:t>
            </w:r>
          </w:p>
        </w:tc>
      </w:tr>
      <w:tr>
        <w:trPr>
          <w:cantSplit/>
        </w:trPr>
        <w:tc>
          <w:tcPr>
            <w:tcW w:type="dxa" w:w="33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Cadrer toute la scène</w:t>
            </w:r>
          </w:p>
        </w:tc>
        <w:tc>
          <w:tcPr>
            <w:tcW w:type="dxa" w:w="6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w:t>
            </w:r>
          </w:p>
        </w:tc>
      </w:tr>
      <w:tr>
        <w:trPr>
          <w:cantSplit/>
        </w:trPr>
        <w:tc>
          <w:tcPr>
            <w:tcW w:type="dxa" w:w="3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Outils</w:t>
            </w:r>
          </w:p>
        </w:tc>
        <w:tc>
          <w:tcPr>
            <w:tcW w:type="dxa" w:w="6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V sélection, R rectangle, E ellipse, P polygone, M aimant, C bobine, H sonde, L ligne de coupe</w:t>
            </w:r>
          </w:p>
        </w:tc>
      </w:tr>
      <w:tr>
        <w:trPr>
          <w:cantSplit/>
        </w:trPr>
        <w:tc>
          <w:tcPr>
            <w:tcW w:type="dxa" w:w="33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Modes de rendu</w:t>
            </w:r>
          </w:p>
        </w:tc>
        <w:tc>
          <w:tcPr>
            <w:tcW w:type="dxa" w:w="6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1 lignes, 2 carte, 3 vecteurs, 4 LIC, 5 limaille, 6 boussoles</w:t>
            </w:r>
          </w:p>
        </w:tc>
      </w:tr>
      <w:tr>
        <w:trPr>
          <w:cantSplit/>
        </w:trPr>
        <w:tc>
          <w:tcPr>
            <w:tcW w:type="dxa" w:w="33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Simulation</w:t>
            </w:r>
          </w:p>
        </w:tc>
        <w:tc>
          <w:tcPr>
            <w:tcW w:type="dxa" w:w="63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Espace lecture/pause, point (.) pas à pas</w:t>
            </w:r>
          </w:p>
        </w:tc>
      </w:tr>
      <w:tr>
        <w:trPr>
          <w:cantSplit/>
        </w:trPr>
        <w:tc>
          <w:tcPr>
            <w:tcW w:type="dxa" w:w="33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Commandes</w:t>
            </w:r>
          </w:p>
        </w:tc>
        <w:tc>
          <w:tcPr>
            <w:tcW w:type="dxa" w:w="63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Ctrl K palette de commandes ; Ctrl Z / Ctrl Maj Z annuler/rétablir</w:t>
            </w:r>
          </w:p>
        </w:tc>
      </w:tr>
    </w:tbl>
    <w:p>
      <w:pPr>
        <w:spacing w:after="80" w:before="0" w:line="200"/>
      </w:pPr>
    </w:p>
    <w:p>
      <w:pPr>
        <w:pStyle w:val="Heading2"/>
      </w:pPr>
      <w:bookmarkStart w:name="sec_53" w:id="153"/>
      <w:r>
        <w:rPr>
          <w:color w:val="0369A1"/>
        </w:rPr>
        <w:t xml:space="preserve">7.4  </w:t>
      </w:r>
      <w:r>
        <w:t xml:space="preserve">Inspecteur et bibliothèque</w:t>
      </w:r>
      <w:bookmarkEnd w:id="153"/>
    </w:p>
    <w:p>
      <w:pPr>
        <w:pStyle w:val="ListParagraph"/>
        <w:numPr>
          <w:ilvl w:val="0"/>
          <w:numId w:val="2"/>
        </w:numPr>
        <w:spacing w:after="60" w:line="276"/>
      </w:pPr>
      <w:r>
        <w:rPr>
          <w:b/>
          <w:bCs/>
        </w:rPr>
        <w:t xml:space="preserve">Champs numériques à glissement</w:t>
      </w:r>
      <w:r>
        <w:t xml:space="preserve"> (cliquer-glisser horizontalement pour faire varier la valeur, Maj pour un réglage fin) avec saisie d’expressions et d’unités.</w:t>
      </w:r>
    </w:p>
    <w:p>
      <w:pPr>
        <w:pStyle w:val="ListParagraph"/>
        <w:numPr>
          <w:ilvl w:val="0"/>
          <w:numId w:val="2"/>
        </w:numPr>
        <w:spacing w:after="60" w:line="276"/>
      </w:pPr>
      <w:r>
        <w:rPr>
          <w:b/>
          <w:bCs/>
        </w:rPr>
        <w:t xml:space="preserve">Grandeurs dérivées affichées à côté des réglages</w:t>
      </w:r>
      <w:r>
        <w:t xml:space="preserve"> : la rémanence à la température courante à côté de B</w:t>
      </w:r>
      <w:r>
        <w:rPr>
          <w:vertAlign w:val="subscript"/>
        </w:rPr>
        <w:t xml:space="preserve">r</w:t>
      </w:r>
      <w:r>
        <w:t xml:space="preserve">(20 °C), la masse à côté de la densité, la résistance à côté du nombre de spires.</w:t>
      </w:r>
    </w:p>
    <w:p>
      <w:pPr>
        <w:pStyle w:val="ListParagraph"/>
        <w:numPr>
          <w:ilvl w:val="0"/>
          <w:numId w:val="2"/>
        </w:numPr>
        <w:spacing w:after="60" w:line="276"/>
      </w:pPr>
      <w:r>
        <w:rPr>
          <w:b/>
          <w:bCs/>
        </w:rPr>
        <w:t xml:space="preserve">Animation de toute propriété</w:t>
      </w:r>
      <w:r>
        <w:t xml:space="preserve"> : courbe en fonction du temps (sinus, rampe, impulsion) ou expression, signalée par une petite icône d’horloge.</w:t>
      </w:r>
    </w:p>
    <w:p>
      <w:pPr>
        <w:pStyle w:val="ListParagraph"/>
        <w:numPr>
          <w:ilvl w:val="0"/>
          <w:numId w:val="2"/>
        </w:numPr>
        <w:spacing w:after="60" w:line="276"/>
      </w:pPr>
      <w:r>
        <w:rPr>
          <w:b/>
          <w:bCs/>
        </w:rPr>
        <w:t xml:space="preserve">Couleurs par classe magnétique</w:t>
      </w:r>
      <w:r>
        <w:t xml:space="preserve"> dans la bibliothèque et l’arbre : aimants rouge/bleu, ferro gris acier, para turquoise, dia violet, conducteurs cuivre.</w:t>
      </w:r>
    </w:p>
    <w:p>
      <w:pPr>
        <w:pStyle w:val="ListParagraph"/>
        <w:numPr>
          <w:ilvl w:val="0"/>
          <w:numId w:val="2"/>
        </w:numPr>
        <w:spacing w:after="60" w:line="276"/>
      </w:pPr>
      <w:r>
        <w:rPr>
          <w:b/>
          <w:bCs/>
        </w:rPr>
        <w:t xml:space="preserve">Matériaux utilisateur</w:t>
      </w:r>
      <w:r>
        <w:t xml:space="preserve"> : duplication d’un matériau existant, import d’une courbe B(H) en CSV, aperçu de la courbe dans la carte.</w:t>
      </w:r>
    </w:p>
    <w:p>
      <w:pPr>
        <w:pStyle w:val="Heading2"/>
      </w:pPr>
      <w:bookmarkStart w:name="sec_54" w:id="154"/>
      <w:r>
        <w:rPr>
          <w:color w:val="0369A1"/>
        </w:rPr>
        <w:t xml:space="preserve">7.5  </w:t>
      </w:r>
      <w:r>
        <w:t xml:space="preserve">Direction artistique en mode sombre</w:t>
      </w:r>
      <w:bookmarkEnd w:id="154"/>
    </w:p>
    <w:p>
      <w:pPr>
        <w:spacing w:after="120" w:before="0" w:line="276"/>
        <w:jc w:val="both"/>
      </w:pPr>
      <w:r>
        <w:t xml:space="preserve">Le fond est presque noir et légèrement bleuté pour prolonger les palettes magma/inferno. La hiérarchie passe par des surfaces de plus en plus claires plutôt que par des ombres. La couleur d’accent cyan électrique rappelle le thème et ne sert qu’à la sélection et aux éléments actifs.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300"/>
        <w:gridCol w:w="1300"/>
        <w:gridCol w:w="5338"/>
      </w:tblGrid>
      <w:tr>
        <w:trPr>
          <w:tblHeader/>
        </w:trPr>
        <w:tc>
          <w:tcPr>
            <w:tcW w:type="dxa" w:w="700"/>
            <w:tcBorders>
              <w:top w:val="single" w:color="D5DAE1" w:sz="4"/>
              <w:left w:val="single" w:color="D5DAE1" w:sz="4"/>
              <w:bottom w:val="single" w:color="D5DAE1" w:sz="4"/>
              <w:right w:val="single" w:color="D5DAE1" w:sz="4"/>
            </w:tcBorders>
            <w:shd w:fill="1C2230" w:color="auto" w:val="clear"/>
            <w:tcMar>
              <w:top w:type="dxa" w:w="60"/>
              <w:left w:type="dxa" w:w="100"/>
              <w:bottom w:type="dxa" w:w="60"/>
              <w:right w:type="dxa" w:w="100"/>
            </w:tcMar>
          </w:tcPr>
          <w:p>
            <w:pPr>
              <w:spacing w:after="30" w:line="252"/>
              <w:jc w:val="left"/>
            </w:pPr>
          </w:p>
        </w:tc>
        <w:tc>
          <w:tcPr>
            <w:tcW w:type="dxa" w:w="2300"/>
            <w:tcBorders>
              <w:top w:val="single" w:color="D5DAE1" w:sz="4"/>
              <w:left w:val="single" w:color="D5DAE1" w:sz="4"/>
              <w:bottom w:val="single" w:color="D5DAE1" w:sz="4"/>
              <w:right w:val="single" w:color="D5DAE1" w:sz="4"/>
            </w:tcBorders>
            <w:shd w:fill="1C2230" w:color="auto" w:val="clear"/>
            <w:tcMar>
              <w:top w:type="dxa" w:w="60"/>
              <w:left w:type="dxa" w:w="100"/>
              <w:bottom w:type="dxa" w:w="60"/>
              <w:right w:type="dxa" w:w="100"/>
            </w:tcMar>
          </w:tcPr>
          <w:p>
            <w:pPr>
              <w:spacing w:after="30" w:line="252"/>
              <w:jc w:val="left"/>
            </w:pPr>
            <w:r>
              <w:rPr>
                <w:b/>
                <w:bCs/>
                <w:color w:val="FFFFFF"/>
                <w:sz w:val="17"/>
                <w:szCs w:val="17"/>
              </w:rPr>
              <w:t xml:space="preserve">Rôle</w:t>
            </w:r>
          </w:p>
        </w:tc>
        <w:tc>
          <w:tcPr>
            <w:tcW w:type="dxa" w:w="1300"/>
            <w:tcBorders>
              <w:top w:val="single" w:color="D5DAE1" w:sz="4"/>
              <w:left w:val="single" w:color="D5DAE1" w:sz="4"/>
              <w:bottom w:val="single" w:color="D5DAE1" w:sz="4"/>
              <w:right w:val="single" w:color="D5DAE1" w:sz="4"/>
            </w:tcBorders>
            <w:shd w:fill="1C2230" w:color="auto" w:val="clear"/>
            <w:tcMar>
              <w:top w:type="dxa" w:w="60"/>
              <w:left w:type="dxa" w:w="100"/>
              <w:bottom w:type="dxa" w:w="60"/>
              <w:right w:type="dxa" w:w="100"/>
            </w:tcMar>
          </w:tcPr>
          <w:p>
            <w:pPr>
              <w:spacing w:after="30" w:line="252"/>
              <w:jc w:val="left"/>
            </w:pPr>
            <w:r>
              <w:rPr>
                <w:b/>
                <w:bCs/>
                <w:color w:val="FFFFFF"/>
                <w:sz w:val="17"/>
                <w:szCs w:val="17"/>
              </w:rPr>
              <w:t xml:space="preserve">Valeur</w:t>
            </w:r>
          </w:p>
        </w:tc>
        <w:tc>
          <w:tcPr>
            <w:tcW w:type="dxa" w:w="5338"/>
            <w:tcBorders>
              <w:top w:val="single" w:color="D5DAE1" w:sz="4"/>
              <w:left w:val="single" w:color="D5DAE1" w:sz="4"/>
              <w:bottom w:val="single" w:color="D5DAE1" w:sz="4"/>
              <w:right w:val="single" w:color="D5DAE1" w:sz="4"/>
            </w:tcBorders>
            <w:shd w:fill="1C2230" w:color="auto" w:val="clear"/>
            <w:tcMar>
              <w:top w:type="dxa" w:w="60"/>
              <w:left w:type="dxa" w:w="100"/>
              <w:bottom w:type="dxa" w:w="60"/>
              <w:right w:type="dxa" w:w="100"/>
            </w:tcMar>
          </w:tcPr>
          <w:p>
            <w:pPr>
              <w:spacing w:after="30" w:line="252"/>
              <w:jc w:val="left"/>
            </w:pPr>
            <w:r>
              <w:rPr>
                <w:b/>
                <w:bCs/>
                <w:color w:val="FFFFFF"/>
                <w:sz w:val="17"/>
                <w:szCs w:val="17"/>
              </w:rPr>
              <w:t xml:space="preserve">Usage</w:t>
            </w:r>
          </w:p>
        </w:tc>
      </w:tr>
      <w:tr>
        <w:trPr>
          <w:cantSplit/>
        </w:trPr>
        <w:tc>
          <w:tcPr>
            <w:tcW w:type="dxa" w:w="700"/>
            <w:tcBorders>
              <w:top w:val="single" w:color="D5DAE1" w:sz="4"/>
              <w:left w:val="single" w:color="D5DAE1" w:sz="4"/>
              <w:bottom w:val="single" w:color="D5DAE1" w:sz="4"/>
              <w:right w:val="single" w:color="D5DAE1" w:sz="4"/>
            </w:tcBorders>
            <w:shd w:fill="0E1116" w:color="auto" w:val="clear"/>
          </w:tcPr>
          <w:p/>
        </w:tc>
        <w:tc>
          <w:tcPr>
            <w:tcW w:type="dxa" w:w="2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bCs/>
                <w:sz w:val="17"/>
                <w:szCs w:val="17"/>
              </w:rPr>
              <w:t xml:space="preserve">Fond</w:t>
            </w:r>
          </w:p>
        </w:tc>
        <w:tc>
          <w:tcPr>
            <w:tcW w:type="dxa" w:w="1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#0E1116</w:t>
            </w:r>
          </w:p>
        </w:tc>
        <w:tc>
          <w:tcPr>
            <w:tcW w:type="dxa" w:w="5338"/>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Canevas, fond de l’application</w:t>
            </w:r>
          </w:p>
        </w:tc>
      </w:tr>
      <w:tr>
        <w:trPr>
          <w:cantSplit/>
        </w:trPr>
        <w:tc>
          <w:tcPr>
            <w:tcW w:type="dxa" w:w="700"/>
            <w:tcBorders>
              <w:top w:val="single" w:color="D5DAE1" w:sz="4"/>
              <w:left w:val="single" w:color="D5DAE1" w:sz="4"/>
              <w:bottom w:val="single" w:color="D5DAE1" w:sz="4"/>
              <w:right w:val="single" w:color="D5DAE1" w:sz="4"/>
            </w:tcBorders>
            <w:shd w:fill="161B22" w:color="auto" w:val="clear"/>
          </w:tcPr>
          <w:p/>
        </w:tc>
        <w:tc>
          <w:tcPr>
            <w:tcW w:type="dxa" w:w="2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bCs/>
                <w:sz w:val="17"/>
                <w:szCs w:val="17"/>
              </w:rPr>
              <w:t xml:space="preserve">Surface</w:t>
            </w:r>
          </w:p>
        </w:tc>
        <w:tc>
          <w:tcPr>
            <w:tcW w:type="dxa" w:w="1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#161B22</w:t>
            </w:r>
          </w:p>
        </w:tc>
        <w:tc>
          <w:tcPr>
            <w:tcW w:type="dxa" w:w="5338"/>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Panneaux latéraux, barre supérieure</w:t>
            </w:r>
          </w:p>
        </w:tc>
      </w:tr>
      <w:tr>
        <w:trPr>
          <w:cantSplit/>
        </w:trPr>
        <w:tc>
          <w:tcPr>
            <w:tcW w:type="dxa" w:w="700"/>
            <w:tcBorders>
              <w:top w:val="single" w:color="D5DAE1" w:sz="4"/>
              <w:left w:val="single" w:color="D5DAE1" w:sz="4"/>
              <w:bottom w:val="single" w:color="D5DAE1" w:sz="4"/>
              <w:right w:val="single" w:color="D5DAE1" w:sz="4"/>
            </w:tcBorders>
            <w:shd w:fill="1C2230" w:color="auto" w:val="clear"/>
          </w:tcPr>
          <w:p/>
        </w:tc>
        <w:tc>
          <w:tcPr>
            <w:tcW w:type="dxa" w:w="2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bCs/>
                <w:sz w:val="17"/>
                <w:szCs w:val="17"/>
              </w:rPr>
              <w:t xml:space="preserve">Surface élevée</w:t>
            </w:r>
          </w:p>
        </w:tc>
        <w:tc>
          <w:tcPr>
            <w:tcW w:type="dxa" w:w="1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#1C2230</w:t>
            </w:r>
          </w:p>
        </w:tc>
        <w:tc>
          <w:tcPr>
            <w:tcW w:type="dxa" w:w="5338"/>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Champs de saisie, cartes, menus</w:t>
            </w:r>
          </w:p>
        </w:tc>
      </w:tr>
      <w:tr>
        <w:trPr>
          <w:cantSplit/>
        </w:trPr>
        <w:tc>
          <w:tcPr>
            <w:tcW w:type="dxa" w:w="700"/>
            <w:tcBorders>
              <w:top w:val="single" w:color="D5DAE1" w:sz="4"/>
              <w:left w:val="single" w:color="D5DAE1" w:sz="4"/>
              <w:bottom w:val="single" w:color="D5DAE1" w:sz="4"/>
              <w:right w:val="single" w:color="D5DAE1" w:sz="4"/>
            </w:tcBorders>
            <w:shd w:fill="2A3140" w:color="auto" w:val="clear"/>
          </w:tcPr>
          <w:p/>
        </w:tc>
        <w:tc>
          <w:tcPr>
            <w:tcW w:type="dxa" w:w="2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bCs/>
                <w:sz w:val="17"/>
                <w:szCs w:val="17"/>
              </w:rPr>
              <w:t xml:space="preserve">Bordure</w:t>
            </w:r>
          </w:p>
        </w:tc>
        <w:tc>
          <w:tcPr>
            <w:tcW w:type="dxa" w:w="1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#2A3140</w:t>
            </w:r>
          </w:p>
        </w:tc>
        <w:tc>
          <w:tcPr>
            <w:tcW w:type="dxa" w:w="5338"/>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Séparateurs, contours discrets</w:t>
            </w:r>
          </w:p>
        </w:tc>
      </w:tr>
      <w:tr>
        <w:trPr>
          <w:cantSplit/>
        </w:trPr>
        <w:tc>
          <w:tcPr>
            <w:tcW w:type="dxa" w:w="700"/>
            <w:tcBorders>
              <w:top w:val="single" w:color="D5DAE1" w:sz="4"/>
              <w:left w:val="single" w:color="D5DAE1" w:sz="4"/>
              <w:bottom w:val="single" w:color="D5DAE1" w:sz="4"/>
              <w:right w:val="single" w:color="D5DAE1" w:sz="4"/>
            </w:tcBorders>
            <w:shd w:fill="E6EAF2" w:color="auto" w:val="clear"/>
          </w:tcPr>
          <w:p/>
        </w:tc>
        <w:tc>
          <w:tcPr>
            <w:tcW w:type="dxa" w:w="2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bCs/>
                <w:sz w:val="17"/>
                <w:szCs w:val="17"/>
              </w:rPr>
              <w:t xml:space="preserve">Texte principal</w:t>
            </w:r>
          </w:p>
        </w:tc>
        <w:tc>
          <w:tcPr>
            <w:tcW w:type="dxa" w:w="1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#E6EAF2</w:t>
            </w:r>
          </w:p>
        </w:tc>
        <w:tc>
          <w:tcPr>
            <w:tcW w:type="dxa" w:w="5338"/>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Titres, valeurs</w:t>
            </w:r>
          </w:p>
        </w:tc>
      </w:tr>
      <w:tr>
        <w:trPr>
          <w:cantSplit/>
        </w:trPr>
        <w:tc>
          <w:tcPr>
            <w:tcW w:type="dxa" w:w="700"/>
            <w:tcBorders>
              <w:top w:val="single" w:color="D5DAE1" w:sz="4"/>
              <w:left w:val="single" w:color="D5DAE1" w:sz="4"/>
              <w:bottom w:val="single" w:color="D5DAE1" w:sz="4"/>
              <w:right w:val="single" w:color="D5DAE1" w:sz="4"/>
            </w:tcBorders>
            <w:shd w:fill="9AA4B2" w:color="auto" w:val="clear"/>
          </w:tcPr>
          <w:p/>
        </w:tc>
        <w:tc>
          <w:tcPr>
            <w:tcW w:type="dxa" w:w="2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bCs/>
                <w:sz w:val="17"/>
                <w:szCs w:val="17"/>
              </w:rPr>
              <w:t xml:space="preserve">Texte secondaire</w:t>
            </w:r>
          </w:p>
        </w:tc>
        <w:tc>
          <w:tcPr>
            <w:tcW w:type="dxa" w:w="1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#9AA4B2</w:t>
            </w:r>
          </w:p>
        </w:tc>
        <w:tc>
          <w:tcPr>
            <w:tcW w:type="dxa" w:w="5338"/>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Libellés, légendes</w:t>
            </w:r>
          </w:p>
        </w:tc>
      </w:tr>
      <w:tr>
        <w:trPr>
          <w:cantSplit/>
        </w:trPr>
        <w:tc>
          <w:tcPr>
            <w:tcW w:type="dxa" w:w="700"/>
            <w:tcBorders>
              <w:top w:val="single" w:color="D5DAE1" w:sz="4"/>
              <w:left w:val="single" w:color="D5DAE1" w:sz="4"/>
              <w:bottom w:val="single" w:color="D5DAE1" w:sz="4"/>
              <w:right w:val="single" w:color="D5DAE1" w:sz="4"/>
            </w:tcBorders>
            <w:shd w:fill="38BDF8" w:color="auto" w:val="clear"/>
          </w:tcPr>
          <w:p/>
        </w:tc>
        <w:tc>
          <w:tcPr>
            <w:tcW w:type="dxa" w:w="2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bCs/>
                <w:sz w:val="17"/>
                <w:szCs w:val="17"/>
              </w:rPr>
              <w:t xml:space="preserve">Accent</w:t>
            </w:r>
          </w:p>
        </w:tc>
        <w:tc>
          <w:tcPr>
            <w:tcW w:type="dxa" w:w="1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#38BDF8</w:t>
            </w:r>
          </w:p>
        </w:tc>
        <w:tc>
          <w:tcPr>
            <w:tcW w:type="dxa" w:w="5338"/>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Sélection, outil actif, sonde, liens</w:t>
            </w:r>
          </w:p>
        </w:tc>
      </w:tr>
      <w:tr>
        <w:trPr>
          <w:cantSplit/>
        </w:trPr>
        <w:tc>
          <w:tcPr>
            <w:tcW w:type="dxa" w:w="700"/>
            <w:tcBorders>
              <w:top w:val="single" w:color="D5DAE1" w:sz="4"/>
              <w:left w:val="single" w:color="D5DAE1" w:sz="4"/>
              <w:bottom w:val="single" w:color="D5DAE1" w:sz="4"/>
              <w:right w:val="single" w:color="D5DAE1" w:sz="4"/>
            </w:tcBorders>
            <w:shd w:fill="EF4444" w:color="auto" w:val="clear"/>
          </w:tcPr>
          <w:p/>
        </w:tc>
        <w:tc>
          <w:tcPr>
            <w:tcW w:type="dxa" w:w="2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bCs/>
                <w:sz w:val="17"/>
                <w:szCs w:val="17"/>
              </w:rPr>
              <w:t xml:space="preserve">Pôle Nord</w:t>
            </w:r>
          </w:p>
        </w:tc>
        <w:tc>
          <w:tcPr>
            <w:tcW w:type="dxa" w:w="1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#EF4444</w:t>
            </w:r>
          </w:p>
        </w:tc>
        <w:tc>
          <w:tcPr>
            <w:tcW w:type="dxa" w:w="5338"/>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Toujours accompagné de la lettre N</w:t>
            </w:r>
          </w:p>
        </w:tc>
      </w:tr>
      <w:tr>
        <w:trPr>
          <w:cantSplit/>
        </w:trPr>
        <w:tc>
          <w:tcPr>
            <w:tcW w:type="dxa" w:w="700"/>
            <w:tcBorders>
              <w:top w:val="single" w:color="D5DAE1" w:sz="4"/>
              <w:left w:val="single" w:color="D5DAE1" w:sz="4"/>
              <w:bottom w:val="single" w:color="D5DAE1" w:sz="4"/>
              <w:right w:val="single" w:color="D5DAE1" w:sz="4"/>
            </w:tcBorders>
            <w:shd w:fill="3B82F6" w:color="auto" w:val="clear"/>
          </w:tcPr>
          <w:p/>
        </w:tc>
        <w:tc>
          <w:tcPr>
            <w:tcW w:type="dxa" w:w="2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bCs/>
                <w:sz w:val="17"/>
                <w:szCs w:val="17"/>
              </w:rPr>
              <w:t xml:space="preserve">Pôle Sud</w:t>
            </w:r>
          </w:p>
        </w:tc>
        <w:tc>
          <w:tcPr>
            <w:tcW w:type="dxa" w:w="1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#3B82F6</w:t>
            </w:r>
          </w:p>
        </w:tc>
        <w:tc>
          <w:tcPr>
            <w:tcW w:type="dxa" w:w="5338"/>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Toujours accompagné de la lettre S</w:t>
            </w:r>
          </w:p>
        </w:tc>
      </w:tr>
      <w:tr>
        <w:trPr>
          <w:cantSplit/>
        </w:trPr>
        <w:tc>
          <w:tcPr>
            <w:tcW w:type="dxa" w:w="700"/>
            <w:tcBorders>
              <w:top w:val="single" w:color="D5DAE1" w:sz="4"/>
              <w:left w:val="single" w:color="D5DAE1" w:sz="4"/>
              <w:bottom w:val="single" w:color="D5DAE1" w:sz="4"/>
              <w:right w:val="single" w:color="D5DAE1" w:sz="4"/>
            </w:tcBorders>
            <w:shd w:fill="22C55E" w:color="auto" w:val="clear"/>
          </w:tcPr>
          <w:p/>
        </w:tc>
        <w:tc>
          <w:tcPr>
            <w:tcW w:type="dxa" w:w="2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bCs/>
                <w:sz w:val="17"/>
                <w:szCs w:val="17"/>
              </w:rPr>
              <w:t xml:space="preserve">Succès / force</w:t>
            </w:r>
          </w:p>
        </w:tc>
        <w:tc>
          <w:tcPr>
            <w:tcW w:type="dxa" w:w="1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#22C55E</w:t>
            </w:r>
          </w:p>
        </w:tc>
        <w:tc>
          <w:tcPr>
            <w:tcW w:type="dxa" w:w="5338"/>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Vecteurs de force, état « immobile »</w:t>
            </w:r>
          </w:p>
        </w:tc>
      </w:tr>
      <w:tr>
        <w:trPr>
          <w:cantSplit/>
        </w:trPr>
        <w:tc>
          <w:tcPr>
            <w:tcW w:type="dxa" w:w="700"/>
            <w:tcBorders>
              <w:top w:val="single" w:color="D5DAE1" w:sz="4"/>
              <w:left w:val="single" w:color="D5DAE1" w:sz="4"/>
              <w:bottom w:val="single" w:color="D5DAE1" w:sz="4"/>
              <w:right w:val="single" w:color="D5DAE1" w:sz="4"/>
            </w:tcBorders>
            <w:shd w:fill="F59E0B" w:color="auto" w:val="clear"/>
          </w:tcPr>
          <w:p/>
        </w:tc>
        <w:tc>
          <w:tcPr>
            <w:tcW w:type="dxa" w:w="2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bCs/>
                <w:sz w:val="17"/>
                <w:szCs w:val="17"/>
              </w:rPr>
              <w:t xml:space="preserve">Avertissement / chaleur</w:t>
            </w:r>
          </w:p>
        </w:tc>
        <w:tc>
          <w:tcPr>
            <w:tcW w:type="dxa" w:w="1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#F59E0B</w:t>
            </w:r>
          </w:p>
        </w:tc>
        <w:tc>
          <w:tcPr>
            <w:tcW w:type="dxa" w:w="5338"/>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Température, alertes non bloquantes</w:t>
            </w:r>
          </w:p>
        </w:tc>
      </w:tr>
      <w:tr>
        <w:trPr>
          <w:cantSplit/>
        </w:trPr>
        <w:tc>
          <w:tcPr>
            <w:tcW w:type="dxa" w:w="700"/>
            <w:tcBorders>
              <w:top w:val="single" w:color="D5DAE1" w:sz="4"/>
              <w:left w:val="single" w:color="D5DAE1" w:sz="4"/>
              <w:bottom w:val="single" w:color="D5DAE1" w:sz="4"/>
              <w:right w:val="single" w:color="D5DAE1" w:sz="4"/>
            </w:tcBorders>
            <w:shd w:fill="94A3B8" w:color="auto" w:val="clear"/>
          </w:tcPr>
          <w:p/>
        </w:tc>
        <w:tc>
          <w:tcPr>
            <w:tcW w:type="dxa" w:w="2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bCs/>
                <w:sz w:val="17"/>
                <w:szCs w:val="17"/>
              </w:rPr>
              <w:t xml:space="preserve">Ferromagnétique</w:t>
            </w:r>
          </w:p>
        </w:tc>
        <w:tc>
          <w:tcPr>
            <w:tcW w:type="dxa" w:w="1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#94A3B8</w:t>
            </w:r>
          </w:p>
        </w:tc>
        <w:tc>
          <w:tcPr>
            <w:tcW w:type="dxa" w:w="5338"/>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Pièces de fer, aciers</w:t>
            </w:r>
          </w:p>
        </w:tc>
      </w:tr>
      <w:tr>
        <w:trPr>
          <w:cantSplit/>
        </w:trPr>
        <w:tc>
          <w:tcPr>
            <w:tcW w:type="dxa" w:w="700"/>
            <w:tcBorders>
              <w:top w:val="single" w:color="D5DAE1" w:sz="4"/>
              <w:left w:val="single" w:color="D5DAE1" w:sz="4"/>
              <w:bottom w:val="single" w:color="D5DAE1" w:sz="4"/>
              <w:right w:val="single" w:color="D5DAE1" w:sz="4"/>
            </w:tcBorders>
            <w:shd w:fill="2DD4BF" w:color="auto" w:val="clear"/>
          </w:tcPr>
          <w:p/>
        </w:tc>
        <w:tc>
          <w:tcPr>
            <w:tcW w:type="dxa" w:w="2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bCs/>
                <w:sz w:val="17"/>
                <w:szCs w:val="17"/>
              </w:rPr>
              <w:t xml:space="preserve">Paramagnétique</w:t>
            </w:r>
          </w:p>
        </w:tc>
        <w:tc>
          <w:tcPr>
            <w:tcW w:type="dxa" w:w="1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#2DD4BF</w:t>
            </w:r>
          </w:p>
        </w:tc>
        <w:tc>
          <w:tcPr>
            <w:tcW w:type="dxa" w:w="5338"/>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Aluminium, platine, oxygène liquide</w:t>
            </w:r>
          </w:p>
        </w:tc>
      </w:tr>
      <w:tr>
        <w:trPr>
          <w:cantSplit/>
        </w:trPr>
        <w:tc>
          <w:tcPr>
            <w:tcW w:type="dxa" w:w="700"/>
            <w:tcBorders>
              <w:top w:val="single" w:color="D5DAE1" w:sz="4"/>
              <w:left w:val="single" w:color="D5DAE1" w:sz="4"/>
              <w:bottom w:val="single" w:color="D5DAE1" w:sz="4"/>
              <w:right w:val="single" w:color="D5DAE1" w:sz="4"/>
            </w:tcBorders>
            <w:shd w:fill="A78BFA" w:color="auto" w:val="clear"/>
          </w:tcPr>
          <w:p/>
        </w:tc>
        <w:tc>
          <w:tcPr>
            <w:tcW w:type="dxa" w:w="2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bCs/>
                <w:sz w:val="17"/>
                <w:szCs w:val="17"/>
              </w:rPr>
              <w:t xml:space="preserve">Diamagnétique</w:t>
            </w:r>
          </w:p>
        </w:tc>
        <w:tc>
          <w:tcPr>
            <w:tcW w:type="dxa" w:w="1300"/>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#A78BFA</w:t>
            </w:r>
          </w:p>
        </w:tc>
        <w:tc>
          <w:tcPr>
            <w:tcW w:type="dxa" w:w="5338"/>
            <w:tcBorders>
              <w:top w:val="single" w:color="D5DAE1" w:sz="4"/>
              <w:left w:val="single" w:color="D5DAE1" w:sz="4"/>
              <w:bottom w:val="single" w:color="D5DAE1" w:sz="4"/>
              <w:right w:val="single" w:color="D5DAE1" w:sz="4"/>
            </w:tcBorders>
            <w:tcMar>
              <w:top w:type="dxa" w:w="50"/>
              <w:left w:type="dxa" w:w="100"/>
              <w:bottom w:type="dxa" w:w="50"/>
              <w:right w:type="dxa" w:w="100"/>
            </w:tcMar>
            <w:vAlign w:val="center"/>
          </w:tcPr>
          <w:p>
            <w:pPr>
              <w:spacing w:after="30" w:line="252"/>
              <w:jc w:val="left"/>
            </w:pPr>
            <w:r>
              <w:rPr>
                <w:b w:val="false"/>
                <w:bCs w:val="false"/>
                <w:sz w:val="17"/>
                <w:szCs w:val="17"/>
              </w:rPr>
              <w:t xml:space="preserve">Bismuth, graphite, cuivre (classe)</w:t>
            </w:r>
          </w:p>
        </w:tc>
      </w:tr>
    </w:tbl>
    <w:p>
      <w:pPr>
        <w:spacing w:after="100" w:before="0" w:line="200"/>
      </w:pPr>
    </w:p>
    <w:p>
      <w:pPr>
        <w:pStyle w:val="ListParagraph"/>
        <w:numPr>
          <w:ilvl w:val="0"/>
          <w:numId w:val="2"/>
        </w:numPr>
        <w:spacing w:after="60" w:line="276"/>
      </w:pPr>
      <w:r>
        <w:rPr>
          <w:b/>
          <w:bCs/>
        </w:rPr>
        <w:t xml:space="preserve">Typographie</w:t>
      </w:r>
      <w:r>
        <w:t xml:space="preserve"> : Inter pour l’interface, JetBrains Mono (chiffres tabulaires) pour les valeurs numériques ; polices embarquées (licence OFL). Corps de base 13 px, libellés 11 px, titres 16 px.</w:t>
      </w:r>
    </w:p>
    <w:p>
      <w:pPr>
        <w:pStyle w:val="ListParagraph"/>
        <w:numPr>
          <w:ilvl w:val="0"/>
          <w:numId w:val="2"/>
        </w:numPr>
        <w:spacing w:after="60" w:line="276"/>
      </w:pPr>
      <w:r>
        <w:rPr>
          <w:b/>
          <w:bCs/>
        </w:rPr>
        <w:t xml:space="preserve">Grille</w:t>
      </w:r>
      <w:r>
        <w:t xml:space="preserve"> de 4 px, rayons de 6 à 8 px, icônes au trait homogène (Phosphor ou Lucide).</w:t>
      </w:r>
    </w:p>
    <w:p>
      <w:pPr>
        <w:pStyle w:val="ListParagraph"/>
        <w:numPr>
          <w:ilvl w:val="0"/>
          <w:numId w:val="2"/>
        </w:numPr>
        <w:spacing w:after="60" w:line="276"/>
      </w:pPr>
      <w:r>
        <w:rPr>
          <w:b/>
          <w:bCs/>
        </w:rPr>
        <w:t xml:space="preserve">Lignes de champ</w:t>
      </w:r>
      <w:r>
        <w:t xml:space="preserve"> blanc légèrement bleuté (#DCEBFF), 0,6 à 1 px, avec une option de halo additif.</w:t>
      </w:r>
    </w:p>
    <w:p>
      <w:pPr>
        <w:pStyle w:val="ListParagraph"/>
        <w:numPr>
          <w:ilvl w:val="0"/>
          <w:numId w:val="2"/>
        </w:numPr>
        <w:spacing w:after="60" w:line="276"/>
      </w:pPr>
      <w:r>
        <w:rPr>
          <w:b/>
          <w:bCs/>
        </w:rPr>
        <w:t xml:space="preserve">Thème clair</w:t>
      </w:r>
      <w:r>
        <w:t xml:space="preserve"> disponible pour l’impression et l’accessibilité, mais le sombre est le défaut.</w:t>
      </w:r>
    </w:p>
    <w:p>
      <w:pPr>
        <w:pStyle w:val="Heading2"/>
      </w:pPr>
      <w:bookmarkStart w:name="sec_55" w:id="155"/>
      <w:r>
        <w:rPr>
          <w:color w:val="0369A1"/>
        </w:rPr>
        <w:t xml:space="preserve">7.6  </w:t>
      </w:r>
      <w:r>
        <w:t xml:space="preserve">Fluidité</w:t>
      </w:r>
      <w:bookmarkEnd w:id="155"/>
    </w:p>
    <w:p>
      <w:pPr>
        <w:pStyle w:val="ListParagraph"/>
        <w:numPr>
          <w:ilvl w:val="0"/>
          <w:numId w:val="2"/>
        </w:numPr>
        <w:spacing w:after="60" w:line="276"/>
      </w:pPr>
      <w:r>
        <w:rPr>
          <w:b/>
          <w:bCs/>
        </w:rPr>
        <w:t xml:space="preserve">60 à 144 images/s</w:t>
      </w:r>
      <w:r>
        <w:t xml:space="preserve"> ; latence d’entrée inférieure à une image.</w:t>
      </w:r>
    </w:p>
    <w:p>
      <w:pPr>
        <w:pStyle w:val="ListParagraph"/>
        <w:numPr>
          <w:ilvl w:val="0"/>
          <w:numId w:val="2"/>
        </w:numPr>
        <w:spacing w:after="60" w:line="276"/>
      </w:pPr>
      <w:r>
        <w:rPr>
          <w:b/>
          <w:bCs/>
        </w:rPr>
        <w:t xml:space="preserve">Résolution progressive</w:t>
      </w:r>
      <w:r>
        <w:t xml:space="preserve"> : 512² pendant le geste, 1024² dès le relâchement, 2048² au repos si demandé, avec fondu enchaîné entre deux solutions pour éviter les sauts.</w:t>
      </w:r>
    </w:p>
    <w:p>
      <w:pPr>
        <w:pStyle w:val="ListParagraph"/>
        <w:numPr>
          <w:ilvl w:val="0"/>
          <w:numId w:val="2"/>
        </w:numPr>
        <w:spacing w:after="60" w:line="276"/>
      </w:pPr>
      <w:r>
        <w:rPr>
          <w:b/>
          <w:bCs/>
        </w:rPr>
        <w:t xml:space="preserve">Lignes stables</w:t>
      </w:r>
      <w:r>
        <w:t xml:space="preserve"> : le pas ΔA reste fixe pendant un geste pour que les lignes ne « scintillent » pas.</w:t>
      </w:r>
    </w:p>
    <w:p>
      <w:pPr>
        <w:pStyle w:val="ListParagraph"/>
        <w:numPr>
          <w:ilvl w:val="0"/>
          <w:numId w:val="2"/>
        </w:numPr>
        <w:spacing w:after="60" w:line="276"/>
      </w:pPr>
      <w:r>
        <w:rPr>
          <w:b/>
          <w:bCs/>
        </w:rPr>
        <w:t xml:space="preserve">Animations courtes</w:t>
      </w:r>
      <w:r>
        <w:t xml:space="preserve"> (120 à 200 ms, sortie amortie) pour les panneaux ; ressorts pour l’aimantation à la grille.</w:t>
      </w:r>
    </w:p>
    <w:p>
      <w:pPr>
        <w:pStyle w:val="ListParagraph"/>
        <w:numPr>
          <w:ilvl w:val="0"/>
          <w:numId w:val="2"/>
        </w:numPr>
        <w:spacing w:after="60" w:line="276"/>
      </w:pPr>
      <w:r>
        <w:rPr>
          <w:b/>
          <w:bCs/>
        </w:rPr>
        <w:t xml:space="preserve">Jamais de gel</w:t>
      </w:r>
      <w:r>
        <w:t xml:space="preserve"> : calcul asynchrone, dernier résultat affiché, indicateur discret si le calcul prend du retard.</w:t>
      </w:r>
    </w:p>
    <w:p>
      <w:pPr>
        <w:pStyle w:val="Heading2"/>
      </w:pPr>
      <w:bookmarkStart w:name="sec_56" w:id="156"/>
      <w:r>
        <w:rPr>
          <w:color w:val="0369A1"/>
        </w:rPr>
        <w:t xml:space="preserve">7.7  </w:t>
      </w:r>
      <w:r>
        <w:t xml:space="preserve">Prise en main et pédagogie</w:t>
      </w:r>
      <w:bookmarkEnd w:id="156"/>
    </w:p>
    <w:p>
      <w:pPr>
        <w:pStyle w:val="ListParagraph"/>
        <w:numPr>
          <w:ilvl w:val="0"/>
          <w:numId w:val="2"/>
        </w:numPr>
        <w:spacing w:after="60" w:line="276"/>
      </w:pPr>
      <w:r>
        <w:rPr>
          <w:b/>
          <w:bCs/>
        </w:rPr>
        <w:t xml:space="preserve">Écran d’accueil</w:t>
      </w:r>
      <w:r>
        <w:t xml:space="preserve"> : cartes de scènes d’exemple avec vignettes, scènes récentes, bouton « scène vide ».</w:t>
      </w:r>
    </w:p>
    <w:p>
      <w:pPr>
        <w:pStyle w:val="ListParagraph"/>
        <w:numPr>
          <w:ilvl w:val="0"/>
          <w:numId w:val="2"/>
        </w:numPr>
        <w:spacing w:after="60" w:line="276"/>
      </w:pPr>
      <w:r>
        <w:rPr>
          <w:b/>
          <w:bCs/>
        </w:rPr>
        <w:t xml:space="preserve">Tutoriel interactif de 2 minutes</w:t>
      </w:r>
      <w:r>
        <w:t xml:space="preserve"> : poser un aimant, ajouter une plaque de fer, mesurer la force, la faire glisser.</w:t>
      </w:r>
    </w:p>
    <w:p>
      <w:pPr>
        <w:pStyle w:val="ListParagraph"/>
        <w:numPr>
          <w:ilvl w:val="0"/>
          <w:numId w:val="2"/>
        </w:numPr>
        <w:spacing w:after="60" w:line="276"/>
      </w:pPr>
      <w:r>
        <w:rPr>
          <w:b/>
          <w:bCs/>
        </w:rPr>
        <w:t xml:space="preserve">Bouton « ? » contextuel</w:t>
      </w:r>
      <w:r>
        <w:t xml:space="preserve"> sur chaque grandeur : définition, formule utilisée, ordre de grandeur, référence.</w:t>
      </w:r>
    </w:p>
    <w:p>
      <w:pPr>
        <w:pStyle w:val="ListParagraph"/>
        <w:numPr>
          <w:ilvl w:val="0"/>
          <w:numId w:val="2"/>
        </w:numPr>
        <w:spacing w:after="60" w:line="276"/>
      </w:pPr>
      <w:r>
        <w:rPr>
          <w:b/>
          <w:bCs/>
        </w:rPr>
        <w:t xml:space="preserve">Mode explication</w:t>
      </w:r>
      <w:r>
        <w:t xml:space="preserve"> : étiquettes superposées sur le canevas (pôles, zones saturées, lignes de flux).</w:t>
      </w:r>
    </w:p>
    <w:p>
      <w:pPr>
        <w:pStyle w:val="ListParagraph"/>
        <w:numPr>
          <w:ilvl w:val="0"/>
          <w:numId w:val="2"/>
        </w:numPr>
        <w:spacing w:after="60" w:line="276"/>
      </w:pPr>
      <w:r>
        <w:rPr>
          <w:b/>
          <w:bCs/>
        </w:rPr>
        <w:t xml:space="preserve">Canevas vide accueillant</w:t>
      </w:r>
      <w:r>
        <w:t xml:space="preserve"> : suggestions d’actions et raccourcis plutôt qu’une zone noire muette.</w:t>
      </w:r>
    </w:p>
    <w:p>
      <w:pPr>
        <w:pStyle w:val="Heading2"/>
      </w:pPr>
      <w:bookmarkStart w:name="sec_57" w:id="157"/>
      <w:r>
        <w:rPr>
          <w:color w:val="0369A1"/>
        </w:rPr>
        <w:t xml:space="preserve">7.8  </w:t>
      </w:r>
      <w:r>
        <w:t xml:space="preserve">Accessibilité et langues</w:t>
      </w:r>
      <w:bookmarkEnd w:id="157"/>
    </w:p>
    <w:p>
      <w:pPr>
        <w:pStyle w:val="ListParagraph"/>
        <w:numPr>
          <w:ilvl w:val="0"/>
          <w:numId w:val="2"/>
        </w:numPr>
        <w:spacing w:after="60" w:line="276"/>
      </w:pPr>
      <w:r>
        <w:t xml:space="preserve">Navigation complète au clavier ; intégration AccessKit d’egui pour les lecteurs d’écran.</w:t>
      </w:r>
    </w:p>
    <w:p>
      <w:pPr>
        <w:pStyle w:val="ListParagraph"/>
        <w:numPr>
          <w:ilvl w:val="0"/>
          <w:numId w:val="2"/>
        </w:numPr>
        <w:spacing w:after="60" w:line="276"/>
      </w:pPr>
      <w:r>
        <w:t xml:space="preserve">Échelle de l’interface de 75 à 200 % ; option « réduire les animations ».</w:t>
      </w:r>
    </w:p>
    <w:p>
      <w:pPr>
        <w:pStyle w:val="ListParagraph"/>
        <w:numPr>
          <w:ilvl w:val="0"/>
          <w:numId w:val="2"/>
        </w:numPr>
        <w:spacing w:after="60" w:line="276"/>
      </w:pPr>
      <w:r>
        <w:t xml:space="preserve">Palettes adaptées au daltonisme et encodage redondant (lettres N/S, motifs, étiquettes).</w:t>
      </w:r>
    </w:p>
    <w:p>
      <w:pPr>
        <w:pStyle w:val="ListParagraph"/>
        <w:numPr>
          <w:ilvl w:val="0"/>
          <w:numId w:val="2"/>
        </w:numPr>
        <w:spacing w:after="60" w:line="276"/>
      </w:pPr>
      <w:r>
        <w:t xml:space="preserve">Interface en français et en anglais (fluent) ; format des nombres selon la langue (virgule décimale en français).</w:t>
      </w:r>
    </w:p>
    <w:p>
      <w:pPr>
        <w:pStyle w:val="Heading1"/>
        <w:pageBreakBefore/>
      </w:pPr>
      <w:bookmarkStart w:name="sec_58" w:id="158"/>
      <w:r>
        <w:rPr>
          <w:color w:val="0369A1"/>
        </w:rPr>
        <w:t xml:space="preserve">8  </w:t>
      </w:r>
      <w:r>
        <w:t xml:space="preserve">Feuille de route</w:t>
      </w:r>
      <w:bookmarkEnd w:id="158"/>
    </w:p>
    <w:p>
      <w:pPr>
        <w:spacing w:after="120" w:before="0" w:line="276"/>
        <w:jc w:val="both"/>
      </w:pPr>
      <w:r>
        <w:t xml:space="preserve">Chaque phase se termine par des critères de sortie mesurables. L’effort est indiqué de façon relative (S &lt; M &lt; L &lt; XL) ; il sera chiffré après la phase 0, qui sert précisément à lever les incertitudes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700"/>
        <w:gridCol w:w="3138"/>
        <w:gridCol w:w="800"/>
      </w:tblGrid>
      <w:tr>
        <w:trPr>
          <w:tblHeader/>
        </w:trPr>
        <w:tc>
          <w:tcPr>
            <w:tcW w:type="dxa" w:w="20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Phase</w:t>
            </w:r>
          </w:p>
        </w:tc>
        <w:tc>
          <w:tcPr>
            <w:tcW w:type="dxa" w:w="37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Contenu</w:t>
            </w:r>
          </w:p>
        </w:tc>
        <w:tc>
          <w:tcPr>
            <w:tcW w:type="dxa" w:w="31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Critères de sortie</w:t>
            </w:r>
          </w:p>
        </w:tc>
        <w:tc>
          <w:tcPr>
            <w:tcW w:type="dxa" w:w="8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Effort</w:t>
            </w:r>
          </w:p>
        </w:tc>
      </w:tr>
      <w:tr>
        <w:trPr>
          <w:cantSplit/>
        </w:trPr>
        <w:tc>
          <w:tcPr>
            <w:tcW w:type="dxa" w:w="2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0 · Prototype de risque</w:t>
            </w:r>
          </w:p>
        </w:tc>
        <w:tc>
          <w:tcPr>
            <w:tcW w:type="dxa" w:w="3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Solveur MG-PCG en compute wgpu sur grille 1024², un aimant, une plaque de fer, un fil ; rendu des isolignes ; solveur CPU f64 de référence ; cas analytiques</w:t>
            </w:r>
          </w:p>
        </w:tc>
        <w:tc>
          <w:tcPr>
            <w:tcW w:type="dxa" w:w="31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Moins de 8 ms par calcul avec reprise ; erreur &lt; 1 % sur 3 cas analytiques ; résultats identiques au prototype Python</w:t>
            </w:r>
          </w:p>
        </w:tc>
        <w:tc>
          <w:tcPr>
            <w:tcW w:type="dxa" w:w="8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M</w:t>
            </w:r>
          </w:p>
        </w:tc>
      </w:tr>
      <w:tr>
        <w:trPr>
          <w:cantSplit/>
        </w:trPr>
        <w:tc>
          <w:tcPr>
            <w:tcW w:type="dxa" w:w="2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6"/>
                <w:szCs w:val="16"/>
              </w:rPr>
              <w:t xml:space="preserve">1 · Éditeur minimal</w:t>
            </w:r>
          </w:p>
        </w:tc>
        <w:tc>
          <w:tcPr>
            <w:tcW w:type="dxa" w:w="3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Formes, aimants, fils et bobines en continu, matériaux linéaires, lignes + carte + vecteurs, sonde, ligne de coupe, sauvegarde, annuler/rétablir, thème sombre</w:t>
            </w:r>
          </w:p>
        </w:tc>
        <w:tc>
          <w:tcPr>
            <w:tcW w:type="dxa" w:w="31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Un nouvel utilisateur construit une scène en moins de 2 min sans aide ; 60 images/s en 1080p</w:t>
            </w:r>
          </w:p>
        </w:tc>
        <w:tc>
          <w:tcPr>
            <w:tcW w:type="dxa" w:w="8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L</w:t>
            </w:r>
          </w:p>
        </w:tc>
      </w:tr>
      <w:tr>
        <w:trPr>
          <w:cantSplit/>
        </w:trPr>
        <w:tc>
          <w:tcPr>
            <w:tcW w:type="dxa" w:w="2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2 · Matériaux réels et forces</w:t>
            </w:r>
          </w:p>
        </w:tc>
        <w:tc>
          <w:tcPr>
            <w:tcW w:type="dxa" w:w="3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B(H) non linéaire, saturation, bibliothèque, forces et couples, Rapier, frottement statique/dynamique, vues de dessus et de côté, température (lois section 2.5)</w:t>
            </w:r>
          </w:p>
        </w:tc>
        <w:tc>
          <w:tcPr>
            <w:tcW w:type="dxa" w:w="31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Forces &lt; 3 % d’écart avec FEMM ; seuil de démarrage d’une bille conforme au calcul à 5 % près</w:t>
            </w:r>
          </w:p>
        </w:tc>
        <w:tc>
          <w:tcPr>
            <w:tcW w:type="dxa" w:w="8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L</w:t>
            </w:r>
          </w:p>
        </w:tc>
      </w:tr>
      <w:tr>
        <w:trPr>
          <w:cantSplit/>
        </w:trPr>
        <w:tc>
          <w:tcPr>
            <w:tcW w:type="dxa" w:w="2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6"/>
                <w:szCs w:val="16"/>
              </w:rPr>
              <w:t xml:space="preserve">3 · Profondeur</w:t>
            </w:r>
          </w:p>
        </w:tc>
        <w:tc>
          <w:tcPr>
            <w:tcW w:type="dxa" w:w="3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Hystérésis Jiles–Atherton, magnétiseur, thermique et effet Joule, circuits à tension imposée et AC, LIC, particules, limaille, boussoles, graphes, balayages, exports, méthode de James, scènes d’exemple, tutoriel</w:t>
            </w:r>
          </w:p>
        </w:tc>
        <w:tc>
          <w:tcPr>
            <w:tcW w:type="dxa" w:w="31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Toutes les scènes d’exemple fonctionnent et servent de tests de non-régression</w:t>
            </w:r>
          </w:p>
        </w:tc>
        <w:tc>
          <w:tcPr>
            <w:tcW w:type="dxa" w:w="8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XL</w:t>
            </w:r>
          </w:p>
        </w:tc>
      </w:tr>
      <w:tr>
        <w:trPr>
          <w:cantSplit/>
        </w:trPr>
        <w:tc>
          <w:tcPr>
            <w:tcW w:type="dxa" w:w="20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6"/>
                <w:szCs w:val="16"/>
              </w:rPr>
              <w:t xml:space="preserve">4 · Dynamique et extensions</w:t>
            </w:r>
          </w:p>
        </w:tc>
        <w:tc>
          <w:tcPr>
            <w:tcW w:type="dxa" w:w="3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Courants de Foucault, mode axisymétrique, supraconducteurs, grilles imbriquées et raffinement au contact, version web (WASM + WebGPU)</w:t>
            </w:r>
          </w:p>
        </w:tc>
        <w:tc>
          <w:tcPr>
            <w:tcW w:type="dxa" w:w="31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Tube de cuivre : vitesse limite à 5 % d’une référence ; solénoïde axisymétrique &lt; 1 %</w:t>
            </w:r>
          </w:p>
        </w:tc>
        <w:tc>
          <w:tcPr>
            <w:tcW w:type="dxa" w:w="8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L</w:t>
            </w:r>
          </w:p>
        </w:tc>
      </w:tr>
      <w:tr>
        <w:trPr>
          <w:cantSplit/>
        </w:trPr>
        <w:tc>
          <w:tcPr>
            <w:tcW w:type="dxa" w:w="20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6"/>
                <w:szCs w:val="16"/>
              </w:rPr>
              <w:t xml:space="preserve">5 · 3D</w:t>
            </w:r>
          </w:p>
        </w:tc>
        <w:tc>
          <w:tcPr>
            <w:tcW w:type="dxa" w:w="3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Grille 3D (FIT ou potentiels scalaires), multigrille 3D, lignes par intégration, édition 3D avec manipulateurs, rapier3d, plans de coupe réutilisant les vues 2D</w:t>
            </w:r>
          </w:p>
        </w:tc>
        <w:tc>
          <w:tcPr>
            <w:tcW w:type="dxa" w:w="31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Scène aimant + fer à 30 images/s sur grille 128³ ; validation contre solutions analytiques 3D</w:t>
            </w:r>
          </w:p>
        </w:tc>
        <w:tc>
          <w:tcPr>
            <w:tcW w:type="dxa" w:w="8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XL</w:t>
            </w:r>
          </w:p>
        </w:tc>
      </w:tr>
    </w:tbl>
    <w:p>
      <w:pPr>
        <w:spacing w:after="80" w:before="0" w:line="200"/>
      </w:pPr>
    </w:p>
    <w:p>
      <w:pPr>
        <w:pStyle w:val="Heading1"/>
        <w:pageBreakBefore/>
      </w:pPr>
      <w:bookmarkStart w:name="sec_59" w:id="159"/>
      <w:r>
        <w:rPr>
          <w:color w:val="0369A1"/>
        </w:rPr>
        <w:t xml:space="preserve">9  </w:t>
      </w:r>
      <w:r>
        <w:t xml:space="preserve">Risques et parades</w:t>
      </w:r>
      <w:bookmarkEnd w:id="159"/>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200"/>
        <w:gridCol w:w="4238"/>
      </w:tblGrid>
      <w:tr>
        <w:trPr>
          <w:tblHeader/>
        </w:trPr>
        <w:tc>
          <w:tcPr>
            <w:tcW w:type="dxa" w:w="32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Risque</w:t>
            </w:r>
          </w:p>
        </w:tc>
        <w:tc>
          <w:tcPr>
            <w:tcW w:type="dxa" w:w="22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Impact</w:t>
            </w:r>
          </w:p>
        </w:tc>
        <w:tc>
          <w:tcPr>
            <w:tcW w:type="dxa" w:w="42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6"/>
                <w:szCs w:val="16"/>
              </w:rPr>
              <w:t xml:space="preserve">Parade</w:t>
            </w:r>
          </w:p>
        </w:tc>
      </w:tr>
      <w:tr>
        <w:trPr>
          <w:cantSplit/>
        </w:trPr>
        <w:tc>
          <w:tcPr>
            <w:tcW w:type="dxa" w:w="3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Convergence multigrille dégradée par les contrastes de μ</w:t>
            </w:r>
            <w:r>
              <w:rPr>
                <w:b w:val="false"/>
                <w:bCs w:val="false"/>
                <w:sz w:val="16"/>
                <w:szCs w:val="16"/>
                <w:vertAlign w:val="subscript"/>
              </w:rPr>
              <w:t xml:space="preserve">r</w:t>
            </w:r>
            <w:r>
              <w:rPr>
                <w:b w:val="false"/>
                <w:bCs w:val="false"/>
                <w:sz w:val="16"/>
                <w:szCs w:val="16"/>
              </w:rPr>
              <w:t xml:space="preserve"> (10⁴ à 10⁵)</w:t>
            </w:r>
          </w:p>
        </w:tc>
        <w:tc>
          <w:tcPr>
            <w:tcW w:type="dxa" w:w="2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Calcul lent ou instable</w:t>
            </w:r>
          </w:p>
        </w:tc>
        <w:tc>
          <w:tcPr>
            <w:tcW w:type="dxa" w:w="42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Multigrille en préconditionneur de gradient conjugué, opérateurs de Galerkin, repli « boîte noire » ; testé dès la phase 0</w:t>
            </w:r>
          </w:p>
        </w:tc>
      </w:tr>
      <w:tr>
        <w:trPr>
          <w:cantSplit/>
        </w:trPr>
        <w:tc>
          <w:tcPr>
            <w:tcW w:type="dxa" w:w="3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Précision f32 insuffisante</w:t>
            </w:r>
          </w:p>
        </w:tc>
        <w:tc>
          <w:tcPr>
            <w:tcW w:type="dxa" w:w="2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Forces bruitées, para/dia invisibles</w:t>
            </w:r>
          </w:p>
        </w:tc>
        <w:tc>
          <w:tcPr>
            <w:tcW w:type="dxa" w:w="42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Traitement perturbatif, sommes compensées, référence CPU f64</w:t>
            </w:r>
          </w:p>
        </w:tc>
      </w:tr>
      <w:tr>
        <w:trPr>
          <w:cantSplit/>
        </w:trPr>
        <w:tc>
          <w:tcPr>
            <w:tcW w:type="dxa" w:w="3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Forces au contact (entrefer &lt; 1 cellule)</w:t>
            </w:r>
          </w:p>
        </w:tc>
        <w:tc>
          <w:tcPr>
            <w:tcW w:type="dxa" w:w="2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Valeurs dépendant de la résolution</w:t>
            </w:r>
          </w:p>
        </w:tc>
        <w:tc>
          <w:tcPr>
            <w:tcW w:type="dxa" w:w="42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Épaisseur minimale de contact, raffinement local, indicateur de confiance</w:t>
            </w:r>
          </w:p>
        </w:tc>
      </w:tr>
      <w:tr>
        <w:trPr>
          <w:cantSplit/>
        </w:trPr>
        <w:tc>
          <w:tcPr>
            <w:tcW w:type="dxa" w:w="3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Instabilité du couplage mécanique (attraction en 1/d</w:t>
            </w:r>
            <w:r>
              <w:rPr>
                <w:b w:val="false"/>
                <w:bCs w:val="false"/>
                <w:sz w:val="16"/>
                <w:szCs w:val="16"/>
                <w:vertAlign w:val="superscript"/>
              </w:rPr>
              <w:t xml:space="preserve">n</w:t>
            </w:r>
            <w:r>
              <w:rPr>
                <w:b w:val="false"/>
                <w:bCs w:val="false"/>
                <w:sz w:val="16"/>
                <w:szCs w:val="16"/>
              </w:rPr>
              <w:t xml:space="preserve">)</w:t>
            </w:r>
          </w:p>
        </w:tc>
        <w:tc>
          <w:tcPr>
            <w:tcW w:type="dxa" w:w="2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Rebonds irréalistes, objets qui se traversent</w:t>
            </w:r>
          </w:p>
        </w:tc>
        <w:tc>
          <w:tcPr>
            <w:tcW w:type="dxa" w:w="42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Recalcul adaptatif du champ, limite de déplacement par pas, détection continue des collisions</w:t>
            </w:r>
          </w:p>
        </w:tc>
      </w:tr>
      <w:tr>
        <w:trPr>
          <w:cantSplit/>
        </w:trPr>
        <w:tc>
          <w:tcPr>
            <w:tcW w:type="dxa" w:w="3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Confusion 2D/3D chez l’utilisateur</w:t>
            </w:r>
          </w:p>
        </w:tc>
        <w:tc>
          <w:tcPr>
            <w:tcW w:type="dxa" w:w="2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Mauvaise interprétation des chiffres</w:t>
            </w:r>
          </w:p>
        </w:tc>
        <w:tc>
          <w:tcPr>
            <w:tcW w:type="dxa" w:w="42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Badge permanent, profondeur explicite, mode axisymétrique, documentation intégrée</w:t>
            </w:r>
          </w:p>
        </w:tc>
      </w:tr>
      <w:tr>
        <w:trPr>
          <w:cantSplit/>
        </w:trPr>
        <w:tc>
          <w:tcPr>
            <w:tcW w:type="dxa" w:w="3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Évolutions d’API (wgpu, egui)</w:t>
            </w:r>
          </w:p>
        </w:tc>
        <w:tc>
          <w:tcPr>
            <w:tcW w:type="dxa" w:w="2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Maintenance</w:t>
            </w:r>
          </w:p>
        </w:tc>
        <w:tc>
          <w:tcPr>
            <w:tcW w:type="dxa" w:w="42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Versions figées, dépendances isolées dans des crates minces, montée de version trimestrielle</w:t>
            </w:r>
          </w:p>
        </w:tc>
      </w:tr>
      <w:tr>
        <w:trPr>
          <w:cantSplit/>
        </w:trPr>
        <w:tc>
          <w:tcPr>
            <w:tcW w:type="dxa" w:w="3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Apparence « egui générique »</w:t>
            </w:r>
          </w:p>
        </w:tc>
        <w:tc>
          <w:tcPr>
            <w:tcW w:type="dxa" w:w="2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Produit perçu comme peu soigné</w:t>
            </w:r>
          </w:p>
        </w:tc>
        <w:tc>
          <w:tcPr>
            <w:tcW w:type="dxa" w:w="42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Thème complet, widgets sur mesure, polices et icônes dédiées, animations</w:t>
            </w:r>
          </w:p>
        </w:tc>
      </w:tr>
      <w:tr>
        <w:trPr>
          <w:cantSplit/>
        </w:trPr>
        <w:tc>
          <w:tcPr>
            <w:tcW w:type="dxa" w:w="3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Limites WebGPU (tampons, workgroups) pour la version web</w:t>
            </w:r>
          </w:p>
        </w:tc>
        <w:tc>
          <w:tcPr>
            <w:tcW w:type="dxa" w:w="2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Portage difficile</w:t>
            </w:r>
          </w:p>
        </w:tc>
        <w:tc>
          <w:tcPr>
            <w:tcW w:type="dxa" w:w="42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Concevoir les noyaux dans les limites par défaut de WebGPU dès le départ</w:t>
            </w:r>
          </w:p>
        </w:tc>
      </w:tr>
      <w:tr>
        <w:trPr>
          <w:cantSplit/>
        </w:trPr>
        <w:tc>
          <w:tcPr>
            <w:tcW w:type="dxa" w:w="3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Hystérésis vectorielle complexe</w:t>
            </w:r>
          </w:p>
        </w:tc>
        <w:tc>
          <w:tcPr>
            <w:tcW w:type="dxa" w:w="22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Retard de la phase 3</w:t>
            </w:r>
          </w:p>
        </w:tc>
        <w:tc>
          <w:tcPr>
            <w:tcW w:type="dxa" w:w="42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Version scalaire alignée sur le champ local d’abord</w:t>
            </w:r>
          </w:p>
        </w:tc>
      </w:tr>
      <w:tr>
        <w:trPr>
          <w:cantSplit/>
        </w:trPr>
        <w:tc>
          <w:tcPr>
            <w:tcW w:type="dxa" w:w="3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Périmètre qui gonfle</w:t>
            </w:r>
          </w:p>
        </w:tc>
        <w:tc>
          <w:tcPr>
            <w:tcW w:type="dxa" w:w="22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Projet jamais terminé</w:t>
            </w:r>
          </w:p>
        </w:tc>
        <w:tc>
          <w:tcPr>
            <w:tcW w:type="dxa" w:w="42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6"/>
                <w:szCs w:val="16"/>
              </w:rPr>
              <w:t xml:space="preserve">Phases à critères de sortie, fonctionnalités derrière des options de compilation</w:t>
            </w:r>
          </w:p>
        </w:tc>
      </w:tr>
    </w:tbl>
    <w:p>
      <w:pPr>
        <w:spacing w:after="80" w:before="0" w:line="200"/>
      </w:pPr>
    </w:p>
    <w:p>
      <w:pPr>
        <w:pStyle w:val="Heading1"/>
        <w:pageBreakBefore/>
      </w:pPr>
      <w:bookmarkStart w:name="sec_60" w:id="160"/>
      <w:r>
        <w:rPr>
          <w:color w:val="0369A1"/>
        </w:rPr>
        <w:t xml:space="preserve">10  </w:t>
      </w:r>
      <w:r>
        <w:t xml:space="preserve">Questions ouvertes</w:t>
      </w:r>
      <w:bookmarkEnd w:id="160"/>
    </w:p>
    <w:p>
      <w:pPr>
        <w:spacing w:after="120" w:before="0" w:line="276"/>
        <w:jc w:val="both"/>
      </w:pPr>
      <w:r>
        <w:t xml:space="preserve">Ces réponses affinent les priorités ; le document propose une valeur par défaut pour chacune.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900"/>
        <w:gridCol w:w="3138"/>
      </w:tblGrid>
      <w:tr>
        <w:trPr>
          <w:tblHeader/>
        </w:trPr>
        <w:tc>
          <w:tcPr>
            <w:tcW w:type="dxa" w:w="36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Question</w:t>
            </w:r>
          </w:p>
        </w:tc>
        <w:tc>
          <w:tcPr>
            <w:tcW w:type="dxa" w:w="29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Proposition par défaut</w:t>
            </w:r>
          </w:p>
        </w:tc>
        <w:tc>
          <w:tcPr>
            <w:tcW w:type="dxa" w:w="31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Ce que ça change</w:t>
            </w:r>
          </w:p>
        </w:tc>
      </w:tr>
      <w:tr>
        <w:trPr>
          <w:cantSplit/>
        </w:trPr>
        <w:tc>
          <w:tcPr>
            <w:tcW w:type="dxa" w:w="3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Vue principale : dessus (table), côté (gravité dans le plan), ou les deux ?</w:t>
            </w:r>
          </w:p>
        </w:tc>
        <w:tc>
          <w:tcPr>
            <w:tcW w:type="dxa" w:w="2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Les deux, choisies par scène</w:t>
            </w:r>
          </w:p>
        </w:tc>
        <w:tc>
          <w:tcPr>
            <w:tcW w:type="dxa" w:w="31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Gestion des contacts et de la gravité dès la phase 2</w:t>
            </w:r>
          </w:p>
        </w:tc>
      </w:tr>
      <w:tr>
        <w:trPr>
          <w:cantSplit/>
        </w:trPr>
        <w:tc>
          <w:tcPr>
            <w:tcW w:type="dxa" w:w="3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Public visé : pédagogie, passionnés, ou ingénierie chiffrée ?</w:t>
            </w:r>
          </w:p>
        </w:tc>
        <w:tc>
          <w:tcPr>
            <w:tcW w:type="dxa" w:w="2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Pédagogie et passionnés exigeants</w:t>
            </w:r>
          </w:p>
        </w:tc>
        <w:tc>
          <w:tcPr>
            <w:tcW w:type="dxa" w:w="31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Densité de l’interface, effort de validation, exports</w:t>
            </w:r>
          </w:p>
        </w:tc>
      </w:tr>
      <w:tr>
        <w:trPr>
          <w:cantSplit/>
        </w:trPr>
        <w:tc>
          <w:tcPr>
            <w:tcW w:type="dxa" w:w="3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Plateformes : Windows, macOS, Linux ? Web ?</w:t>
            </w:r>
          </w:p>
        </w:tc>
        <w:tc>
          <w:tcPr>
            <w:tcW w:type="dxa" w:w="2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Les trois en bureau, web en phase 4</w:t>
            </w:r>
          </w:p>
        </w:tc>
        <w:tc>
          <w:tcPr>
            <w:tcW w:type="dxa" w:w="31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Tests, limites GPU à respecter</w:t>
            </w:r>
          </w:p>
        </w:tc>
      </w:tr>
      <w:tr>
        <w:trPr>
          <w:cantSplit/>
        </w:trPr>
        <w:tc>
          <w:tcPr>
            <w:tcW w:type="dxa" w:w="3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Courants de Foucault et courant alternatif : prioritaires ?</w:t>
            </w:r>
          </w:p>
        </w:tc>
        <w:tc>
          <w:tcPr>
            <w:tcW w:type="dxa" w:w="2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Phase 4</w:t>
            </w:r>
          </w:p>
        </w:tc>
        <w:tc>
          <w:tcPr>
            <w:tcW w:type="dxa" w:w="31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Peut remonter en phase 3 si c’est central pour vous</w:t>
            </w:r>
          </w:p>
        </w:tc>
      </w:tr>
      <w:tr>
        <w:trPr>
          <w:cantSplit/>
        </w:trPr>
        <w:tc>
          <w:tcPr>
            <w:tcW w:type="dxa" w:w="3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Mode axisymétrique dès la v1 ?</w:t>
            </w:r>
          </w:p>
        </w:tc>
        <w:tc>
          <w:tcPr>
            <w:tcW w:type="dxa" w:w="2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Phase 4</w:t>
            </w:r>
          </w:p>
        </w:tc>
        <w:tc>
          <w:tcPr>
            <w:tcW w:type="dxa" w:w="31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Utile pour des aimants cylindriques « réels »</w:t>
            </w:r>
          </w:p>
        </w:tc>
      </w:tr>
      <w:tr>
        <w:trPr>
          <w:cantSplit/>
        </w:trPr>
        <w:tc>
          <w:tcPr>
            <w:tcW w:type="dxa" w:w="3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Projet open source ? Licence ?</w:t>
            </w:r>
          </w:p>
        </w:tc>
        <w:tc>
          <w:tcPr>
            <w:tcW w:type="dxa" w:w="29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MIT/Apache-2.0, comme l’écosystème</w:t>
            </w:r>
          </w:p>
        </w:tc>
        <w:tc>
          <w:tcPr>
            <w:tcW w:type="dxa" w:w="31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Contributions, réutilisation des crates</w:t>
            </w:r>
          </w:p>
        </w:tc>
      </w:tr>
      <w:tr>
        <w:trPr>
          <w:cantSplit/>
        </w:trPr>
        <w:tc>
          <w:tcPr>
            <w:tcW w:type="dxa" w:w="3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Langues ?</w:t>
            </w:r>
          </w:p>
        </w:tc>
        <w:tc>
          <w:tcPr>
            <w:tcW w:type="dxa" w:w="29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Français, puis anglais</w:t>
            </w:r>
          </w:p>
        </w:tc>
        <w:tc>
          <w:tcPr>
            <w:tcW w:type="dxa" w:w="31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Mise en place de fluent dès la phase 1</w:t>
            </w:r>
          </w:p>
        </w:tc>
      </w:tr>
    </w:tbl>
    <w:p>
      <w:pPr>
        <w:spacing w:after="80" w:before="0" w:line="200"/>
      </w:pPr>
    </w:p>
    <w:p>
      <w:pPr>
        <w:pStyle w:val="Heading1"/>
        <w:pageBreakBefore/>
      </w:pPr>
      <w:bookmarkStart w:name="sec_61" w:id="161"/>
      <w:r>
        <w:rPr>
          <w:color w:val="0369A1"/>
        </w:rPr>
        <w:t xml:space="preserve"/>
      </w:r>
      <w:r>
        <w:t xml:space="preserve">Annexe A — Formulaire</w:t>
      </w:r>
      <w:bookmarkEnd w:id="16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5938"/>
      </w:tblGrid>
      <w:tr>
        <w:trPr>
          <w:tblHeader/>
        </w:trPr>
        <w:tc>
          <w:tcPr>
            <w:tcW w:type="dxa" w:w="37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Grandeur</w:t>
            </w:r>
          </w:p>
        </w:tc>
        <w:tc>
          <w:tcPr>
            <w:tcW w:type="dxa" w:w="59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Expression</w:t>
            </w:r>
          </w:p>
        </w:tc>
      </w:tr>
      <w:tr>
        <w:trPr>
          <w:cantSplit/>
        </w:trPr>
        <w:tc>
          <w:tcPr>
            <w:tcW w:type="dxa" w:w="3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Induction depuis le potentiel (2D plan)</w:t>
            </w:r>
          </w:p>
        </w:tc>
        <w:tc>
          <w:tcPr>
            <w:tcW w:type="dxa" w:w="59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w:t>
            </w:r>
            <w:r>
              <w:rPr>
                <w:b w:val="false"/>
                <w:bCs w:val="false"/>
                <w:sz w:val="17"/>
                <w:szCs w:val="17"/>
                <w:vertAlign w:val="subscript"/>
              </w:rPr>
              <w:t xml:space="preserve">x</w:t>
            </w:r>
            <w:r>
              <w:rPr>
                <w:b w:val="false"/>
                <w:bCs w:val="false"/>
                <w:sz w:val="17"/>
                <w:szCs w:val="17"/>
              </w:rPr>
              <w:t xml:space="preserve"> = ∂A</w:t>
            </w:r>
            <w:r>
              <w:rPr>
                <w:b w:val="false"/>
                <w:bCs w:val="false"/>
                <w:sz w:val="17"/>
                <w:szCs w:val="17"/>
                <w:vertAlign w:val="subscript"/>
              </w:rPr>
              <w:t xml:space="preserve">z</w:t>
            </w:r>
            <w:r>
              <w:rPr>
                <w:b w:val="false"/>
                <w:bCs w:val="false"/>
                <w:sz w:val="17"/>
                <w:szCs w:val="17"/>
              </w:rPr>
              <w:t xml:space="preserve">/∂y,  B</w:t>
            </w:r>
            <w:r>
              <w:rPr>
                <w:b w:val="false"/>
                <w:bCs w:val="false"/>
                <w:sz w:val="17"/>
                <w:szCs w:val="17"/>
                <w:vertAlign w:val="subscript"/>
              </w:rPr>
              <w:t xml:space="preserve">y</w:t>
            </w:r>
            <w:r>
              <w:rPr>
                <w:b w:val="false"/>
                <w:bCs w:val="false"/>
                <w:sz w:val="17"/>
                <w:szCs w:val="17"/>
              </w:rPr>
              <w:t xml:space="preserve"> = −∂A</w:t>
            </w:r>
            <w:r>
              <w:rPr>
                <w:b w:val="false"/>
                <w:bCs w:val="false"/>
                <w:sz w:val="17"/>
                <w:szCs w:val="17"/>
                <w:vertAlign w:val="subscript"/>
              </w:rPr>
              <w:t xml:space="preserve">z</w:t>
            </w:r>
            <w:r>
              <w:rPr>
                <w:b w:val="false"/>
                <w:bCs w:val="false"/>
                <w:sz w:val="17"/>
                <w:szCs w:val="17"/>
              </w:rPr>
              <w:t xml:space="preserve">/∂x</w:t>
            </w:r>
          </w:p>
        </w:tc>
      </w:tr>
      <w:tr>
        <w:trPr>
          <w:cantSplit/>
        </w:trPr>
        <w:tc>
          <w:tcPr>
            <w:tcW w:type="dxa" w:w="3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Équation résolue</w:t>
            </w:r>
          </w:p>
        </w:tc>
        <w:tc>
          <w:tcPr>
            <w:tcW w:type="dxa" w:w="59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−∇·(ν∇A</w:t>
            </w:r>
            <w:r>
              <w:rPr>
                <w:b w:val="false"/>
                <w:bCs w:val="false"/>
                <w:sz w:val="17"/>
                <w:szCs w:val="17"/>
                <w:vertAlign w:val="subscript"/>
              </w:rPr>
              <w:t xml:space="preserve">z</w:t>
            </w:r>
            <w:r>
              <w:rPr>
                <w:b w:val="false"/>
                <w:bCs w:val="false"/>
                <w:sz w:val="17"/>
                <w:szCs w:val="17"/>
              </w:rPr>
              <w:t xml:space="preserve">) = J</w:t>
            </w:r>
            <w:r>
              <w:rPr>
                <w:b w:val="false"/>
                <w:bCs w:val="false"/>
                <w:sz w:val="17"/>
                <w:szCs w:val="17"/>
                <w:vertAlign w:val="subscript"/>
              </w:rPr>
              <w:t xml:space="preserve">z</w:t>
            </w:r>
            <w:r>
              <w:rPr>
                <w:b w:val="false"/>
                <w:bCs w:val="false"/>
                <w:sz w:val="17"/>
                <w:szCs w:val="17"/>
              </w:rPr>
              <w:t xml:space="preserve"> + ∂(νB</w:t>
            </w:r>
            <w:r>
              <w:rPr>
                <w:b w:val="false"/>
                <w:bCs w:val="false"/>
                <w:sz w:val="17"/>
                <w:szCs w:val="17"/>
                <w:vertAlign w:val="subscript"/>
              </w:rPr>
              <w:t xml:space="preserve">r,y</w:t>
            </w:r>
            <w:r>
              <w:rPr>
                <w:b w:val="false"/>
                <w:bCs w:val="false"/>
                <w:sz w:val="17"/>
                <w:szCs w:val="17"/>
              </w:rPr>
              <w:t xml:space="preserve">)/∂x − ∂(νB</w:t>
            </w:r>
            <w:r>
              <w:rPr>
                <w:b w:val="false"/>
                <w:bCs w:val="false"/>
                <w:sz w:val="17"/>
                <w:szCs w:val="17"/>
                <w:vertAlign w:val="subscript"/>
              </w:rPr>
              <w:t xml:space="preserve">r,x</w:t>
            </w:r>
            <w:r>
              <w:rPr>
                <w:b w:val="false"/>
                <w:bCs w:val="false"/>
                <w:sz w:val="17"/>
                <w:szCs w:val="17"/>
              </w:rPr>
              <w:t xml:space="preserve">)/∂y</w:t>
            </w:r>
          </w:p>
        </w:tc>
      </w:tr>
      <w:tr>
        <w:trPr>
          <w:cantSplit/>
        </w:trPr>
        <w:tc>
          <w:tcPr>
            <w:tcW w:type="dxa" w:w="3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Flux par mètre entre P et Q</w:t>
            </w:r>
          </w:p>
        </w:tc>
        <w:tc>
          <w:tcPr>
            <w:tcW w:type="dxa" w:w="59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Φ = A</w:t>
            </w:r>
            <w:r>
              <w:rPr>
                <w:b w:val="false"/>
                <w:bCs w:val="false"/>
                <w:sz w:val="17"/>
                <w:szCs w:val="17"/>
                <w:vertAlign w:val="subscript"/>
              </w:rPr>
              <w:t xml:space="preserve">z</w:t>
            </w:r>
            <w:r>
              <w:rPr>
                <w:b w:val="false"/>
                <w:bCs w:val="false"/>
                <w:sz w:val="17"/>
                <w:szCs w:val="17"/>
              </w:rPr>
              <w:t xml:space="preserve">(Q) − A</w:t>
            </w:r>
            <w:r>
              <w:rPr>
                <w:b w:val="false"/>
                <w:bCs w:val="false"/>
                <w:sz w:val="17"/>
                <w:szCs w:val="17"/>
                <w:vertAlign w:val="subscript"/>
              </w:rPr>
              <w:t xml:space="preserve">z</w:t>
            </w:r>
            <w:r>
              <w:rPr>
                <w:b w:val="false"/>
                <w:bCs w:val="false"/>
                <w:sz w:val="17"/>
                <w:szCs w:val="17"/>
              </w:rPr>
              <w:t xml:space="preserve">(P)</w:t>
            </w:r>
          </w:p>
        </w:tc>
      </w:tr>
      <w:tr>
        <w:trPr>
          <w:cantSplit/>
        </w:trPr>
        <w:tc>
          <w:tcPr>
            <w:tcW w:type="dxa" w:w="3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Tenseur de Maxwell</w:t>
            </w:r>
          </w:p>
        </w:tc>
        <w:tc>
          <w:tcPr>
            <w:tcW w:type="dxa" w:w="59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T</w:t>
            </w:r>
            <w:r>
              <w:rPr>
                <w:b w:val="false"/>
                <w:bCs w:val="false"/>
                <w:sz w:val="17"/>
                <w:szCs w:val="17"/>
                <w:vertAlign w:val="subscript"/>
              </w:rPr>
              <w:t xml:space="preserve">ij</w:t>
            </w:r>
            <w:r>
              <w:rPr>
                <w:b w:val="false"/>
                <w:bCs w:val="false"/>
                <w:sz w:val="17"/>
                <w:szCs w:val="17"/>
              </w:rPr>
              <w:t xml:space="preserve"> = (B</w:t>
            </w:r>
            <w:r>
              <w:rPr>
                <w:b w:val="false"/>
                <w:bCs w:val="false"/>
                <w:sz w:val="17"/>
                <w:szCs w:val="17"/>
                <w:vertAlign w:val="subscript"/>
              </w:rPr>
              <w:t xml:space="preserve">i</w:t>
            </w:r>
            <w:r>
              <w:rPr>
                <w:b w:val="false"/>
                <w:bCs w:val="false"/>
                <w:sz w:val="17"/>
                <w:szCs w:val="17"/>
              </w:rPr>
              <w:t xml:space="preserve">B</w:t>
            </w:r>
            <w:r>
              <w:rPr>
                <w:b w:val="false"/>
                <w:bCs w:val="false"/>
                <w:sz w:val="17"/>
                <w:szCs w:val="17"/>
                <w:vertAlign w:val="subscript"/>
              </w:rPr>
              <w:t xml:space="preserve">j</w:t>
            </w:r>
            <w:r>
              <w:rPr>
                <w:b w:val="false"/>
                <w:bCs w:val="false"/>
                <w:sz w:val="17"/>
                <w:szCs w:val="17"/>
              </w:rPr>
              <w:t xml:space="preserve"> − ½δ</w:t>
            </w:r>
            <w:r>
              <w:rPr>
                <w:b w:val="false"/>
                <w:bCs w:val="false"/>
                <w:sz w:val="17"/>
                <w:szCs w:val="17"/>
                <w:vertAlign w:val="subscript"/>
              </w:rPr>
              <w:t xml:space="preserve">ij</w:t>
            </w:r>
            <w:r>
              <w:rPr>
                <w:b w:val="false"/>
                <w:bCs w:val="false"/>
                <w:sz w:val="17"/>
                <w:szCs w:val="17"/>
              </w:rPr>
              <w:t xml:space="preserve">B²)/μ</w:t>
            </w:r>
            <w:r>
              <w:rPr>
                <w:b w:val="false"/>
                <w:bCs w:val="false"/>
                <w:sz w:val="17"/>
                <w:szCs w:val="17"/>
                <w:vertAlign w:val="subscript"/>
              </w:rPr>
              <w:t xml:space="preserve">0</w:t>
            </w:r>
          </w:p>
        </w:tc>
      </w:tr>
      <w:tr>
        <w:trPr>
          <w:cantSplit/>
        </w:trPr>
        <w:tc>
          <w:tcPr>
            <w:tcW w:type="dxa" w:w="3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Force de Kelvin (χ faible)</w:t>
            </w:r>
          </w:p>
        </w:tc>
        <w:tc>
          <w:tcPr>
            <w:tcW w:type="dxa" w:w="59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 = (χ/2μ</w:t>
            </w:r>
            <w:r>
              <w:rPr>
                <w:b w:val="false"/>
                <w:bCs w:val="false"/>
                <w:sz w:val="17"/>
                <w:szCs w:val="17"/>
                <w:vertAlign w:val="subscript"/>
              </w:rPr>
              <w:t xml:space="preserve">0</w:t>
            </w:r>
            <w:r>
              <w:rPr>
                <w:b w:val="false"/>
                <w:bCs w:val="false"/>
                <w:sz w:val="17"/>
                <w:szCs w:val="17"/>
              </w:rPr>
              <w:t xml:space="preserve">) ∇(B²)</w:t>
            </w:r>
          </w:p>
        </w:tc>
      </w:tr>
      <w:tr>
        <w:trPr>
          <w:cantSplit/>
        </w:trPr>
        <w:tc>
          <w:tcPr>
            <w:tcW w:type="dxa" w:w="3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Force de contact (ordre de grandeur)</w:t>
            </w:r>
          </w:p>
        </w:tc>
        <w:tc>
          <w:tcPr>
            <w:tcW w:type="dxa" w:w="59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 ≈ B²S/(2μ</w:t>
            </w:r>
            <w:r>
              <w:rPr>
                <w:b w:val="false"/>
                <w:bCs w:val="false"/>
                <w:sz w:val="17"/>
                <w:szCs w:val="17"/>
                <w:vertAlign w:val="subscript"/>
              </w:rPr>
              <w:t xml:space="preserve">0</w:t>
            </w:r>
            <w:r>
              <w:rPr>
                <w:b w:val="false"/>
                <w:bCs w:val="false"/>
                <w:sz w:val="17"/>
                <w:szCs w:val="17"/>
              </w:rPr>
              <w:t xml:space="preserve">)</w:t>
            </w:r>
          </w:p>
        </w:tc>
      </w:tr>
      <w:tr>
        <w:trPr>
          <w:cantSplit/>
        </w:trPr>
        <w:tc>
          <w:tcPr>
            <w:tcW w:type="dxa" w:w="3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Seuil de lévitation diamagnétique</w:t>
            </w:r>
          </w:p>
        </w:tc>
        <w:tc>
          <w:tcPr>
            <w:tcW w:type="dxa" w:w="59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B·∂B/∂z = μ</w:t>
            </w:r>
            <w:r>
              <w:rPr>
                <w:b w:val="false"/>
                <w:bCs w:val="false"/>
                <w:sz w:val="17"/>
                <w:szCs w:val="17"/>
                <w:vertAlign w:val="subscript"/>
              </w:rPr>
              <w:t xml:space="preserve">0</w:t>
            </w:r>
            <w:r>
              <w:rPr>
                <w:b w:val="false"/>
                <w:bCs w:val="false"/>
                <w:sz w:val="17"/>
                <w:szCs w:val="17"/>
              </w:rPr>
              <w:t xml:space="preserve">ρg/|χ|</w:t>
            </w:r>
          </w:p>
        </w:tc>
      </w:tr>
      <w:tr>
        <w:trPr>
          <w:cantSplit/>
        </w:trPr>
        <w:tc>
          <w:tcPr>
            <w:tcW w:type="dxa" w:w="3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Aimant (droite de recul)</w:t>
            </w:r>
          </w:p>
        </w:tc>
        <w:tc>
          <w:tcPr>
            <w:tcW w:type="dxa" w:w="59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 = μ</w:t>
            </w:r>
            <w:r>
              <w:rPr>
                <w:b w:val="false"/>
                <w:bCs w:val="false"/>
                <w:sz w:val="17"/>
                <w:szCs w:val="17"/>
                <w:vertAlign w:val="subscript"/>
              </w:rPr>
              <w:t xml:space="preserve">0</w:t>
            </w:r>
            <w:r>
              <w:rPr>
                <w:b w:val="false"/>
                <w:bCs w:val="false"/>
                <w:sz w:val="17"/>
                <w:szCs w:val="17"/>
              </w:rPr>
              <w:t xml:space="preserve">μ</w:t>
            </w:r>
            <w:r>
              <w:rPr>
                <w:b w:val="false"/>
                <w:bCs w:val="false"/>
                <w:sz w:val="17"/>
                <w:szCs w:val="17"/>
                <w:vertAlign w:val="subscript"/>
              </w:rPr>
              <w:t xml:space="preserve">rec</w:t>
            </w:r>
            <w:r>
              <w:rPr>
                <w:b w:val="false"/>
                <w:bCs w:val="false"/>
                <w:sz w:val="17"/>
                <w:szCs w:val="17"/>
              </w:rPr>
              <w:t xml:space="preserve">H + B</w:t>
            </w:r>
            <w:r>
              <w:rPr>
                <w:b w:val="false"/>
                <w:bCs w:val="false"/>
                <w:sz w:val="17"/>
                <w:szCs w:val="17"/>
                <w:vertAlign w:val="subscript"/>
              </w:rPr>
              <w:t xml:space="preserve">r</w:t>
            </w:r>
            <w:r>
              <w:rPr>
                <w:b w:val="false"/>
                <w:bCs w:val="false"/>
                <w:sz w:val="17"/>
                <w:szCs w:val="17"/>
              </w:rPr>
              <w:t xml:space="preserve">(T)</w:t>
            </w:r>
          </w:p>
        </w:tc>
      </w:tr>
      <w:tr>
        <w:trPr>
          <w:cantSplit/>
        </w:trPr>
        <w:tc>
          <w:tcPr>
            <w:tcW w:type="dxa" w:w="3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Rémanence en température</w:t>
            </w:r>
          </w:p>
        </w:tc>
        <w:tc>
          <w:tcPr>
            <w:tcW w:type="dxa" w:w="59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B</w:t>
            </w:r>
            <w:r>
              <w:rPr>
                <w:b w:val="false"/>
                <w:bCs w:val="false"/>
                <w:sz w:val="17"/>
                <w:szCs w:val="17"/>
                <w:vertAlign w:val="subscript"/>
              </w:rPr>
              <w:t xml:space="preserve">r</w:t>
            </w:r>
            <w:r>
              <w:rPr>
                <w:b w:val="false"/>
                <w:bCs w:val="false"/>
                <w:sz w:val="17"/>
                <w:szCs w:val="17"/>
              </w:rPr>
              <w:t xml:space="preserve">(T) = B</w:t>
            </w:r>
            <w:r>
              <w:rPr>
                <w:b w:val="false"/>
                <w:bCs w:val="false"/>
                <w:sz w:val="17"/>
                <w:szCs w:val="17"/>
                <w:vertAlign w:val="subscript"/>
              </w:rPr>
              <w:t xml:space="preserve">r</w:t>
            </w:r>
            <w:r>
              <w:rPr>
                <w:b w:val="false"/>
                <w:bCs w:val="false"/>
                <w:sz w:val="17"/>
                <w:szCs w:val="17"/>
              </w:rPr>
              <w:t xml:space="preserve">(20 °C)·[1 + α(T − 20)]</w:t>
            </w:r>
          </w:p>
        </w:tc>
      </w:tr>
      <w:tr>
        <w:trPr>
          <w:cantSplit/>
        </w:trPr>
        <w:tc>
          <w:tcPr>
            <w:tcW w:type="dxa" w:w="3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Aimantation à saturation (Kuz’min)</w:t>
            </w:r>
          </w:p>
        </w:tc>
        <w:tc>
          <w:tcPr>
            <w:tcW w:type="dxa" w:w="59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M</w:t>
            </w:r>
            <w:r>
              <w:rPr>
                <w:b w:val="false"/>
                <w:bCs w:val="false"/>
                <w:sz w:val="17"/>
                <w:szCs w:val="17"/>
                <w:vertAlign w:val="subscript"/>
              </w:rPr>
              <w:t xml:space="preserve">s</w:t>
            </w:r>
            <w:r>
              <w:rPr>
                <w:b w:val="false"/>
                <w:bCs w:val="false"/>
                <w:sz w:val="17"/>
                <w:szCs w:val="17"/>
              </w:rPr>
              <w:t xml:space="preserve">(T)/M</w:t>
            </w:r>
            <w:r>
              <w:rPr>
                <w:b w:val="false"/>
                <w:bCs w:val="false"/>
                <w:sz w:val="17"/>
                <w:szCs w:val="17"/>
                <w:vertAlign w:val="subscript"/>
              </w:rPr>
              <w:t xml:space="preserve">s</w:t>
            </w:r>
            <w:r>
              <w:rPr>
                <w:b w:val="false"/>
                <w:bCs w:val="false"/>
                <w:sz w:val="17"/>
                <w:szCs w:val="17"/>
              </w:rPr>
              <w:t xml:space="preserve">(0) = [1 − sτ</w:t>
            </w:r>
            <w:r>
              <w:rPr>
                <w:b w:val="false"/>
                <w:bCs w:val="false"/>
                <w:sz w:val="17"/>
                <w:szCs w:val="17"/>
                <w:vertAlign w:val="superscript"/>
              </w:rPr>
              <w:t xml:space="preserve">3/2</w:t>
            </w:r>
            <w:r>
              <w:rPr>
                <w:b w:val="false"/>
                <w:bCs w:val="false"/>
                <w:sz w:val="17"/>
                <w:szCs w:val="17"/>
              </w:rPr>
              <w:t xml:space="preserve"> − (1−s)τ</w:t>
            </w:r>
            <w:r>
              <w:rPr>
                <w:b w:val="false"/>
                <w:bCs w:val="false"/>
                <w:sz w:val="17"/>
                <w:szCs w:val="17"/>
                <w:vertAlign w:val="superscript"/>
              </w:rPr>
              <w:t xml:space="preserve">5/2</w:t>
            </w:r>
            <w:r>
              <w:rPr>
                <w:b w:val="false"/>
                <w:bCs w:val="false"/>
                <w:sz w:val="17"/>
                <w:szCs w:val="17"/>
              </w:rPr>
              <w:t xml:space="preserve">]</w:t>
            </w:r>
            <w:r>
              <w:rPr>
                <w:b w:val="false"/>
                <w:bCs w:val="false"/>
                <w:sz w:val="17"/>
                <w:szCs w:val="17"/>
                <w:vertAlign w:val="superscript"/>
              </w:rPr>
              <w:t xml:space="preserve">1/3</w:t>
            </w:r>
          </w:p>
        </w:tc>
      </w:tr>
      <w:tr>
        <w:trPr>
          <w:cantSplit/>
        </w:trPr>
        <w:tc>
          <w:tcPr>
            <w:tcW w:type="dxa" w:w="3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Loi de Curie / Curie–Weiss</w:t>
            </w:r>
          </w:p>
        </w:tc>
        <w:tc>
          <w:tcPr>
            <w:tcW w:type="dxa" w:w="59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χ = C/T  ;  χ = C/(T − θ)</w:t>
            </w:r>
          </w:p>
        </w:tc>
      </w:tr>
      <w:tr>
        <w:trPr>
          <w:cantSplit/>
        </w:trPr>
        <w:tc>
          <w:tcPr>
            <w:tcW w:type="dxa" w:w="3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Résistance d’une bobine</w:t>
            </w:r>
          </w:p>
        </w:tc>
        <w:tc>
          <w:tcPr>
            <w:tcW w:type="dxa" w:w="59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R = ρ</w:t>
            </w:r>
            <w:r>
              <w:rPr>
                <w:b w:val="false"/>
                <w:bCs w:val="false"/>
                <w:sz w:val="17"/>
                <w:szCs w:val="17"/>
                <w:vertAlign w:val="subscript"/>
              </w:rPr>
              <w:t xml:space="preserve">20</w:t>
            </w:r>
            <w:r>
              <w:rPr>
                <w:b w:val="false"/>
                <w:bCs w:val="false"/>
                <w:sz w:val="17"/>
                <w:szCs w:val="17"/>
              </w:rPr>
              <w:t xml:space="preserve">[1 + 0,00393(T − 20)] · N l</w:t>
            </w:r>
            <w:r>
              <w:rPr>
                <w:b w:val="false"/>
                <w:bCs w:val="false"/>
                <w:sz w:val="17"/>
                <w:szCs w:val="17"/>
                <w:vertAlign w:val="subscript"/>
              </w:rPr>
              <w:t xml:space="preserve">spire</w:t>
            </w:r>
            <w:r>
              <w:rPr>
                <w:b w:val="false"/>
                <w:bCs w:val="false"/>
                <w:sz w:val="17"/>
                <w:szCs w:val="17"/>
              </w:rPr>
              <w:t xml:space="preserve"> / S</w:t>
            </w:r>
            <w:r>
              <w:rPr>
                <w:b w:val="false"/>
                <w:bCs w:val="false"/>
                <w:sz w:val="17"/>
                <w:szCs w:val="17"/>
                <w:vertAlign w:val="subscript"/>
              </w:rPr>
              <w:t xml:space="preserve">fil</w:t>
            </w:r>
          </w:p>
        </w:tc>
      </w:tr>
      <w:tr>
        <w:trPr>
          <w:cantSplit/>
        </w:trPr>
        <w:tc>
          <w:tcPr>
            <w:tcW w:type="dxa" w:w="3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Inductance</w:t>
            </w:r>
          </w:p>
        </w:tc>
        <w:tc>
          <w:tcPr>
            <w:tcW w:type="dxa" w:w="59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 = Ψ/I,  Ψ = N · profondeur · (⟨A⟩</w:t>
            </w:r>
            <w:r>
              <w:rPr>
                <w:b w:val="false"/>
                <w:bCs w:val="false"/>
                <w:sz w:val="17"/>
                <w:szCs w:val="17"/>
                <w:vertAlign w:val="subscript"/>
              </w:rPr>
              <w:t xml:space="preserve">aller</w:t>
            </w:r>
            <w:r>
              <w:rPr>
                <w:b w:val="false"/>
                <w:bCs w:val="false"/>
                <w:sz w:val="17"/>
                <w:szCs w:val="17"/>
              </w:rPr>
              <w:t xml:space="preserve"> − ⟨A⟩</w:t>
            </w:r>
            <w:r>
              <w:rPr>
                <w:b w:val="false"/>
                <w:bCs w:val="false"/>
                <w:sz w:val="17"/>
                <w:szCs w:val="17"/>
                <w:vertAlign w:val="subscript"/>
              </w:rPr>
              <w:t xml:space="preserve">retour</w:t>
            </w:r>
            <w:r>
              <w:rPr>
                <w:b w:val="false"/>
                <w:bCs w:val="false"/>
                <w:sz w:val="17"/>
                <w:szCs w:val="17"/>
              </w:rPr>
              <w:t xml:space="preserve">)</w:t>
            </w:r>
          </w:p>
        </w:tc>
      </w:tr>
      <w:tr>
        <w:trPr>
          <w:cantSplit/>
        </w:trPr>
        <w:tc>
          <w:tcPr>
            <w:tcW w:type="dxa" w:w="37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Épaisseur de peau</w:t>
            </w:r>
          </w:p>
        </w:tc>
        <w:tc>
          <w:tcPr>
            <w:tcW w:type="dxa" w:w="59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δ = √(2/(ωμσ))</w:t>
            </w:r>
          </w:p>
        </w:tc>
      </w:tr>
      <w:tr>
        <w:trPr>
          <w:cantSplit/>
        </w:trPr>
        <w:tc>
          <w:tcPr>
            <w:tcW w:type="dxa" w:w="37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Critère de glissement (vue de dessus)</w:t>
            </w:r>
          </w:p>
        </w:tc>
        <w:tc>
          <w:tcPr>
            <w:tcW w:type="dxa" w:w="59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 &gt; μ</w:t>
            </w:r>
            <w:r>
              <w:rPr>
                <w:b w:val="false"/>
                <w:bCs w:val="false"/>
                <w:sz w:val="17"/>
                <w:szCs w:val="17"/>
                <w:vertAlign w:val="subscript"/>
              </w:rPr>
              <w:t xml:space="preserve">s</w:t>
            </w:r>
            <w:r>
              <w:rPr>
                <w:b w:val="false"/>
                <w:bCs w:val="false"/>
                <w:sz w:val="17"/>
                <w:szCs w:val="17"/>
              </w:rPr>
              <w:t xml:space="preserve"> m g</w:t>
            </w:r>
          </w:p>
        </w:tc>
      </w:tr>
    </w:tbl>
    <w:p>
      <w:pPr>
        <w:spacing w:after="80" w:before="0" w:line="200"/>
      </w:pPr>
    </w:p>
    <w:p>
      <w:pPr>
        <w:pStyle w:val="Heading1"/>
      </w:pPr>
      <w:bookmarkStart w:name="sec_62" w:id="162"/>
      <w:r>
        <w:rPr>
          <w:color w:val="0369A1"/>
        </w:rPr>
        <w:t xml:space="preserve"/>
      </w:r>
      <w:r>
        <w:t xml:space="preserve">Annexe B — Glossaire</w:t>
      </w:r>
      <w:bookmarkEnd w:id="162"/>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Terme</w:t>
            </w:r>
          </w:p>
        </w:tc>
        <w:tc>
          <w:tcPr>
            <w:tcW w:type="dxa" w:w="7038"/>
            <w:tcBorders>
              <w:top w:val="single" w:color="D5DAE1" w:sz="4"/>
              <w:left w:val="single" w:color="D5DAE1" w:sz="4"/>
              <w:bottom w:val="single" w:color="D5DAE1" w:sz="4"/>
              <w:right w:val="single" w:color="D5DAE1" w:sz="4"/>
            </w:tcBorders>
            <w:shd w:fill="1C2230" w:color="auto" w:val="clear"/>
            <w:tcMar>
              <w:top w:type="dxa" w:w="55"/>
              <w:left w:type="dxa" w:w="100"/>
              <w:bottom w:type="dxa" w:w="55"/>
              <w:right w:type="dxa" w:w="100"/>
            </w:tcMar>
            <w:vAlign w:val="center"/>
          </w:tcPr>
          <w:p>
            <w:pPr>
              <w:spacing w:after="30" w:line="252"/>
              <w:jc w:val="left"/>
            </w:pPr>
            <w:r>
              <w:rPr>
                <w:b/>
                <w:bCs/>
                <w:color w:val="FFFFFF"/>
                <w:sz w:val="17"/>
                <w:szCs w:val="17"/>
              </w:rPr>
              <w:t xml:space="preserve">Définition</w:t>
            </w:r>
          </w:p>
        </w:tc>
      </w:tr>
      <w:tr>
        <w:trPr>
          <w:cantSplit/>
        </w:trPr>
        <w:tc>
          <w:tcPr>
            <w:tcW w:type="dxa" w:w="2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A</w:t>
            </w:r>
            <w:r>
              <w:rPr>
                <w:b/>
                <w:bCs/>
                <w:sz w:val="17"/>
                <w:szCs w:val="17"/>
                <w:vertAlign w:val="subscript"/>
              </w:rPr>
              <w:t xml:space="preserve">z</w:t>
            </w:r>
          </w:p>
        </w:tc>
        <w:tc>
          <w:tcPr>
            <w:tcW w:type="dxa" w:w="7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Composante z du potentiel vecteur ; ses isolignes sont les lignes de champ en 2D</w:t>
            </w:r>
          </w:p>
        </w:tc>
      </w:tr>
      <w:tr>
        <w:trPr>
          <w:cantSplit/>
        </w:trPr>
        <w:tc>
          <w:tcPr>
            <w:tcW w:type="dxa" w:w="2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ν (réluctivité)</w:t>
            </w:r>
          </w:p>
        </w:tc>
        <w:tc>
          <w:tcPr>
            <w:tcW w:type="dxa" w:w="7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Inverse de la perméabilité, 1/μ</w:t>
            </w:r>
          </w:p>
        </w:tc>
      </w:tr>
      <w:tr>
        <w:trPr>
          <w:cantSplit/>
        </w:trPr>
        <w:tc>
          <w:tcPr>
            <w:tcW w:type="dxa" w:w="2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χ, μ</w:t>
            </w:r>
            <w:r>
              <w:rPr>
                <w:b/>
                <w:bCs/>
                <w:sz w:val="17"/>
                <w:szCs w:val="17"/>
                <w:vertAlign w:val="subscript"/>
              </w:rPr>
              <w:t xml:space="preserve">r</w:t>
            </w:r>
          </w:p>
        </w:tc>
        <w:tc>
          <w:tcPr>
            <w:tcW w:type="dxa" w:w="7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Susceptibilité et perméabilité relative, μ</w:t>
            </w:r>
            <w:r>
              <w:rPr>
                <w:b w:val="false"/>
                <w:bCs w:val="false"/>
                <w:sz w:val="17"/>
                <w:szCs w:val="17"/>
                <w:vertAlign w:val="subscript"/>
              </w:rPr>
              <w:t xml:space="preserve">r</w:t>
            </w:r>
            <w:r>
              <w:rPr>
                <w:b w:val="false"/>
                <w:bCs w:val="false"/>
                <w:sz w:val="17"/>
                <w:szCs w:val="17"/>
              </w:rPr>
              <w:t xml:space="preserve"> = 1 + χ</w:t>
            </w:r>
          </w:p>
        </w:tc>
      </w:tr>
      <w:tr>
        <w:trPr>
          <w:cantSplit/>
        </w:trPr>
        <w:tc>
          <w:tcPr>
            <w:tcW w:type="dxa" w:w="2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B</w:t>
            </w:r>
            <w:r>
              <w:rPr>
                <w:b/>
                <w:bCs/>
                <w:sz w:val="17"/>
                <w:szCs w:val="17"/>
                <w:vertAlign w:val="subscript"/>
              </w:rPr>
              <w:t xml:space="preserve">r</w:t>
            </w:r>
            <w:r>
              <w:rPr>
                <w:b/>
                <w:bCs/>
                <w:sz w:val="17"/>
                <w:szCs w:val="17"/>
              </w:rPr>
              <w:t xml:space="preserve">, H</w:t>
            </w:r>
            <w:r>
              <w:rPr>
                <w:b/>
                <w:bCs/>
                <w:sz w:val="17"/>
                <w:szCs w:val="17"/>
                <w:vertAlign w:val="subscript"/>
              </w:rPr>
              <w:t xml:space="preserve">cJ</w:t>
            </w:r>
            <w:r>
              <w:rPr>
                <w:b/>
                <w:bCs/>
                <w:sz w:val="17"/>
                <w:szCs w:val="17"/>
              </w:rPr>
              <w:t xml:space="preserve">, (BH)</w:t>
            </w:r>
            <w:r>
              <w:rPr>
                <w:b/>
                <w:bCs/>
                <w:sz w:val="17"/>
                <w:szCs w:val="17"/>
                <w:vertAlign w:val="subscript"/>
              </w:rPr>
              <w:t xml:space="preserve">max</w:t>
            </w:r>
          </w:p>
        </w:tc>
        <w:tc>
          <w:tcPr>
            <w:tcW w:type="dxa" w:w="7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Rémanence, coercivité intrinsèque et produit d’énergie maximal d’un aimant</w:t>
            </w:r>
          </w:p>
        </w:tc>
      </w:tr>
      <w:tr>
        <w:trPr>
          <w:cantSplit/>
        </w:trPr>
        <w:tc>
          <w:tcPr>
            <w:tcW w:type="dxa" w:w="2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T</w:t>
            </w:r>
            <w:r>
              <w:rPr>
                <w:b/>
                <w:bCs/>
                <w:sz w:val="17"/>
                <w:szCs w:val="17"/>
                <w:vertAlign w:val="subscript"/>
              </w:rPr>
              <w:t xml:space="preserve">c</w:t>
            </w:r>
          </w:p>
        </w:tc>
        <w:tc>
          <w:tcPr>
            <w:tcW w:type="dxa" w:w="7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Température de Curie : au-delà, un ferromagnétique devient paramagnétique</w:t>
            </w:r>
          </w:p>
        </w:tc>
      </w:tr>
      <w:tr>
        <w:trPr>
          <w:cantSplit/>
        </w:trPr>
        <w:tc>
          <w:tcPr>
            <w:tcW w:type="dxa" w:w="2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MG-PCG</w:t>
            </w:r>
          </w:p>
        </w:tc>
        <w:tc>
          <w:tcPr>
            <w:tcW w:type="dxa" w:w="7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Gradient conjugué préconditionné par multigrille</w:t>
            </w:r>
          </w:p>
        </w:tc>
      </w:tr>
      <w:tr>
        <w:trPr>
          <w:cantSplit/>
        </w:trPr>
        <w:tc>
          <w:tcPr>
            <w:tcW w:type="dxa" w:w="2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FIT</w:t>
            </w:r>
          </w:p>
        </w:tc>
        <w:tc>
          <w:tcPr>
            <w:tcW w:type="dxa" w:w="7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Technique d’intégration finie (Weiland), discrétisation sur grilles décalées</w:t>
            </w:r>
          </w:p>
        </w:tc>
      </w:tr>
      <w:tr>
        <w:trPr>
          <w:cantSplit/>
        </w:trPr>
        <w:tc>
          <w:tcPr>
            <w:tcW w:type="dxa" w:w="2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SDF</w:t>
            </w:r>
          </w:p>
        </w:tc>
        <w:tc>
          <w:tcPr>
            <w:tcW w:type="dxa" w:w="7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Fonction distance signée, décrit une forme pour la rastérisation</w:t>
            </w:r>
          </w:p>
        </w:tc>
      </w:tr>
      <w:tr>
        <w:trPr>
          <w:cantSplit/>
        </w:trPr>
        <w:tc>
          <w:tcPr>
            <w:tcW w:type="dxa" w:w="2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LIC</w:t>
            </w:r>
          </w:p>
        </w:tc>
        <w:tc>
          <w:tcPr>
            <w:tcW w:type="dxa" w:w="7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Line Integral Convolution, texture qui épouse un champ de vecteurs</w:t>
            </w:r>
          </w:p>
        </w:tc>
      </w:tr>
      <w:tr>
        <w:trPr>
          <w:cantSplit/>
        </w:trPr>
        <w:tc>
          <w:tcPr>
            <w:tcW w:type="dxa" w:w="2600"/>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bCs/>
                <w:sz w:val="17"/>
                <w:szCs w:val="17"/>
              </w:rPr>
              <w:t xml:space="preserve">WGSL / WESL</w:t>
            </w:r>
          </w:p>
        </w:tc>
        <w:tc>
          <w:tcPr>
            <w:tcW w:type="dxa" w:w="7038"/>
            <w:tcBorders>
              <w:top w:val="single" w:color="D5DAE1" w:sz="4"/>
              <w:left w:val="single" w:color="D5DAE1" w:sz="4"/>
              <w:bottom w:val="single" w:color="D5DAE1" w:sz="4"/>
              <w:right w:val="single" w:color="D5DAE1" w:sz="4"/>
            </w:tcBorders>
            <w:shd w:fill="F5F7FA"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Langage de shaders de WebGPU / extension avec modules et imports</w:t>
            </w:r>
          </w:p>
        </w:tc>
      </w:tr>
      <w:tr>
        <w:trPr>
          <w:cantSplit/>
        </w:trPr>
        <w:tc>
          <w:tcPr>
            <w:tcW w:type="dxa" w:w="2600"/>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bCs/>
                <w:sz w:val="17"/>
                <w:szCs w:val="17"/>
              </w:rPr>
              <w:t xml:space="preserve">ECS</w:t>
            </w:r>
          </w:p>
        </w:tc>
        <w:tc>
          <w:tcPr>
            <w:tcW w:type="dxa" w:w="7038"/>
            <w:tcBorders>
              <w:top w:val="single" w:color="D5DAE1" w:sz="4"/>
              <w:left w:val="single" w:color="D5DAE1" w:sz="4"/>
              <w:bottom w:val="single" w:color="D5DAE1" w:sz="4"/>
              <w:right w:val="single" w:color="D5DAE1" w:sz="4"/>
            </w:tcBorders>
            <w:shd w:fill="FFFFFF" w:color="auto" w:val="clear"/>
            <w:tcMar>
              <w:top w:type="dxa" w:w="42"/>
              <w:left w:type="dxa" w:w="100"/>
              <w:bottom w:type="dxa" w:w="42"/>
              <w:right w:type="dxa" w:w="100"/>
            </w:tcMar>
            <w:vAlign w:val="center"/>
          </w:tcPr>
          <w:p>
            <w:pPr>
              <w:spacing w:after="30" w:line="252"/>
              <w:jc w:val="left"/>
            </w:pPr>
            <w:r>
              <w:rPr>
                <w:b w:val="false"/>
                <w:bCs w:val="false"/>
                <w:sz w:val="17"/>
                <w:szCs w:val="17"/>
              </w:rPr>
              <w:t xml:space="preserve">Entity-Component-System, organisation des données de la scène</w:t>
            </w:r>
          </w:p>
        </w:tc>
      </w:tr>
    </w:tbl>
    <w:p>
      <w:pPr>
        <w:spacing w:after="80" w:before="0" w:line="200"/>
      </w:pPr>
    </w:p>
    <w:p>
      <w:pPr>
        <w:pStyle w:val="Heading1"/>
      </w:pPr>
      <w:bookmarkStart w:name="sec_63" w:id="163"/>
      <w:r>
        <w:rPr>
          <w:color w:val="0369A1"/>
        </w:rPr>
        <w:t xml:space="preserve"/>
      </w:r>
      <w:r>
        <w:t xml:space="preserve">Annexe C — Références</w:t>
      </w:r>
      <w:bookmarkEnd w:id="163"/>
    </w:p>
    <w:p>
      <w:pPr>
        <w:pStyle w:val="ListParagraph"/>
        <w:numPr>
          <w:ilvl w:val="0"/>
          <w:numId w:val="2"/>
        </w:numPr>
        <w:spacing w:after="60" w:line="276"/>
      </w:pPr>
      <w:r>
        <w:t xml:space="preserve">D. Meeker, </w:t>
      </w:r>
      <w:r>
        <w:rPr>
          <w:i/>
          <w:iCs/>
        </w:rPr>
        <w:t xml:space="preserve">FEMM — Finite Element Method Magnetics</w:t>
      </w:r>
      <w:r>
        <w:t xml:space="preserve">, femm.info (référence de validation 2D et axisymétrique).</w:t>
      </w:r>
    </w:p>
    <w:p>
      <w:pPr>
        <w:pStyle w:val="ListParagraph"/>
        <w:numPr>
          <w:ilvl w:val="0"/>
          <w:numId w:val="2"/>
        </w:numPr>
        <w:spacing w:after="60" w:line="276"/>
      </w:pPr>
      <w:r>
        <w:t xml:space="preserve">T. Weiland, « A discretization method for the solution of Maxwell’s equations for six-component fields », </w:t>
      </w:r>
      <w:r>
        <w:rPr>
          <w:i/>
          <w:iCs/>
        </w:rPr>
        <w:t xml:space="preserve">AEÜ</w:t>
      </w:r>
      <w:r>
        <w:t xml:space="preserve">, 31, 1977.</w:t>
      </w:r>
    </w:p>
    <w:p>
      <w:pPr>
        <w:pStyle w:val="ListParagraph"/>
        <w:numPr>
          <w:ilvl w:val="0"/>
          <w:numId w:val="2"/>
        </w:numPr>
        <w:spacing w:after="60" w:line="276"/>
      </w:pPr>
      <w:r>
        <w:t xml:space="preserve">W. L. Briggs, V. E. Henson, S. F. McCormick, </w:t>
      </w:r>
      <w:r>
        <w:rPr>
          <w:i/>
          <w:iCs/>
        </w:rPr>
        <w:t xml:space="preserve">A Multigrid Tutorial</w:t>
      </w:r>
      <w:r>
        <w:t xml:space="preserve">, 2e éd., SIAM, 2000.</w:t>
      </w:r>
    </w:p>
    <w:p>
      <w:pPr>
        <w:pStyle w:val="ListParagraph"/>
        <w:numPr>
          <w:ilvl w:val="0"/>
          <w:numId w:val="2"/>
        </w:numPr>
        <w:spacing w:after="60" w:line="276"/>
      </w:pPr>
      <w:r>
        <w:t xml:space="preserve">J. E. Dendy, « Black box multigrid », </w:t>
      </w:r>
      <w:r>
        <w:rPr>
          <w:i/>
          <w:iCs/>
        </w:rPr>
        <w:t xml:space="preserve">Journal of Computational Physics</w:t>
      </w:r>
      <w:r>
        <w:t xml:space="preserve">, 48, 1982.</w:t>
      </w:r>
    </w:p>
    <w:p>
      <w:pPr>
        <w:pStyle w:val="ListParagraph"/>
        <w:numPr>
          <w:ilvl w:val="0"/>
          <w:numId w:val="2"/>
        </w:numPr>
        <w:spacing w:after="60" w:line="276"/>
      </w:pPr>
      <w:r>
        <w:t xml:space="preserve">R. A. James, « The solution of Poisson’s equation for isolated source distributions », </w:t>
      </w:r>
      <w:r>
        <w:rPr>
          <w:i/>
          <w:iCs/>
        </w:rPr>
        <w:t xml:space="preserve">Journal of Computational Physics</w:t>
      </w:r>
      <w:r>
        <w:t xml:space="preserve">, 25, 1977.</w:t>
      </w:r>
    </w:p>
    <w:p>
      <w:pPr>
        <w:pStyle w:val="ListParagraph"/>
        <w:numPr>
          <w:ilvl w:val="0"/>
          <w:numId w:val="2"/>
        </w:numPr>
        <w:spacing w:after="60" w:line="276"/>
      </w:pPr>
      <w:r>
        <w:t xml:space="preserve">J. Simkin, C. W. Trowbridge, « On the use of the total scalar potential in the numerical solution of field problems in electromagnetics », </w:t>
      </w:r>
      <w:r>
        <w:rPr>
          <w:i/>
          <w:iCs/>
        </w:rPr>
        <w:t xml:space="preserve">Int. J. Numer. Methods Eng.</w:t>
      </w:r>
      <w:r>
        <w:t xml:space="preserve">, 14, 1979.</w:t>
      </w:r>
    </w:p>
    <w:p>
      <w:pPr>
        <w:pStyle w:val="ListParagraph"/>
        <w:numPr>
          <w:ilvl w:val="0"/>
          <w:numId w:val="2"/>
        </w:numPr>
        <w:spacing w:after="60" w:line="276"/>
      </w:pPr>
      <w:r>
        <w:t xml:space="preserve">F. Henrotte, G. Deliége, K. Hameyer, « The eggshell approach for the computation of electromagnetic forces in 2D and 3D », </w:t>
      </w:r>
      <w:r>
        <w:rPr>
          <w:i/>
          <w:iCs/>
        </w:rPr>
        <w:t xml:space="preserve">COMPEL</w:t>
      </w:r>
      <w:r>
        <w:t xml:space="preserve">, 23(4), 2004.</w:t>
      </w:r>
    </w:p>
    <w:p>
      <w:pPr>
        <w:pStyle w:val="ListParagraph"/>
        <w:numPr>
          <w:ilvl w:val="0"/>
          <w:numId w:val="2"/>
        </w:numPr>
        <w:spacing w:after="60" w:line="276"/>
      </w:pPr>
      <w:r>
        <w:t xml:space="preserve">D. C. Jiles, D. L. Atherton, « Theory of ferromagnetic hysteresis », </w:t>
      </w:r>
      <w:r>
        <w:rPr>
          <w:i/>
          <w:iCs/>
        </w:rPr>
        <w:t xml:space="preserve">J. Magn. Magn. Mater.</w:t>
      </w:r>
      <w:r>
        <w:t xml:space="preserve">, 61, 1986.</w:t>
      </w:r>
    </w:p>
    <w:p>
      <w:pPr>
        <w:pStyle w:val="ListParagraph"/>
        <w:numPr>
          <w:ilvl w:val="0"/>
          <w:numId w:val="2"/>
        </w:numPr>
        <w:spacing w:after="60" w:line="276"/>
      </w:pPr>
      <w:r>
        <w:t xml:space="preserve">M. D. Kuz’min, « Shape of temperature dependence of spontaneous magnetization of ferromagnets: quantitative analysis », </w:t>
      </w:r>
      <w:r>
        <w:rPr>
          <w:i/>
          <w:iCs/>
        </w:rPr>
        <w:t xml:space="preserve">Phys. Rev. Lett.</w:t>
      </w:r>
      <w:r>
        <w:t xml:space="preserve">, 94, 107204, 2005.</w:t>
      </w:r>
    </w:p>
    <w:p>
      <w:pPr>
        <w:pStyle w:val="ListParagraph"/>
        <w:numPr>
          <w:ilvl w:val="0"/>
          <w:numId w:val="2"/>
        </w:numPr>
        <w:spacing w:after="60" w:line="276"/>
      </w:pPr>
      <w:r>
        <w:t xml:space="preserve">M. V. Berry, A. K. Geim, « Of flying frogs and levitrons », </w:t>
      </w:r>
      <w:r>
        <w:rPr>
          <w:i/>
          <w:iCs/>
        </w:rPr>
        <w:t xml:space="preserve">European Journal of Physics</w:t>
      </w:r>
      <w:r>
        <w:t xml:space="preserve">, 18, 1997.</w:t>
      </w:r>
    </w:p>
    <w:p>
      <w:pPr>
        <w:pStyle w:val="ListParagraph"/>
        <w:numPr>
          <w:ilvl w:val="0"/>
          <w:numId w:val="2"/>
        </w:numPr>
        <w:spacing w:after="60" w:line="276"/>
      </w:pPr>
      <w:r>
        <w:t xml:space="preserve">B. Cabral, L. Leedom, « Imaging vector fields using line integral convolution », </w:t>
      </w:r>
      <w:r>
        <w:rPr>
          <w:i/>
          <w:iCs/>
        </w:rPr>
        <w:t xml:space="preserve">SIGGRAPH</w:t>
      </w:r>
      <w:r>
        <w:t xml:space="preserve">, 1993.</w:t>
      </w:r>
    </w:p>
    <w:p>
      <w:pPr>
        <w:pStyle w:val="ListParagraph"/>
        <w:numPr>
          <w:ilvl w:val="0"/>
          <w:numId w:val="2"/>
        </w:numPr>
        <w:spacing w:after="60" w:line="276"/>
      </w:pPr>
      <w:r>
        <w:t xml:space="preserve">F. N. Fritsch, R. E. Carlson, « Monotone piecewise cubic interpolation », </w:t>
      </w:r>
      <w:r>
        <w:rPr>
          <w:i/>
          <w:iCs/>
        </w:rPr>
        <w:t xml:space="preserve">SIAM J. Numer. Anal.</w:t>
      </w:r>
      <w:r>
        <w:t xml:space="preserve">, 17, 1980.</w:t>
      </w:r>
    </w:p>
    <w:p>
      <w:pPr>
        <w:pStyle w:val="ListParagraph"/>
        <w:numPr>
          <w:ilvl w:val="0"/>
          <w:numId w:val="2"/>
        </w:numPr>
        <w:spacing w:after="60" w:line="276"/>
      </w:pPr>
      <w:r>
        <w:t xml:space="preserve">Projets : github.com/gfx-rs/wgpu · github.com/emilk/egui · rapier.rs · wesl-lang.dev · bevy.org.</w:t>
      </w:r>
    </w:p>
    <w:sectPr>
      <w:footerReference w:type="default" r:id="rId8"/>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1" w:sz="4" w:space="6"/>
      </w:pBdr>
      <w:tabs>
        <w:tab w:val="right" w:pos="9638"/>
      </w:tabs>
    </w:pPr>
    <w:r>
      <w:rPr>
        <w:color w:val="5B6573"/>
        <w:sz w:val="16"/>
        <w:szCs w:val="16"/>
      </w:rPr>
      <w:t xml:space="preserve">Flux2D · Document de préparation au développement · v0.1</w:t>
    </w:r>
    <w:r>
      <w:rPr>
        <w:color w:val="5B6573"/>
        <w:sz w:val="16"/>
        <w:szCs w:val="16"/>
      </w:rPr>
      <w:tab/>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1" w:sz="4" w:space="6"/>
      </w:pBdr>
      <w:tabs>
        <w:tab w:val="right" w:pos="9638"/>
      </w:tabs>
    </w:pPr>
    <w:r>
      <w:rPr>
        <w:color w:val="5B6573"/>
        <w:sz w:val="16"/>
        <w:szCs w:val="16"/>
      </w:rPr>
      <w:t xml:space="preserve">Flux2D · Document de préparation au développement · v0.1</w:t>
    </w:r>
    <w:r>
      <w:rPr>
        <w:color w:val="5B6573"/>
        <w:sz w:val="16"/>
        <w:szCs w:val="16"/>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369A1"/>
      </w:r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40" w:hanging="300"/>
      </w:pPr>
      <w:rPr>
        <w:b/>
        <w:bCs/>
        <w:color w:val="0369A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20"/>
      <w:outlineLvl w:val="0"/>
    </w:pPr>
    <w:rPr>
      <w:rFonts w:ascii="Calibri" w:cs="Calibri" w:eastAsia="Calibri" w:hAnsi="Calibri"/>
      <w:b/>
      <w:bCs/>
      <w:color w:val="0E1116"/>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0E1116"/>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b50d7cf7b800a29b7fb76fc72ef0348a2af4a18.png"/><Relationship Id="rId10" Type="http://schemas.openxmlformats.org/officeDocument/2006/relationships/image" Target="media/9555c06cc8917f579e17934d3c1b31dd4911e646.png"/><Relationship Id="rId11" Type="http://schemas.openxmlformats.org/officeDocument/2006/relationships/image" Target="media/0174f53b773e4ef0e41ff29f3bd251621ab809c2.png"/><Relationship Id="rId12" Type="http://schemas.openxmlformats.org/officeDocument/2006/relationships/image" Target="media/7089a92c1f238280c57c979b2d3a788739563251.png"/><Relationship Id="rId13" Type="http://schemas.openxmlformats.org/officeDocument/2006/relationships/image" Target="media/684225dd0c1cf449aeab6336ea5ab96cf7d9fb44.png"/><Relationship Id="rId14" Type="http://schemas.openxmlformats.org/officeDocument/2006/relationships/image" Target="media/291f57110d2fbcf6f9a4f70afd826ae3ed8721d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Flux2D — Document de préparation au développement</dc:title>
  <dc:creator>Flux2D</dc:creator>
  <dc:description>Simulateur de champs magnétiques en Rust/GPU</dc:description>
  <cp:lastModifiedBy>Un-named</cp:lastModifiedBy>
  <cp:revision>1</cp:revision>
  <dcterms:created xsi:type="dcterms:W3CDTF">2026-10-05T20:09:31.902Z</dcterms:created>
  <dcterms:modified xsi:type="dcterms:W3CDTF">2026-10-05T20:09:31.902Z</dcterms:modified>
</cp:coreProperties>
</file>

<file path=docProps/custom.xml><?xml version="1.0" encoding="utf-8"?>
<Properties xmlns="http://schemas.openxmlformats.org/officeDocument/2006/custom-properties" xmlns:vt="http://schemas.openxmlformats.org/officeDocument/2006/docPropsVTypes"/>
</file>