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72" w:after="624" w:line="60" w:lineRule="exact"/>
      </w:pPr>
      <w:r>
        <w:rPr>
          <w:rFonts w:ascii="宋体" w:hAnsi="宋体" w:eastAsia="宋体"/>
          <w:b/>
          <w:sz w:val="48"/>
        </w:rPr>
        <w:t>《示例课程》</w:t>
      </w:r>
    </w:p>
    <w:p>
      <w:pPr>
        <w:spacing w:line="0" w:lineRule="exact" w:after="5616"/>
        <w:jc w:val="center"/>
      </w:pPr>
      <w:r>
        <w:rPr>
          <w:rFonts w:ascii="宋体" w:hAnsi="宋体" w:eastAsia="宋体"/>
          <w:b/>
          <w:sz w:val="52"/>
        </w:rPr>
        <w:t>课程标准</w:t>
      </w:r>
    </w:p>
    <w:p/>
    <w:p>
      <w:pPr>
        <w:sectPr>
          <w:headerReference w:type="default" r:id="rId9"/>
          <w:footerReference w:type="default" r:id="rId10"/>
          <w:pgSz w:w="11909" w:h="16834"/>
          <w:pgMar w:top="1440" w:right="1800" w:bottom="1440" w:left="1800" w:header="720" w:footer="720" w:gutter="0"/>
          <w:cols w:space="720"/>
          <w:titlePg/>
          <w:docGrid w:linePitch="360"/>
        </w:sectPr>
      </w:pPr>
    </w:p>
    <w:p>
      <w:pPr>
        <w:jc w:val="center"/>
      </w:pPr>
      <w:r>
        <w:rPr>
          <w:rFonts w:ascii="宋体" w:hAnsi="宋体" w:eastAsia="宋体"/>
          <w:b/>
          <w:sz w:val="48"/>
        </w:rPr>
        <w:t>目录</w:t>
      </w:r>
    </w:p>
    <w:p>
      <w:r>
        <w:fldChar w:fldCharType="begin"/>
        <w:instrText> TOC \o "1-3" \h \z \u </w:instrText>
        <w:fldChar w:fldCharType="separate"/>
      </w:r>
      <w:r>
        <w:rPr>
          <w:rFonts w:ascii="宋体" w:hAnsi="宋体" w:eastAsia="宋体"/>
          <w:b w:val="0"/>
          <w:sz w:val="24"/>
        </w:rPr>
        <w:t>目录内容</w:t>
        <w:fldChar w:fldCharType="end"/>
      </w:r>
    </w:p>
    <w:p>
      <w:pPr>
        <w:spacing w:line="480" w:lineRule="auto"/>
      </w:pPr>
      <w:r>
        <w:rPr>
          <w:rFonts w:ascii="宋体" w:hAnsi="宋体" w:eastAsia="宋体"/>
          <w:b/>
          <w:sz w:val="24"/>
        </w:rPr>
        <w:t>一、课程定位与目标</w:t>
      </w:r>
    </w:p>
    <w:p>
      <w:pPr>
        <w:spacing w:line="480" w:lineRule="auto"/>
      </w:pPr>
      <w:r>
        <w:rPr>
          <w:rFonts w:ascii="宋体" w:hAnsi="宋体" w:eastAsia="宋体"/>
          <w:b/>
          <w:sz w:val="24"/>
        </w:rPr>
        <w:t>二、课程结构与内容</w:t>
      </w:r>
    </w:p>
    <w:p>
      <w:pPr>
        <w:spacing w:line="480" w:lineRule="auto"/>
      </w:pPr>
      <w:r>
        <w:rPr>
          <w:rFonts w:ascii="宋体" w:hAnsi="宋体" w:eastAsia="宋体"/>
          <w:b/>
          <w:sz w:val="24"/>
        </w:rPr>
        <w:t>三、课程实施与评价</w:t>
      </w:r>
    </w:p>
    <w:p>
      <w:pPr>
        <w:spacing w:line="480" w:lineRule="auto"/>
      </w:pPr>
      <w:r>
        <w:rPr>
          <w:rFonts w:ascii="宋体" w:hAnsi="宋体" w:eastAsia="宋体"/>
          <w:b w:val="0"/>
          <w:sz w:val="24"/>
        </w:rPr>
        <w:t>（一）课程性质</w:t>
      </w:r>
    </w:p>
    <w:p>
      <w:pPr>
        <w:spacing w:line="480" w:lineRule="auto"/>
      </w:pPr>
      <w:r>
        <w:rPr>
          <w:rFonts w:ascii="宋体" w:hAnsi="宋体" w:eastAsia="宋体"/>
          <w:b w:val="0"/>
          <w:sz w:val="24"/>
        </w:rPr>
        <w:t>（二）课程目标</w:t>
      </w:r>
    </w:p>
    <w:p>
      <w:pPr>
        <w:spacing w:line="480" w:lineRule="auto"/>
      </w:pPr>
      <w:r>
        <w:rPr>
          <w:rFonts w:ascii="宋体" w:hAnsi="宋体" w:eastAsia="宋体"/>
          <w:b w:val="0"/>
          <w:sz w:val="24"/>
        </w:rPr>
        <w:t>（三）课程内容</w:t>
      </w:r>
    </w:p>
    <w:p>
      <w:pPr>
        <w:spacing w:after="156"/>
        <w:jc w:val="center"/>
      </w:pPr>
      <w:r>
        <w:rPr>
          <w:rFonts w:ascii="宋体" w:hAnsi="宋体" w:eastAsia="宋体"/>
          <w:b/>
          <w:sz w:val="32"/>
        </w:rPr>
        <w:t>《示例课程》课程标准</w:t>
      </w:r>
    </w:p>
    <w:p>
      <w:pPr>
        <w:spacing w:line="360" w:lineRule="auto" w:before="120"/>
        <w:ind w:firstLine="562"/>
      </w:pPr>
      <w:r>
        <w:rPr>
          <w:rFonts w:ascii="宋体" w:hAnsi="宋体" w:eastAsia="宋体"/>
          <w:b/>
          <w:sz w:val="28"/>
        </w:rPr>
        <w:t>一、课程定位与目标</w:t>
      </w:r>
    </w:p>
    <w:p>
      <w:pPr>
        <w:spacing w:line="360" w:lineRule="auto"/>
        <w:ind w:firstLine="482"/>
      </w:pPr>
      <w:r>
        <w:rPr>
          <w:rFonts w:ascii="宋体" w:hAnsi="宋体" w:eastAsia="宋体"/>
          <w:b/>
          <w:sz w:val="24"/>
        </w:rPr>
        <w:t>（一）课程性质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本课程是专业核心课程，旨在培养学生的"编程思维"和"实际开发能力"。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990"/>
        <w:gridCol w:w="2990"/>
        <w:gridCol w:w="2990"/>
      </w:tblGrid>
      <w:tr>
        <w:tc>
          <w:tcPr>
            <w:tcW w:type="dxa" w:w="299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序号</w:t>
            </w:r>
          </w:p>
        </w:tc>
        <w:tc>
          <w:tcPr>
            <w:tcW w:type="dxa" w:w="299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项目</w:t>
            </w:r>
          </w:p>
        </w:tc>
        <w:tc>
          <w:tcPr>
            <w:tcW w:type="dxa" w:w="299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内容</w:t>
            </w:r>
          </w:p>
        </w:tc>
      </w:tr>
      <w:tr>
        <w:tc>
          <w:tcPr>
            <w:tcW w:type="dxa" w:w="2990"/>
          </w:tcPr>
          <w:p>
            <w:r>
              <w:rPr>
                <w:rFonts w:ascii="宋体" w:hAnsi="宋体" w:eastAsia="宋体"/>
                <w:b w:val="0"/>
                <w:sz w:val="24"/>
              </w:rPr>
              <w:t>1</w:t>
            </w:r>
          </w:p>
        </w:tc>
        <w:tc>
          <w:tcPr>
            <w:tcW w:type="dxa" w:w="2990"/>
          </w:tcPr>
          <w:p>
            <w:r>
              <w:rPr>
                <w:rFonts w:ascii="宋体" w:hAnsi="宋体" w:eastAsia="宋体"/>
                <w:b w:val="0"/>
                <w:sz w:val="24"/>
              </w:rPr>
              <w:t>课程名称</w:t>
            </w:r>
          </w:p>
        </w:tc>
        <w:tc>
          <w:tcPr>
            <w:tcW w:type="dxa" w:w="2990"/>
          </w:tcPr>
          <w:p>
            <w:r>
              <w:rPr>
                <w:rFonts w:ascii="宋体" w:hAnsi="宋体" w:eastAsia="宋体"/>
                <w:b w:val="0"/>
                <w:sz w:val="24"/>
              </w:rPr>
              <w:t>示例课程</w:t>
            </w:r>
          </w:p>
        </w:tc>
      </w:tr>
      <w:tr>
        <w:tc>
          <w:tcPr>
            <w:tcW w:type="dxa" w:w="2990"/>
          </w:tcPr>
          <w:p>
            <w:r>
              <w:rPr>
                <w:rFonts w:ascii="宋体" w:hAnsi="宋体" w:eastAsia="宋体"/>
                <w:b w:val="0"/>
                <w:sz w:val="24"/>
              </w:rPr>
              <w:t>2</w:t>
            </w:r>
          </w:p>
        </w:tc>
        <w:tc>
          <w:tcPr>
            <w:tcW w:type="dxa" w:w="2990"/>
          </w:tcPr>
          <w:p>
            <w:r>
              <w:rPr>
                <w:rFonts w:ascii="宋体" w:hAnsi="宋体" w:eastAsia="宋体"/>
                <w:b w:val="0"/>
                <w:sz w:val="24"/>
              </w:rPr>
              <w:t>学时</w:t>
            </w:r>
          </w:p>
        </w:tc>
        <w:tc>
          <w:tcPr>
            <w:tcW w:type="dxa" w:w="2990"/>
          </w:tcPr>
          <w:p>
            <w:r>
              <w:rPr>
                <w:rFonts w:ascii="宋体" w:hAnsi="宋体" w:eastAsia="宋体"/>
                <w:b w:val="0"/>
                <w:sz w:val="24"/>
              </w:rPr>
              <w:t>64</w:t>
            </w:r>
          </w:p>
        </w:tc>
      </w:tr>
    </w:tbl>
    <w:sectPr w:rsidR="00FC693F" w:rsidRPr="0006063C" w:rsidSect="00034616">
      <w:pgSz w:w="11909" w:h="16834"/>
      <w:pgMar w:top="1469" w:right="1469" w:bottom="1469" w:left="1469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1"/>
      </w:rPr>
      <w:t xml:space="preserve">第 </w:t>
    </w:r>
    <w:r>
      <w:rPr>
        <w:rFonts w:ascii="宋体" w:hAnsi="宋体" w:eastAsia="宋体"/>
        <w:b w:val="0"/>
        <w:sz w:val="21"/>
      </w:rPr>
      <w:fldChar w:fldCharType="begin"/>
      <w:instrText> PAGE </w:instrText>
      <w:fldChar w:fldCharType="separate"/>
    </w:r>
    <w:r>
      <w:rPr>
        <w:rFonts w:ascii="宋体" w:hAnsi="宋体" w:eastAsia="宋体"/>
        <w:b w:val="0"/>
        <w:sz w:val="21"/>
      </w:rPr>
      <w:t>1</w:t>
      <w:fldChar w:fldCharType="end"/>
    </w:r>
    <w:r>
      <w:rPr>
        <w:rFonts w:ascii="宋体" w:hAnsi="宋体" w:eastAsia="宋体"/>
        <w:b w:val="0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宋体" w:hAnsi="宋体" w:eastAsia="宋体"/>
        <w:b w:val="0"/>
        <w:sz w:val="21"/>
      </w:rPr>
      <w:t>河南林业职业学院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