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TRADING ARENA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交易竞技场</w:t>
      </w:r>
    </w:p>
    <w:p>
      <w:pPr>
        <w:spacing w:before="100" w:after="0"/>
      </w:pPr>
    </w:p>
    <w:p>
      <w:pPr>
        <w:pBdr>
          <w:top w:val="single" w:color="F0B90B" w:sz="6" w:space="8"/>
          <w:bottom w:val="single" w:color="F0B90B" w:sz="6" w:space="8"/>
        </w:pBdr>
        <w:spacing w:before="2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比赛设计与运营方案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F0B90B"/>
          <w:sz w:val="28"/>
          <w:szCs w:val="28"/>
        </w:rPr>
        <w:t xml:space="preserve">月度预算：10,000 USDT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v4.0  |  2026年3月</w:t>
      </w:r>
    </w:p>
    <w:p>
      <w:pPr>
        <w:spacing w:before="16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F6465D"/>
          <w:sz w:val="20"/>
          <w:szCs w:val="20"/>
        </w:rPr>
        <w:t xml:space="preserve">机密文件 — 仅限内部使用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执行摘要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Trading Arena 是一个 24 小时制加密货币交易竞赛平台，参赛者使用模拟资金在 Binance 实时 SOL/USDT 行情下进行竞技交易。本文档定义完整的比赛架构、奖金分配、反作弊机制和成本控制体系，在每月 10,000 USDT 固定预算内运行。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核心参数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月度预算：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10,000 USDT（固定，确定性 100%）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奖金模式：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固定奖金池制（锦标赛模式）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月度赛程：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 场常规赛 + 1 场月度总决赛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每场上限：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最多 1,000 人参赛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总决赛规模：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500 人入围，前 100 名获奖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模拟资金：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每人 5,000 USDT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交易对：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SOL/USDT 永续合约（Binance 实时数据）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比赛时长：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24 小时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预算分配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月度 10,000 USDT 预算全额投入奖金池，不设储备金，最大化玩家可感知的奖金规模。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单场金额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场次/月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常规赛奖金池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7,500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总决赛奖金池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75/25 分配逻辑：15 场高频常规赛让玩家几乎每两天就能参与一场，持续保持活跃度；总决赛单场 2,500 USDT 作为月度顶级赛事的吸引力。无储备金，每一分钱直接发给玩家。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赛程架构</w:t>
      </w:r>
    </w:p>
    <w:p>
      <w:pPr>
        <w:pStyle w:val="Heading2"/>
      </w:pPr>
      <w:r>
        <w:t xml:space="preserve">3.1 月度赛程日历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每月按 4 周循环运行。15 场常规赛分布在前 3.5 周，月末举办总决赛。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赛事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奖金池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第1周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 #1 – #4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× 4 = 2,000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晑级阶段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第2周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 #5 – #8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× 4 = 2,000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晑级阶段 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第3周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 #9 – #12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× 4 = 2,000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晑级阶段 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第4周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 #13 – #15 + 总决赛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× 3 + 2,500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决赛周</w:t>
            </w:r>
          </w:p>
        </w:tc>
      </w:tr>
    </w:tbl>
    <w:p>
      <w:pPr>
        <w:pStyle w:val="Heading2"/>
      </w:pPr>
      <w:r>
        <w:t xml:space="preserve">3.2 单场比赛格式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比赛参数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比赛时长：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24 小时（固定开始/结束时间，提前 24 小时公告）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起始资金：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5,000 USDT（模拟）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杠杆：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1x（初级档），可通过晑级提升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最大交易次数：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每场 40 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交易对：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SOL/USDT 永续合约（Binance 实时数据）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持仓限制：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同一时间只允许一个持仓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最后 30 分钟：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禁止开新仓，只允许平仓（反尾盘突袭机制）</w:t>
            </w:r>
          </w:p>
        </w:tc>
      </w:tr>
    </w:tbl>
    <w:p>
      <w:pPr>
        <w:pStyle w:val="Heading2"/>
      </w:pPr>
      <w:r>
        <w:t xml:space="preserve">3.3 总决赛晑级机制：积分赛制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总决赛是每月一次的旗舰赛事，500 名选手入围。晑级基于 15 场常规赛累计积分，积分自然筛选，不设最低参赛场次要求。</w:t>
      </w:r>
    </w:p>
    <w:p>
      <w:pPr>
        <w:spacing w:before="60" w:after="0"/>
      </w:pPr>
    </w:p>
    <w:p>
      <w:pPr>
        <w:pStyle w:val="Heading3"/>
      </w:pPr>
      <w:r>
        <w:t xml:space="preserve">常规赛积分规则（每场）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每场常规赛根据加权收益排名发放积分。积分与奖金独立——即使未进入奖金区仍可累积积分。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排名区间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冒尖有明确优势，鼓励争夺冒军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2-3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领奖台有显著价值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4-10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 10 名是第一道心理线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11-50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中坚力量，稳定积分来源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51-100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有积分但不够多，制造追赶动力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101-300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参与即有累积，保持留存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301-1000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需提升表现才能累积</w:t>
            </w:r>
          </w:p>
        </w:tc>
      </w:tr>
    </w:tbl>
    <w:p>
      <w:pPr>
        <w:spacing w:before="100" w:after="0"/>
      </w:pPr>
    </w:p>
    <w:p>
      <w:pPr>
        <w:pStyle w:val="Heading3"/>
      </w:pPr>
      <w:r>
        <w:t xml:space="preserve">晑级路径推算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中等偏上玩家每场约 30 分，打满 15 场 = 450 分。稳定强者每场 50 分，15 场 = 750+。只打 5 场的玩家即使场场前 10（250 分），也可能因总分不足而落选——积分自然筛选出持续参与的玩家。</w:t>
      </w:r>
    </w:p>
    <w:p>
      <w:pPr>
        <w:spacing w:before="60" w:after="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预估晑级线：</w:t>
      </w:r>
      <w:r>
        <w:rPr>
          <w:rFonts w:ascii="Arial" w:cs="Arial" w:eastAsia="Arial" w:hAnsi="Arial"/>
          <w:sz w:val="22"/>
          <w:szCs w:val="22"/>
        </w:rPr>
        <w:t xml:space="preserve">约 150-250 分。500 人入围的门槛较低，给更多玩家参与总决赛的机会。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积分制优势：玩家打完每场立即知道获得多少分，可在排行榜实时查看离决赛线的差距。积分确定、可累加、透明——比浮动分数线更能驱动持续参与。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排名系统</w:t>
      </w:r>
    </w:p>
    <w:p>
      <w:pPr>
        <w:pStyle w:val="Heading2"/>
      </w:pPr>
      <w:r>
        <w:t xml:space="preserve">4.1 加权收益（Weighted P&amp;L）—— 主排名指标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玩家排名基于加权收益，而非原始盈亏。每笔交易盈亏乘以持仓时间权重，激励深思熟虑的交易。</w:t>
      </w:r>
    </w:p>
    <w:p>
      <w:pPr>
        <w:spacing w:before="60" w:after="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公式：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加权收益 = Σ（单笔原始盈亏 × 持仓时间权重）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持仓时长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 分钟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重罚——抑制噪音交易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– 3 分钟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中等惩罚——允许快速战术交易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– 10 分钟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0.7x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轻微惩罚——短线信念交易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– 30 分钟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基准权重——深思熟虑的交易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分钟 – 2 小时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1.15x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奖励——中线信念持仓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– 4+ 小时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1.3x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最高奖励——高信念长线持仓</w:t>
            </w:r>
          </w:p>
        </w:tc>
      </w:tr>
    </w:tbl>
    <w:p>
      <w:pPr>
        <w:spacing w:before="100" w:after="0"/>
      </w:pP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行为引导示例：30 秒刷单赚 +50 USDT 只计入 +10（0.2x）；持仓 2 小时赚 +50 USDT 计入 +65（1.3x）。</w:t>
      </w:r>
    </w:p>
    <w:p>
      <w:pPr>
        <w:pStyle w:val="Heading2"/>
      </w:pPr>
      <w:r>
        <w:t xml:space="preserve">4.2 参与分数（Participation Score）—— 参与度指标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参与分数衡量交易活跃度，作为奖金资格门槛，与盈亏独立。</w:t>
      </w:r>
    </w:p>
    <w:p>
      <w:pPr>
        <w:spacing w:before="60" w:after="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公式：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参与分数 = Σ（单笔交易规模 USDT × 持仓时间权重）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奖金资格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青铜 Bronze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4,999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无资格（无论排名多高均不发奖）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白银 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– 14,999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标准资格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黄金 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15,000 – 29,999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标准资格 + 徽章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钻石 Diamond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30,000+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总决赛晑级优先 + 徽章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青铜壁垒：参与分数低于 5,000 的玩家无法获得任何奖金，即使排名进入前 100。估计最低需要 3-5 笔有意义仓位的交易（持仓 10 分钟以上）才能超过青铜门槛。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奖金分配</w:t>
      </w:r>
    </w:p>
    <w:p>
      <w:pPr>
        <w:pStyle w:val="Heading2"/>
      </w:pPr>
      <w:r>
        <w:t xml:space="preserve">5.1 常规赛（每场 500 USDT）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每场常规赛向前 100 名玩家发放奖金。分配重心偏向中尾部，鼓励广泛参与。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单人奖金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累计占比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4-5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6-10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11-20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21-50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51-100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125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分配特点：前 10 名合计 195 USDT（39%），11-100 名合计 305 USDT（61%）。明确的参与导向分配——进入前 100 就有实质回报，第 51-100 名每人 2.5U 是“打一场赚杯奶茶”的真实动力。</w:t>
            </w:r>
          </w:p>
        </w:tc>
      </w:tr>
    </w:tbl>
    <w:p>
      <w:pPr>
        <w:pStyle w:val="Heading2"/>
      </w:pPr>
      <w:r>
        <w:t xml:space="preserve">5.2 月度总决赛（2,500 USDT）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500 名晑级选手竞争月度最大奖金池。前 100 名获得奖金，其余 400 人空手而归。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单人奖金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累计占比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冠军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亚军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季军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4-5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6-10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11-20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21-50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51-100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101-500 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总决赛特点：冠军 300 USDT。500 人入围仅 100 人获奖，获奖率 20%。排名 80-120 区间的选手会拼命争取进前 100——这是数据采集价值最高的高压区间。</w:t>
            </w:r>
          </w:p>
        </w:tc>
      </w:tr>
    </w:tbl>
    <w:p>
      <w:pPr>
        <w:pStyle w:val="Heading2"/>
      </w:pPr>
      <w:r>
        <w:t xml:space="preserve">5.3 晑级系统（资金与杠杆提升）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完成月度周期后，顶尖选手可晑级获得更大资金和杠杆。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杠杆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晑级条件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初级 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所有新玩家默认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中级 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月度平均加权收益前 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高级 Advanced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20,000 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连续 2 个月前 10%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反作弊系统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四层防御架构：注册预防、行为检测、规则威慑、社区执法。</w:t>
      </w:r>
    </w:p>
    <w:p>
      <w:pPr>
        <w:pStyle w:val="Heading2"/>
      </w:pPr>
      <w:r>
        <w:t xml:space="preserve">6.1 威胁模型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攻击向量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预估损失/月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单人多号对冲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一人两号反向开仓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200-500 USDT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团队协同对冲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多空分组，赢家提现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极高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1,000-3,000 USDT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信号跟随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复制头部玩家方向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间接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尾盘突袭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看到趋势后满仓梭哈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300-800 USDT</w:t>
            </w:r>
          </w:p>
        </w:tc>
      </w:tr>
    </w:tbl>
    <w:p>
      <w:pPr>
        <w:pStyle w:val="Heading2"/>
      </w:pPr>
      <w:r>
        <w:t xml:space="preserve">6.2 第一层：注册层防御</w:t>
      </w:r>
    </w:p>
    <w:p>
      <w:pPr>
        <w:pStyle w:val="Heading3"/>
      </w:pPr>
      <w:r>
        <w:t xml:space="preserve">6.2.1 设备指纹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客户端采集复合设备标识：canvas 哈希、WebGL 渲染器、屏幕分辨率、时区、字体枚举、音频上下文指纹。同一设备注册多号立即标记。</w:t>
      </w:r>
    </w:p>
    <w:p>
      <w:pPr>
        <w:pStyle w:val="Heading3"/>
      </w:pPr>
      <w:r>
        <w:t xml:space="preserve">6.2.2 IP 关联映射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记录注册和登录 IP，共享 IP 的账号在图结构中关联。单独 IP 重叠不触发处罚，但提高嫌疑分数。</w:t>
      </w:r>
    </w:p>
    <w:p>
      <w:pPr>
        <w:pStyle w:val="Heading2"/>
      </w:pPr>
      <w:r>
        <w:t xml:space="preserve">6.3 第二层：行为检测引擎（核心）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每场比赛结束后 48 小时内批量分析所有交易活动的异常关联。</w:t>
      </w:r>
    </w:p>
    <w:p>
      <w:pPr>
        <w:spacing w:before="60" w:after="0"/>
      </w:pPr>
    </w:p>
    <w:p>
      <w:pPr>
        <w:pStyle w:val="Heading3"/>
      </w:pPr>
      <w:r>
        <w:t xml:space="preserve">检测指标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可疑门槛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持仓相关性 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方向时间序列 Pearson 系数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-0.3 至 +0.3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|ρ| &gt; 0.70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时间同步度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时间戳最近邻距离中位数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 分钟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开平仓配对率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开仓时 B 在 ±60s 反向开仓比例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仓位镜像度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反向持仓时仓位大小相似度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0.80</w:t>
            </w:r>
          </w:p>
        </w:tc>
      </w:tr>
    </w:tbl>
    <w:p>
      <w:pPr>
        <w:spacing w:before="100" w:after="0"/>
      </w:pPr>
    </w:p>
    <w:p>
      <w:pPr>
        <w:pStyle w:val="Heading3"/>
      </w:pPr>
      <w:r>
        <w:t xml:space="preserve">综合嫌疑分数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SuspicionScore = 0.25×|ρ| + 0.20×时间同步 + 0.25×配对率 + 0.10×规模镜像 + 0.10×设备重叠 + 0.10×IP重叠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 – 0.39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0.40 – 0.59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观察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标记监控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0.60 – 0.79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嫌疑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冻结提现，人工审核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0.80 – 1.00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确认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自动取消资格，冻结账号</w:t>
            </w:r>
          </w:p>
        </w:tc>
      </w:tr>
    </w:tbl>
    <w:p>
      <w:pPr>
        <w:pStyle w:val="Heading2"/>
      </w:pPr>
      <w:r>
        <w:t xml:space="preserve">6.4 第三层：规则层经济威慑</w:t>
      </w:r>
    </w:p>
    <w:p>
      <w:pPr>
        <w:pStyle w:val="Heading3"/>
      </w:pPr>
      <w:r>
        <w:t xml:space="preserve">6.4.1 尾盘禁止开仓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比赛最后 30 分钟禁止开新仓，只允许平仓。</w:t>
      </w:r>
    </w:p>
    <w:p>
      <w:pPr>
        <w:pStyle w:val="Heading3"/>
      </w:pPr>
      <w:r>
        <w:t xml:space="preserve">6.4.2 青铜壁垒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参与分数低于 5,000 无奖金资格。对冲账号的“仅一笔交易”模式会被行为检测高分标记。</w:t>
      </w:r>
    </w:p>
    <w:p>
      <w:pPr>
        <w:pStyle w:val="Heading3"/>
      </w:pPr>
      <w:r>
        <w:t xml:space="preserve">6.4.3 方向一致性奖励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方向一致性 &gt;70% 的玩家获得 1.05x 加权收益乘数。对冲账号方向极端一致，反而更容易被检测抓住。</w:t>
      </w:r>
    </w:p>
    <w:p>
      <w:pPr>
        <w:pStyle w:val="Heading2"/>
      </w:pPr>
      <w:r>
        <w:t xml:space="preserve">6.5 第四层：社区执法</w:t>
      </w:r>
    </w:p>
    <w:p>
      <w:pPr>
        <w:pStyle w:val="Heading3"/>
      </w:pPr>
      <w:r>
        <w:t xml:space="preserve">6.5.1 作弊举报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玩家可举报可疑作弊者。经审核确认的举报奖励 10 USDT。</w:t>
      </w:r>
    </w:p>
    <w:p>
      <w:pPr>
        <w:pStyle w:val="Heading3"/>
      </w:pPr>
      <w:r>
        <w:t xml:space="preserve">6.5.2 48 小时审查窗口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所有奖金在比赛结束后延迟 48 小时发放。期间运行行为检测、处理举报、审核标记账号。</w:t>
      </w:r>
    </w:p>
    <w:p>
      <w:r>
        <w:br w:type="page"/>
      </w:r>
    </w:p>
    <w:p>
      <w:pPr>
        <w:pStyle w:val="Heading1"/>
      </w:pPr>
      <w:r>
        <w:t xml:space="preserve">7. 数据采集与行为建模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竞赛平台具有双重目的：用户娱乐产品 + 行为数据采集引擎。</w:t>
      </w:r>
    </w:p>
    <w:p>
      <w:pPr>
        <w:pStyle w:val="Heading2"/>
      </w:pPr>
      <w:r>
        <w:t xml:space="preserve">7.1 每笔交易采集数据点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建模价值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订单意图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方向、仓位比例、止盈止损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风险偏好、信念水平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执行上下文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决策时价格、波动率、订单簿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市场状态依赖行为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时间特征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时段、上笔间隔、比赛时长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疲劳模式、紧迫信号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持仓生命周期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时长、最大偏移、出场原因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耐心、亏损容忍、贪婪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竞赛上下文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排名、距奖金区、排名变化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压力反应、情绪交易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序列模式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交易序列、连赢连亏后仓位变化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赌徒谬误、马丁格尔</w:t>
            </w:r>
          </w:p>
        </w:tc>
      </w:tr>
    </w:tbl>
    <w:p>
      <w:pPr>
        <w:pStyle w:val="Heading2"/>
      </w:pPr>
      <w:r>
        <w:t xml:space="preserve">7.2 行为信号构建</w:t>
      </w:r>
    </w:p>
    <w:p>
      <w:pPr>
        <w:pStyle w:val="Heading3"/>
      </w:pPr>
      <w:r>
        <w:t xml:space="preserve">7.2.1 反向 Alpha 信号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识别持续亏损玩家群体（滚动 90 天后 30%），实时追踪聚合净持仓方向。极端共识（&gt;70% 净多/净空）时生成反向信号。历史回测预示反转概率 60-70%。</w:t>
      </w:r>
    </w:p>
    <w:p>
      <w:pPr>
        <w:pStyle w:val="Heading3"/>
      </w:pPr>
      <w:r>
        <w:t xml:space="preserve">7.2.2 压力诱导偏差信号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接近奖金区边界的玩家（排名 80-120）表现出可测量的行为差异：交易频率增加、仓位增大、追趋势偏差增强。</w:t>
      </w:r>
    </w:p>
    <w:p>
      <w:pPr>
        <w:pStyle w:val="Heading3"/>
      </w:pPr>
      <w:r>
        <w:t xml:space="preserve">7.2.3 情绪耗竭信号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全场多空比极端 + 平均持仓时间同步下降 = 恐慌/狂热中信念衰退。组合预测能力高于单一指标。</w:t>
      </w:r>
    </w:p>
    <w:p>
      <w:r>
        <w:br w:type="page"/>
      </w:r>
    </w:p>
    <w:p>
      <w:pPr>
        <w:pStyle w:val="Heading1"/>
      </w:pPr>
      <w:r>
        <w:t xml:space="preserve">8. 成本分析</w:t>
      </w:r>
    </w:p>
    <w:p>
      <w:pPr>
        <w:pStyle w:val="Heading2"/>
      </w:pPr>
      <w:r>
        <w:t xml:space="preserve">8.1 月度预算明细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常规赛奖金（500 × 15 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7,500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总决赛奖金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 USDT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固定，波动 0%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90B" w:sz="3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成本确定性：无储备金、无可变支出、无市场波动依赖。每月成本恰好是 10,000 USDT。年度总支出：120,000 USDT。</w:t>
            </w:r>
          </w:p>
        </w:tc>
      </w:tr>
    </w:tbl>
    <w:p>
      <w:pPr>
        <w:pStyle w:val="Heading2"/>
      </w:pPr>
      <w:r>
        <w:t xml:space="preserve">8.2 可扩展性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75/25 的预算比例在所有规模下保持不变，奖金表等比例缩放。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月度预算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常规赛单场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总决赛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常规赛冠军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总决赛冠军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10,000（当前）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用户体验设计</w:t>
      </w:r>
    </w:p>
    <w:p>
      <w:pPr>
        <w:pStyle w:val="Heading2"/>
      </w:pPr>
      <w:r>
        <w:t xml:space="preserve">9.1 非现金奖励层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排名范围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非现金奖励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 100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排行榜高亮、徽章、交易报告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101-300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银色边框、“前 30%” 徽章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301-500 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连续 3 场参赛获“老兵”徽章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所有参赛者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个人交易分析报告</w:t>
            </w:r>
          </w:p>
        </w:tc>
      </w:tr>
    </w:tbl>
    <w:p>
      <w:pPr>
        <w:spacing w:before="100" w:after="0"/>
      </w:pP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徽章、昵称高亮生产成本为零，但在竞技社区中具有真实心理价值。个人交易分析报告是未获奖玩家最强的留存工具。</w:t>
      </w:r>
    </w:p>
    <w:p>
      <w:pPr>
        <w:pStyle w:val="Heading2"/>
      </w:pPr>
      <w:r>
        <w:t xml:space="preserve">9.2 心理压力机制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排名焦虑条显示实时排名、距奖金区距离、被超越次数、晑级线附近拥挤玩家数；竞赛通知浮窗推送排名变动和超越警报；模拟聊天室制造社交传染。这些是核心数据采集工具。</w:t>
      </w:r>
    </w:p>
    <w:p>
      <w:pPr>
        <w:pStyle w:val="Heading2"/>
      </w:pPr>
      <w:r>
        <w:t xml:space="preserve">9.3 规则传达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如何运作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格式、24h、模拟资金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“免费参赛，真实奖金”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如何获胜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加权收益排名、时间权重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“思考后再交易”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奖金结构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 + 总决赛奖金表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“第一名赢 55U / 300U”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公平竞技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反作弊、48h审查、举报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“保护诚实玩家”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总决赛之路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积分规则、500人入围、前100获奖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“用时间证明自己”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实施路线图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开发分三个阶段，按上线紧迫度排序。</w:t>
      </w:r>
    </w:p>
    <w:p>
      <w:pPr>
        <w:spacing w:before="40" w:after="0"/>
      </w:pPr>
    </w:p>
    <w:p>
      <w:pPr>
        <w:pStyle w:val="Heading2"/>
      </w:pPr>
      <w:r>
        <w:t xml:space="preserve">第一阶段：核心竞赛引擎（第 1-4 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服务端交易引擎 — 仓位管理、盈亏计算、加权收益、参与分数迁移至后端。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服务端价格验证 — 后端独立 Binance WebSocket，永不信任客户端价格。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固定奖金池分配 + 积分赛制与总决赛晑级逻辑。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尾盘禁开仓 + 48 小时延迟发奖。</w:t>
      </w:r>
    </w:p>
    <w:p>
      <w:pPr>
        <w:spacing w:before="40" w:after="0"/>
      </w:pPr>
    </w:p>
    <w:p>
      <w:pPr>
        <w:pStyle w:val="Heading2"/>
      </w:pPr>
      <w:r>
        <w:t xml:space="preserve">第二阶段：反作弊基础设施（第 3-6 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设备指纹采集 + IP 关联图。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行为检测批处理（四个核心指标）+ 审查后台。</w:t>
      </w:r>
    </w:p>
    <w:p>
      <w:pPr>
        <w:spacing w:before="40" w:after="0"/>
      </w:pPr>
    </w:p>
    <w:p>
      <w:pPr>
        <w:pStyle w:val="Heading2"/>
      </w:pPr>
      <w:r>
        <w:t xml:space="preserve">第三阶段：参与与增长（第 5-8 周）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总决赛晑级追踪器 + 徽章与成就系统。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作弊举报界面 + 赛后交易分析报告。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晑级系统（初级 → 中级 → 高级）。</w:t>
      </w:r>
    </w:p>
    <w:p>
      <w:r>
        <w:br w:type="page"/>
      </w:r>
    </w:p>
    <w:p>
      <w:pPr>
        <w:pStyle w:val="Heading1"/>
      </w:pPr>
      <w:r>
        <w:t xml:space="preserve">附录：配置参数参考表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常规赛奖金池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随预算缩放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总决赛奖金池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2,500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随预算缩放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月度常规赛场次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约每 2 天一场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总决赛入围人数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随用户规模调整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总决赛获奖人数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 100 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可调整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每场最大参赛人数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可缩小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比赛时长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 小时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每场最大交易次数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平衡质量与自由度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尾盘禁开仓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分钟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可延长至 60 分钟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青铜门槛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若检测到博弈可提高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晑级筛选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积分自然筛选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无最低场次要求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审查窗口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小时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不低于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嫌疑冻结门槛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检测引擎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根据误报率调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嫌疑自动取消门槛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检测引擎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保守值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方向一致性奖励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1.05x (&gt;70%)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检测放大器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作弊举报奖励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USDT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从当月结余支出</w:t>
            </w:r>
          </w:p>
        </w:tc>
      </w:tr>
    </w:tbl>
    <w:p>
      <w:pPr>
        <w:spacing w:before="200" w:after="0"/>
      </w:pPr>
    </w:p>
    <w:p>
      <w:pPr>
        <w:pBdr>
          <w:top w:val="single" w:color="F0B90B" w:sz="2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文档结束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Trading Arena 比赛设计方案 v4.0 — 2026年3月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Trading Arena v4.0</w:t>
    </w:r>
    <w:r>
      <w:rPr>
        <w:rFonts w:ascii="Arial" w:cs="Arial" w:eastAsia="Arial" w:hAnsi="Arial"/>
        <w:color w:val="666666"/>
        <w:sz w:val="16"/>
        <w:szCs w:val="16"/>
      </w:rPr>
      <w:t xml:space="preserve">	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Trading Arena — 比赛设计方案</w:t>
    </w:r>
    <w:r>
      <w:rPr>
        <w:rFonts w:ascii="Arial" w:cs="Arial" w:eastAsia="Arial" w:hAnsi="Arial"/>
        <w:b/>
        <w:bCs/>
        <w:color w:val="F6465D"/>
        <w:sz w:val="16"/>
        <w:szCs w:val="16"/>
      </w:rPr>
      <w:t xml:space="preserve">	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0B90B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2026-03-02T02:58:01.762Z</dcterms:created>
  <dcterms:modified xsi:type="dcterms:W3CDTF">2026-03-02T02:58:01.763Z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