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rFonts w:eastAsia="Times New Roman" w:cs="Times New Roman"/>
          <w:b/>
          <w:szCs w:val="26"/>
        </w:rPr>
      </w:pPr>
      <w:r>
        <w:rPr>
          <w:rFonts w:eastAsia="Times New Roman" w:cs="Times New Roman"/>
          <w:b/>
          <w:szCs w:val="26"/>
        </w:rPr>
        <w:t xml:space="preserve">QUY TRÌNH ĐỊNH LƯỢNG ACID URIC </w:t>
      </w:r>
    </w:p>
    <w:p>
      <w:pPr>
        <w:pStyle w:val="Normal"/>
        <w:spacing w:lineRule="auto" w:line="240" w:before="0" w:after="0"/>
        <w:jc w:val="center"/>
        <w:rPr>
          <w:rFonts w:eastAsia="Times New Roman" w:cs="Times New Roman"/>
          <w:b/>
          <w:szCs w:val="26"/>
        </w:rPr>
      </w:pPr>
      <w:r>
        <w:rPr>
          <w:rFonts w:eastAsia="Times New Roman" w:cs="Times New Roman"/>
          <w:b/>
          <w:szCs w:val="26"/>
        </w:rPr>
      </w:r>
    </w:p>
    <w:p>
      <w:pPr>
        <w:pStyle w:val="Normal"/>
        <w:numPr>
          <w:ilvl w:val="0"/>
          <w:numId w:val="1"/>
        </w:numPr>
        <w:spacing w:lineRule="auto" w:line="276" w:before="60" w:after="60"/>
        <w:contextualSpacing/>
        <w:rPr>
          <w:b/>
          <w:bCs/>
        </w:rPr>
      </w:pPr>
      <w:r>
        <w:rPr>
          <w:rFonts w:eastAsia="Times New Roman" w:cs="Times New Roman"/>
          <w:b/>
          <w:bCs/>
          <w:szCs w:val="26"/>
        </w:rPr>
        <w:t>Kỹ thuật viên xét nghiệm tiếp nhận mẫu máu được chỉ định định lượng Acid Uric nhưng phát hiện bệnh phẩm được thu thập vào ống chứa chất chống đông EDTA. Theo quy trình kỹ thuật định lượng Acid Uric, nhận định nào sau đây là đúng về ảnh hưởng của chất chống đông này và hướng xử trí phù hợp?</w:t>
      </w:r>
    </w:p>
    <w:p>
      <w:pPr>
        <w:pStyle w:val="Normal"/>
        <w:spacing w:lineRule="auto" w:line="240" w:before="0" w:after="0"/>
        <w:jc w:val="start"/>
        <w:rPr>
          <w:color w:val="FF0000"/>
          <w:highlight w:val="none"/>
          <w:shd w:fill="auto" w:val="clear"/>
        </w:rPr>
      </w:pPr>
      <w:r>
        <w:rPr>
          <w:rFonts w:eastAsia="Times New Roman" w:cs="Times New Roman"/>
          <w:bCs/>
          <w:color w:val="FF0000"/>
          <w:szCs w:val="26"/>
          <w:shd w:fill="auto" w:val="clear"/>
        </w:rPr>
        <w:t xml:space="preserve">A. EDTA làm giảm kết quả xét nghiệm khoảng 7%; hướng xử trí là không sử dụng loại chất chống đông này và yêu cầu lấy lại mẫu. </w:t>
      </w:r>
    </w:p>
    <w:p>
      <w:pPr>
        <w:pStyle w:val="Normal"/>
        <w:spacing w:lineRule="auto" w:line="240" w:before="0" w:after="0"/>
        <w:jc w:val="start"/>
        <w:rPr>
          <w:rFonts w:eastAsia="Times New Roman" w:cs="Times New Roman"/>
          <w:szCs w:val="26"/>
        </w:rPr>
      </w:pPr>
      <w:r>
        <w:rPr>
          <w:rFonts w:eastAsia="Times New Roman" w:cs="Times New Roman"/>
          <w:szCs w:val="26"/>
        </w:rPr>
        <w:t xml:space="preserve">B. EDTA làm tăng kết quả xét nghiệm khoảng 7%; hướng xử trí là trừ đi 7% trên kết quả đo trực tiếp từ máy phân tích. </w:t>
      </w:r>
    </w:p>
    <w:p>
      <w:pPr>
        <w:pStyle w:val="Normal"/>
        <w:spacing w:lineRule="auto" w:line="240" w:before="0" w:after="0"/>
        <w:jc w:val="start"/>
        <w:rPr>
          <w:rFonts w:eastAsia="Times New Roman" w:cs="Times New Roman"/>
          <w:szCs w:val="26"/>
        </w:rPr>
      </w:pPr>
      <w:r>
        <w:rPr>
          <w:rFonts w:eastAsia="Times New Roman" w:cs="Times New Roman"/>
          <w:szCs w:val="26"/>
        </w:rPr>
        <w:t xml:space="preserve">C. EDTA gây kết quả ảnh hưởng không rõ; hướng xử trí là tiến hành pha loãng bệnh phẩm trước khi phân tích trên hệ thống. </w:t>
      </w:r>
    </w:p>
    <w:p>
      <w:pPr>
        <w:pStyle w:val="Normal"/>
        <w:spacing w:lineRule="auto" w:line="240" w:before="0" w:after="0"/>
        <w:jc w:val="start"/>
        <w:rPr>
          <w:rFonts w:eastAsia="Times New Roman" w:cs="Times New Roman"/>
          <w:szCs w:val="26"/>
        </w:rPr>
      </w:pPr>
      <w:r>
        <w:rPr>
          <w:rFonts w:eastAsia="Times New Roman" w:cs="Times New Roman"/>
          <w:szCs w:val="26"/>
        </w:rPr>
        <w:t>D. EDTA làm sai lệch kết quả do gây can thiệp màu; hướng xử trí là ly tâm lại bệnh phẩm ở nhiệt độ phòng (20–25°C).</w:t>
      </w:r>
    </w:p>
    <w:p>
      <w:pPr>
        <w:pStyle w:val="Normal"/>
        <w:numPr>
          <w:ilvl w:val="0"/>
          <w:numId w:val="1"/>
        </w:numPr>
        <w:spacing w:lineRule="auto" w:line="276" w:before="60" w:after="60"/>
        <w:contextualSpacing/>
        <w:rPr>
          <w:b/>
          <w:bCs/>
        </w:rPr>
      </w:pPr>
      <w:r>
        <w:rPr>
          <w:rFonts w:eastAsia="Times New Roman" w:cs="Times New Roman"/>
          <w:b/>
          <w:bCs/>
          <w:szCs w:val="26"/>
        </w:rPr>
        <w:t>Một mẫu huyết thanh xét nghiệm Acid Uric được bảo quản đông ở nhiệt độ -20°C trong vòng 3 tháng. Trước khi đưa bệnh phẩm vào hệ thống máy phân tích, kỹ thuật viên cần thực hiện đúng quy trình chuẩn bị bệnh phẩm nào dưới đây?</w:t>
      </w:r>
    </w:p>
    <w:p>
      <w:pPr>
        <w:pStyle w:val="Normal"/>
        <w:spacing w:lineRule="auto" w:line="240" w:before="0" w:after="0"/>
        <w:jc w:val="start"/>
        <w:rPr>
          <w:color w:val="FF0000"/>
        </w:rPr>
      </w:pPr>
      <w:r>
        <w:rPr>
          <w:rFonts w:eastAsia="Times New Roman" w:cs="Times New Roman"/>
          <w:bCs/>
          <w:color w:val="FF0000"/>
          <w:szCs w:val="26"/>
        </w:rPr>
        <w:t xml:space="preserve">A. Để bệnh phẩm ở nhiệt độ phòng (20–25°C), lắc đều trước khi phân tích và lưu ý mẫu chỉ được rã đông một lần. </w:t>
      </w:r>
    </w:p>
    <w:p>
      <w:pPr>
        <w:pStyle w:val="Normal"/>
        <w:spacing w:lineRule="auto" w:line="240" w:before="0" w:after="0"/>
        <w:jc w:val="start"/>
        <w:rPr>
          <w:rFonts w:eastAsia="Times New Roman" w:cs="Times New Roman"/>
          <w:szCs w:val="26"/>
        </w:rPr>
      </w:pPr>
      <w:r>
        <w:rPr>
          <w:rFonts w:eastAsia="Times New Roman" w:cs="Times New Roman"/>
          <w:szCs w:val="26"/>
        </w:rPr>
        <w:t xml:space="preserve">B. Để bệnh phẩm rã đông ở nhiệt độ 2–8°C trong 5 ngày, sau đó đem lắc siêu âm trước khi tiến hành xét nghiệm. </w:t>
      </w:r>
    </w:p>
    <w:p>
      <w:pPr>
        <w:pStyle w:val="Normal"/>
        <w:spacing w:lineRule="auto" w:line="240" w:before="0" w:after="0"/>
        <w:jc w:val="start"/>
        <w:rPr>
          <w:rFonts w:eastAsia="Times New Roman" w:cs="Times New Roman"/>
          <w:szCs w:val="26"/>
        </w:rPr>
      </w:pPr>
      <w:r>
        <w:rPr>
          <w:rFonts w:eastAsia="Times New Roman" w:cs="Times New Roman"/>
          <w:szCs w:val="26"/>
        </w:rPr>
        <w:t xml:space="preserve">C. Đưa ngay bệnh phẩm còn lạnh vào máy phân tích để tránh phân hủy enzyme, có thể rã đông lặp lại nếu cần chạy lại. </w:t>
      </w:r>
    </w:p>
    <w:p>
      <w:pPr>
        <w:pStyle w:val="Normal"/>
        <w:spacing w:lineRule="auto" w:line="240" w:before="0" w:after="0"/>
        <w:jc w:val="start"/>
        <w:rPr>
          <w:rFonts w:eastAsia="Times New Roman" w:cs="Times New Roman"/>
          <w:szCs w:val="26"/>
        </w:rPr>
      </w:pPr>
      <w:r>
        <w:rPr>
          <w:rFonts w:eastAsia="Times New Roman" w:cs="Times New Roman"/>
          <w:szCs w:val="26"/>
        </w:rPr>
        <w:t>D. Rã đông bệnh phẩm ở 37°C trong bể cách thủy, lắc đều và bổ sung thêm chất chống đông Heparin trước khi phân tích.</w:t>
      </w:r>
    </w:p>
    <w:p>
      <w:pPr>
        <w:pStyle w:val="Normal"/>
        <w:numPr>
          <w:ilvl w:val="0"/>
          <w:numId w:val="1"/>
        </w:numPr>
        <w:spacing w:lineRule="auto" w:line="276" w:before="60" w:after="60"/>
        <w:contextualSpacing/>
        <w:rPr>
          <w:b/>
          <w:bCs/>
        </w:rPr>
      </w:pPr>
      <w:r>
        <w:rPr>
          <w:rFonts w:eastAsia="Times New Roman" w:cs="Times New Roman"/>
          <w:b/>
          <w:bCs/>
          <w:szCs w:val="26"/>
          <w:shd w:fill="auto" w:val="clear"/>
        </w:rPr>
        <w:t>Trong phương pháp enzyme so màu định lượng Acid Uric, sự hình thành hợp chất màu đỏ để đo quang phụ thuộc vào thành phần thuốc thử và bước sóng đo nào sau đây?</w:t>
      </w:r>
    </w:p>
    <w:p>
      <w:pPr>
        <w:pStyle w:val="Normal"/>
        <w:spacing w:lineRule="auto" w:line="240" w:before="0" w:after="0"/>
        <w:jc w:val="start"/>
        <w:rPr>
          <w:color w:val="FF0000"/>
        </w:rPr>
      </w:pPr>
      <w:r>
        <w:rPr>
          <w:rFonts w:eastAsia="Times New Roman" w:cs="Times New Roman"/>
          <w:bCs/>
          <w:color w:val="FF0000"/>
          <w:szCs w:val="26"/>
        </w:rPr>
        <w:t xml:space="preserve">A. Thuốc thử R2 chứa Uricase, POD, 4-AAP; hợp chất màu đỏ được đo ở bước sóng 546nm. </w:t>
      </w:r>
    </w:p>
    <w:p>
      <w:pPr>
        <w:pStyle w:val="Normal"/>
        <w:spacing w:lineRule="auto" w:line="240" w:before="0" w:after="0"/>
        <w:jc w:val="start"/>
        <w:rPr>
          <w:rFonts w:eastAsia="Times New Roman" w:cs="Times New Roman"/>
          <w:szCs w:val="26"/>
        </w:rPr>
      </w:pPr>
      <w:r>
        <w:rPr>
          <w:rFonts w:eastAsia="Times New Roman" w:cs="Times New Roman"/>
          <w:szCs w:val="26"/>
        </w:rPr>
        <w:t xml:space="preserve">B. Thuốc thử R1 chứa Uricase, POD, 4-AAP; hợp chất màu đỏ được đo ở bước sóng 546nm. </w:t>
      </w:r>
    </w:p>
    <w:p>
      <w:pPr>
        <w:pStyle w:val="Normal"/>
        <w:spacing w:lineRule="auto" w:line="240" w:before="0" w:after="0"/>
        <w:jc w:val="start"/>
        <w:rPr>
          <w:rFonts w:eastAsia="Times New Roman" w:cs="Times New Roman"/>
          <w:szCs w:val="26"/>
        </w:rPr>
      </w:pPr>
      <w:r>
        <w:rPr>
          <w:rFonts w:eastAsia="Times New Roman" w:cs="Times New Roman"/>
          <w:szCs w:val="26"/>
        </w:rPr>
        <w:t xml:space="preserve">C. Thuốc thử R2 chứa buffer, TOOS; hợp chất màu đỏ được đo ở bước sóng 202nm. </w:t>
      </w:r>
    </w:p>
    <w:p>
      <w:pPr>
        <w:pStyle w:val="Normal"/>
        <w:spacing w:lineRule="auto" w:line="240" w:before="0" w:after="0"/>
        <w:jc w:val="start"/>
        <w:rPr>
          <w:rFonts w:eastAsia="Times New Roman" w:cs="Times New Roman"/>
          <w:szCs w:val="26"/>
        </w:rPr>
      </w:pPr>
      <w:r>
        <w:rPr>
          <w:rFonts w:eastAsia="Times New Roman" w:cs="Times New Roman"/>
          <w:szCs w:val="26"/>
        </w:rPr>
        <w:t>D. Thuốc thử R1 chứa Uricase, Allantoin; hợp chất màu đỏ được đo ở bước sóng 399nm.</w:t>
      </w:r>
    </w:p>
    <w:p>
      <w:pPr>
        <w:pStyle w:val="Normal"/>
        <w:numPr>
          <w:ilvl w:val="0"/>
          <w:numId w:val="1"/>
        </w:numPr>
        <w:spacing w:lineRule="auto" w:line="276" w:before="60" w:after="60"/>
        <w:contextualSpacing/>
        <w:rPr>
          <w:b/>
          <w:bCs/>
        </w:rPr>
      </w:pPr>
      <w:r>
        <w:rPr>
          <w:rFonts w:eastAsia="Times New Roman" w:cs="Times New Roman"/>
          <w:b/>
          <w:bCs/>
          <w:szCs w:val="26"/>
        </w:rPr>
        <w:t>Khi kiểm tra việc quản lý hóa chất trên máy phân tích sinh hóa tự động, quy định về nhiệt độ và thời gian bảo quản thuốc thử định lượng Acid Uric được áp dụng như thế nào?</w:t>
      </w:r>
    </w:p>
    <w:p>
      <w:pPr>
        <w:pStyle w:val="Normal"/>
        <w:spacing w:lineRule="auto" w:line="240" w:before="0" w:after="0"/>
        <w:jc w:val="start"/>
        <w:rPr>
          <w:color w:val="FF0000"/>
        </w:rPr>
      </w:pPr>
      <w:r>
        <w:rPr>
          <w:rFonts w:eastAsia="Times New Roman" w:cs="Times New Roman"/>
          <w:bCs/>
          <w:color w:val="FF0000"/>
          <w:szCs w:val="26"/>
        </w:rPr>
        <w:t xml:space="preserve">A. Bảo quản ở 2–8°C đến khi hết hạn sử dụng, và tối đa 8 tuần khi để trên máy phân tích. </w:t>
      </w:r>
    </w:p>
    <w:p>
      <w:pPr>
        <w:pStyle w:val="Normal"/>
        <w:spacing w:lineRule="auto" w:line="240" w:before="0" w:after="0"/>
        <w:jc w:val="start"/>
        <w:rPr>
          <w:rFonts w:eastAsia="Times New Roman" w:cs="Times New Roman"/>
          <w:szCs w:val="26"/>
        </w:rPr>
      </w:pPr>
      <w:r>
        <w:rPr>
          <w:rFonts w:eastAsia="Times New Roman" w:cs="Times New Roman"/>
          <w:szCs w:val="26"/>
        </w:rPr>
        <w:t xml:space="preserve">B. Bảo quản ở 2–8°C trong 8 tuần, và tối đa 5 ngày khi đã đặt lên máy phân tích. </w:t>
      </w:r>
    </w:p>
    <w:p>
      <w:pPr>
        <w:pStyle w:val="Normal"/>
        <w:spacing w:lineRule="auto" w:line="240" w:before="0" w:after="0"/>
        <w:jc w:val="start"/>
        <w:rPr>
          <w:rFonts w:eastAsia="Times New Roman" w:cs="Times New Roman"/>
          <w:szCs w:val="26"/>
        </w:rPr>
      </w:pPr>
      <w:r>
        <w:rPr>
          <w:rFonts w:eastAsia="Times New Roman" w:cs="Times New Roman"/>
          <w:szCs w:val="26"/>
        </w:rPr>
        <w:t xml:space="preserve">C. Bảo quản ở nhiệt độ phòng (20–25°C) đến khi hết hạn, và tối đa 6 tháng khi để trên máy phân tích. </w:t>
      </w:r>
    </w:p>
    <w:p>
      <w:pPr>
        <w:pStyle w:val="Normal"/>
        <w:spacing w:lineRule="auto" w:line="240" w:before="0" w:after="0"/>
        <w:jc w:val="start"/>
        <w:rPr>
          <w:rFonts w:eastAsia="Times New Roman" w:cs="Times New Roman"/>
          <w:szCs w:val="26"/>
        </w:rPr>
      </w:pPr>
      <w:r>
        <w:rPr>
          <w:rFonts w:eastAsia="Times New Roman" w:cs="Times New Roman"/>
          <w:szCs w:val="26"/>
        </w:rPr>
        <w:t>D. Bảo quản ở -20°C đến khi hết hạn sử dụng, và tối đa 12 tuần khi để trên máy phân tích.</w:t>
      </w:r>
    </w:p>
    <w:p>
      <w:pPr>
        <w:pStyle w:val="Normal"/>
        <w:numPr>
          <w:ilvl w:val="0"/>
          <w:numId w:val="1"/>
        </w:numPr>
        <w:spacing w:lineRule="auto" w:line="276" w:before="60" w:after="60"/>
        <w:contextualSpacing/>
        <w:rPr>
          <w:b/>
          <w:bCs/>
        </w:rPr>
      </w:pPr>
      <w:r>
        <w:rPr>
          <w:rFonts w:eastAsia="Times New Roman" w:cs="Times New Roman"/>
          <w:b/>
          <w:bCs/>
          <w:szCs w:val="26"/>
        </w:rPr>
        <w:t>Hệ thống máy sinh hóa trả về cảnh báo kết quả nồng độ Acid Uric của bệnh nhân vượt quá dải đo của kỹ thuật (dải đo 11,9 – 1487 pmol/L). Kỹ thuật viên cần thực hiện hành động xử trí nào theo đúng hướng dẫn quy trình?</w:t>
      </w:r>
    </w:p>
    <w:p>
      <w:pPr>
        <w:pStyle w:val="Normal"/>
        <w:spacing w:lineRule="auto" w:line="240" w:before="0" w:after="0"/>
        <w:jc w:val="start"/>
        <w:rPr>
          <w:color w:val="FF0000"/>
        </w:rPr>
      </w:pPr>
      <w:r>
        <w:rPr>
          <w:rFonts w:eastAsia="Times New Roman" w:cs="Times New Roman"/>
          <w:bCs/>
          <w:color w:val="FF0000"/>
          <w:szCs w:val="26"/>
        </w:rPr>
        <w:t xml:space="preserve">A. Tiến hành pha loãng bệnh phẩm rồi mới phân tích lại trên hệ thống. </w:t>
      </w:r>
    </w:p>
    <w:p>
      <w:pPr>
        <w:pStyle w:val="Normal"/>
        <w:spacing w:lineRule="auto" w:line="240" w:before="0" w:after="0"/>
        <w:jc w:val="start"/>
        <w:rPr>
          <w:rFonts w:eastAsia="Times New Roman" w:cs="Times New Roman"/>
          <w:szCs w:val="26"/>
        </w:rPr>
      </w:pPr>
      <w:r>
        <w:rPr>
          <w:rFonts w:eastAsia="Times New Roman" w:cs="Times New Roman"/>
          <w:szCs w:val="26"/>
        </w:rPr>
        <w:t xml:space="preserve">B. Yêu cầu lấy lại mẫu máu mới vào ống chống đông EDTA để làm giảm nồng độ. </w:t>
      </w:r>
    </w:p>
    <w:p>
      <w:pPr>
        <w:pStyle w:val="Normal"/>
        <w:spacing w:lineRule="auto" w:line="240" w:before="0" w:after="0"/>
        <w:jc w:val="start"/>
        <w:rPr>
          <w:rFonts w:eastAsia="Times New Roman" w:cs="Times New Roman"/>
          <w:szCs w:val="26"/>
        </w:rPr>
      </w:pPr>
      <w:r>
        <w:rPr>
          <w:rFonts w:eastAsia="Times New Roman" w:cs="Times New Roman"/>
          <w:szCs w:val="26"/>
        </w:rPr>
        <w:t xml:space="preserve">C. Chuẩn lại máy (calibration) và trả ngay kết quả đo ban đầu của hệ thống. </w:t>
      </w:r>
    </w:p>
    <w:p>
      <w:pPr>
        <w:pStyle w:val="Normal"/>
        <w:spacing w:lineRule="auto" w:line="240" w:before="0" w:after="0"/>
        <w:jc w:val="start"/>
        <w:rPr>
          <w:rFonts w:eastAsia="Times New Roman" w:cs="Times New Roman"/>
          <w:szCs w:val="26"/>
        </w:rPr>
      </w:pPr>
      <w:r>
        <w:rPr>
          <w:rFonts w:eastAsia="Times New Roman" w:cs="Times New Roman"/>
          <w:szCs w:val="26"/>
        </w:rPr>
        <w:t>D. Hủy kết quả xét nghiệm vì đây là biến chứng sai lệch không thể khắc phục.</w:t>
      </w:r>
    </w:p>
    <w:p>
      <w:pPr>
        <w:pStyle w:val="Normal"/>
        <w:numPr>
          <w:ilvl w:val="0"/>
          <w:numId w:val="1"/>
        </w:numPr>
        <w:spacing w:lineRule="auto" w:line="276" w:before="60" w:after="60"/>
        <w:contextualSpacing/>
        <w:rPr>
          <w:b/>
          <w:bCs/>
        </w:rPr>
      </w:pPr>
      <w:r>
        <w:rPr>
          <w:rFonts w:eastAsia="Times New Roman" w:cs="Times New Roman"/>
          <w:b/>
          <w:bCs/>
          <w:szCs w:val="26"/>
        </w:rPr>
        <w:t>Trong giai đoạn nhận định chất lượng bệnh phẩm, trường hợp mẫu máu nào dưới đây được ghi nhận trong quy trình kỹ thuật gây ra tác động "kết quả ảnh hưởng không rõ" đối với định lượng Acid Uric?</w:t>
      </w:r>
    </w:p>
    <w:p>
      <w:pPr>
        <w:pStyle w:val="Normal"/>
        <w:spacing w:lineRule="auto" w:line="240" w:before="0" w:after="0"/>
        <w:jc w:val="start"/>
        <w:rPr>
          <w:color w:val="FF0000"/>
        </w:rPr>
      </w:pPr>
      <w:r>
        <w:rPr>
          <w:rFonts w:eastAsia="Times New Roman" w:cs="Times New Roman"/>
          <w:bCs/>
          <w:color w:val="FF0000"/>
          <w:szCs w:val="26"/>
        </w:rPr>
        <w:t xml:space="preserve">A. Bệnh phẩm bị tăng bilirubin, huyết tán, tăng lipid máu hoặc bệnh nhân đang sử dụng thuốc. </w:t>
      </w:r>
    </w:p>
    <w:p>
      <w:pPr>
        <w:pStyle w:val="Normal"/>
        <w:spacing w:lineRule="auto" w:line="240" w:before="0" w:after="0"/>
        <w:jc w:val="start"/>
        <w:rPr>
          <w:rFonts w:eastAsia="Times New Roman" w:cs="Times New Roman"/>
          <w:szCs w:val="26"/>
        </w:rPr>
      </w:pPr>
      <w:r>
        <w:rPr>
          <w:rFonts w:eastAsia="Times New Roman" w:cs="Times New Roman"/>
          <w:szCs w:val="26"/>
        </w:rPr>
        <w:t xml:space="preserve">B. Bệnh phẩm là huyết tương được thu thập bằng chất chống đông heparin đúng kỹ thuật. </w:t>
      </w:r>
    </w:p>
    <w:p>
      <w:pPr>
        <w:pStyle w:val="Normal"/>
        <w:spacing w:lineRule="auto" w:line="240" w:before="0" w:after="0"/>
        <w:jc w:val="start"/>
        <w:rPr>
          <w:rFonts w:eastAsia="Times New Roman" w:cs="Times New Roman"/>
          <w:szCs w:val="26"/>
        </w:rPr>
      </w:pPr>
      <w:r>
        <w:rPr>
          <w:rFonts w:eastAsia="Times New Roman" w:cs="Times New Roman"/>
          <w:szCs w:val="26"/>
        </w:rPr>
        <w:t xml:space="preserve">C. Bệnh phẩm huyết thanh được rã đông một lần sau khi bảo quản ở nhiệt độ -20°C. </w:t>
      </w:r>
    </w:p>
    <w:p>
      <w:pPr>
        <w:pStyle w:val="Normal"/>
        <w:spacing w:lineRule="auto" w:line="240" w:before="0" w:after="0"/>
        <w:jc w:val="start"/>
        <w:rPr>
          <w:rFonts w:eastAsia="Times New Roman" w:cs="Times New Roman"/>
          <w:szCs w:val="26"/>
        </w:rPr>
      </w:pPr>
      <w:r>
        <w:rPr>
          <w:rFonts w:eastAsia="Times New Roman" w:cs="Times New Roman"/>
          <w:szCs w:val="26"/>
        </w:rPr>
        <w:t>D. Bệnh phẩm được thu thập vào buổi sáng sau khi người bệnh đã nhịn ăn sáng.</w:t>
      </w:r>
    </w:p>
    <w:p>
      <w:pPr>
        <w:pStyle w:val="Normal"/>
        <w:numPr>
          <w:ilvl w:val="0"/>
          <w:numId w:val="1"/>
        </w:numPr>
        <w:spacing w:lineRule="auto" w:line="276" w:before="60" w:after="60"/>
        <w:contextualSpacing/>
        <w:rPr>
          <w:b/>
          <w:bCs/>
        </w:rPr>
      </w:pPr>
      <w:r>
        <w:rPr>
          <w:rFonts w:eastAsia="Times New Roman" w:cs="Times New Roman"/>
          <w:b/>
          <w:bCs/>
          <w:szCs w:val="26"/>
        </w:rPr>
        <w:t>Khi xem xét và nhận định kết quả xét nghiệm Acid Uric máu cho người bệnh, kỹ thuật viên cần lưu ý nồng độ Acid Uric máu GIẢM có thể xuất hiện trong nhóm bệnh lý nào sau đây?</w:t>
      </w:r>
    </w:p>
    <w:p>
      <w:pPr>
        <w:pStyle w:val="Normal"/>
        <w:spacing w:lineRule="auto" w:line="240" w:before="0" w:after="0"/>
        <w:jc w:val="start"/>
        <w:rPr>
          <w:color w:val="FF0000"/>
        </w:rPr>
      </w:pPr>
      <w:r>
        <w:rPr>
          <w:rFonts w:eastAsia="Times New Roman" w:cs="Times New Roman"/>
          <w:bCs/>
          <w:color w:val="FF0000"/>
          <w:szCs w:val="26"/>
        </w:rPr>
        <w:t xml:space="preserve">A. Bệnh Willson, Cơn liệt chu kỳ, Xanthin niệu. </w:t>
      </w:r>
    </w:p>
    <w:p>
      <w:pPr>
        <w:pStyle w:val="Normal"/>
        <w:spacing w:lineRule="auto" w:line="240" w:before="0" w:after="0"/>
        <w:jc w:val="start"/>
        <w:rPr>
          <w:rFonts w:eastAsia="Times New Roman" w:cs="Times New Roman"/>
          <w:szCs w:val="26"/>
        </w:rPr>
      </w:pPr>
      <w:r>
        <w:rPr>
          <w:rFonts w:eastAsia="Times New Roman" w:cs="Times New Roman"/>
          <w:szCs w:val="26"/>
        </w:rPr>
        <w:t xml:space="preserve">B. Bệnh Goutte, Suy thận, Nhiễm độc chì. </w:t>
      </w:r>
    </w:p>
    <w:p>
      <w:pPr>
        <w:pStyle w:val="Normal"/>
        <w:spacing w:lineRule="auto" w:line="240" w:before="0" w:after="0"/>
        <w:jc w:val="start"/>
        <w:rPr>
          <w:rFonts w:eastAsia="Times New Roman" w:cs="Times New Roman"/>
          <w:szCs w:val="26"/>
        </w:rPr>
      </w:pPr>
      <w:r>
        <w:rPr>
          <w:rFonts w:eastAsia="Times New Roman" w:cs="Times New Roman"/>
          <w:szCs w:val="26"/>
        </w:rPr>
        <w:t xml:space="preserve">C. Suy thận, Nhiễm độc thủy ngân, Bệnh Goutte. </w:t>
      </w:r>
    </w:p>
    <w:p>
      <w:pPr>
        <w:pStyle w:val="Normal"/>
        <w:spacing w:lineRule="auto" w:line="240" w:before="0" w:after="0"/>
        <w:jc w:val="start"/>
        <w:rPr>
          <w:rFonts w:eastAsia="Times New Roman" w:cs="Times New Roman"/>
          <w:szCs w:val="26"/>
        </w:rPr>
      </w:pPr>
      <w:r>
        <w:rPr>
          <w:rFonts w:eastAsia="Times New Roman" w:cs="Times New Roman"/>
          <w:szCs w:val="26"/>
        </w:rPr>
        <w:t>D. Bệnh Willson, Suy thận, Nhiễm độc chì.</w:t>
      </w:r>
    </w:p>
    <w:p>
      <w:pPr>
        <w:pStyle w:val="Normal"/>
        <w:numPr>
          <w:ilvl w:val="0"/>
          <w:numId w:val="1"/>
        </w:numPr>
        <w:spacing w:lineRule="auto" w:line="276" w:before="60" w:after="60"/>
        <w:contextualSpacing/>
        <w:rPr>
          <w:b/>
          <w:bCs/>
        </w:rPr>
      </w:pPr>
      <w:r>
        <w:rPr>
          <w:rFonts w:eastAsia="Times New Roman" w:cs="Times New Roman"/>
          <w:b/>
          <w:bCs/>
          <w:szCs w:val="26"/>
          <w:shd w:fill="auto" w:val="clear"/>
        </w:rPr>
        <w:t>Khi phân tích và trả kết quả xét nghiệm Acid Uric, trị số đo được của người bệnh cần được so sánh với khoảng giá trị tham chiếu bình thường phân theo giới tính quy định là bao nhiêu?</w:t>
      </w:r>
      <w:r>
        <w:rPr>
          <w:rFonts w:eastAsia="Times New Roman" w:cs="Times New Roman"/>
          <w:b/>
          <w:bCs/>
          <w:szCs w:val="26"/>
          <w:shd w:fill="auto" w:val="clear"/>
          <w:lang w:val="vi-VN"/>
        </w:rPr>
        <w:t xml:space="preserve"> </w:t>
      </w:r>
    </w:p>
    <w:p>
      <w:pPr>
        <w:pStyle w:val="Normal"/>
        <w:spacing w:lineRule="auto" w:line="240" w:before="0" w:after="0"/>
        <w:jc w:val="start"/>
        <w:rPr>
          <w:color w:val="000000"/>
        </w:rPr>
      </w:pPr>
      <w:r>
        <w:rPr>
          <w:rFonts w:eastAsia="Times New Roman" w:cs="Times New Roman"/>
          <w:bCs/>
          <w:color w:val="000000"/>
          <w:szCs w:val="26"/>
        </w:rPr>
        <w:t xml:space="preserve">A. Nam: 202 – 416 pmol/l; Nữ: 143 – 399 pmol/l. </w:t>
      </w:r>
    </w:p>
    <w:p>
      <w:pPr>
        <w:pStyle w:val="Normal"/>
        <w:spacing w:lineRule="auto" w:line="240" w:before="0" w:after="0"/>
        <w:jc w:val="start"/>
        <w:rPr>
          <w:rFonts w:eastAsia="Times New Roman" w:cs="Times New Roman"/>
          <w:szCs w:val="26"/>
        </w:rPr>
      </w:pPr>
      <w:r>
        <w:rPr>
          <w:rFonts w:eastAsia="Times New Roman" w:cs="Times New Roman"/>
          <w:szCs w:val="26"/>
        </w:rPr>
        <w:t xml:space="preserve">B. Nam: 143 – 399 pmol/l; Nữ: 202 – 416 pmol/l. </w:t>
      </w:r>
    </w:p>
    <w:p>
      <w:pPr>
        <w:pStyle w:val="Normal"/>
        <w:spacing w:lineRule="auto" w:line="240" w:before="0" w:after="0"/>
        <w:jc w:val="start"/>
        <w:rPr>
          <w:rFonts w:eastAsia="Times New Roman" w:cs="Times New Roman"/>
          <w:szCs w:val="26"/>
        </w:rPr>
      </w:pPr>
      <w:r>
        <w:rPr>
          <w:rFonts w:eastAsia="Times New Roman" w:cs="Times New Roman"/>
          <w:szCs w:val="26"/>
        </w:rPr>
        <w:t xml:space="preserve">C. Nam: 11,9 – 1487 pmol/l; Nữ: 11,9 – 1487 pmol/l. </w:t>
      </w:r>
    </w:p>
    <w:p>
      <w:pPr>
        <w:pStyle w:val="Normal"/>
        <w:spacing w:lineRule="auto" w:line="240" w:before="0" w:after="0"/>
        <w:jc w:val="start"/>
        <w:rPr>
          <w:color w:val="FF0000"/>
        </w:rPr>
      </w:pPr>
      <w:r>
        <w:rPr>
          <w:rFonts w:eastAsia="Times New Roman" w:cs="Times New Roman"/>
          <w:color w:val="FF0000"/>
          <w:szCs w:val="26"/>
        </w:rPr>
        <w:t>D. Nam: 202 – 416 µmol/l; Nữ: 143 – 399 µmol/l.</w:t>
      </w:r>
    </w:p>
    <w:p>
      <w:pPr>
        <w:pStyle w:val="Normal"/>
        <w:numPr>
          <w:ilvl w:val="0"/>
          <w:numId w:val="1"/>
        </w:numPr>
        <w:spacing w:lineRule="auto" w:line="276" w:before="60" w:after="60"/>
        <w:contextualSpacing/>
        <w:rPr>
          <w:b/>
          <w:bCs/>
        </w:rPr>
      </w:pPr>
      <w:r>
        <w:rPr>
          <w:rFonts w:eastAsia="Times New Roman" w:cs="Times New Roman"/>
          <w:b/>
          <w:bCs/>
          <w:szCs w:val="26"/>
        </w:rPr>
        <w:t>Trong bước tiến hành kỹ thuật định lượng Acid Uric, điều kiện bắt buộc liên quan đến công tác kiểm tra chất lượng (nội kiểm - IQC) trước khi tiến hành phân tích bệnh phẩm là gì?</w:t>
      </w:r>
    </w:p>
    <w:p>
      <w:pPr>
        <w:pStyle w:val="Normal"/>
        <w:spacing w:lineRule="auto" w:line="240" w:before="0" w:after="0"/>
        <w:jc w:val="start"/>
        <w:rPr>
          <w:color w:val="FF0000"/>
        </w:rPr>
      </w:pPr>
      <w:r>
        <w:rPr>
          <w:rFonts w:eastAsia="Times New Roman" w:cs="Times New Roman"/>
          <w:bCs/>
          <w:color w:val="FF0000"/>
          <w:szCs w:val="26"/>
        </w:rPr>
        <w:t xml:space="preserve">A. Chạy control 2 miền (bình thường và bất thường), kết quả nằm trong miền cho phép và đối chiếu đạt luật nội kiểm. </w:t>
      </w:r>
      <w:bookmarkStart w:id="0" w:name="_GoBack"/>
      <w:bookmarkEnd w:id="0"/>
    </w:p>
    <w:p>
      <w:pPr>
        <w:pStyle w:val="Normal"/>
        <w:spacing w:lineRule="auto" w:line="240" w:before="0" w:after="0"/>
        <w:jc w:val="start"/>
        <w:rPr>
          <w:rFonts w:eastAsia="Times New Roman" w:cs="Times New Roman"/>
          <w:szCs w:val="26"/>
        </w:rPr>
      </w:pPr>
      <w:r>
        <w:rPr>
          <w:rFonts w:eastAsia="Times New Roman" w:cs="Times New Roman"/>
          <w:szCs w:val="26"/>
        </w:rPr>
        <w:t xml:space="preserve">B. Chạy control 1 miền bất thường, kết quả đạt miền cho phép mà không bắt buộc đối chiếu luật nội kiểm. </w:t>
      </w:r>
    </w:p>
    <w:p>
      <w:pPr>
        <w:pStyle w:val="Normal"/>
        <w:spacing w:lineRule="auto" w:line="240" w:before="0" w:after="0"/>
        <w:jc w:val="start"/>
        <w:rPr>
          <w:rFonts w:eastAsia="Times New Roman" w:cs="Times New Roman"/>
          <w:szCs w:val="26"/>
        </w:rPr>
      </w:pPr>
      <w:r>
        <w:rPr>
          <w:rFonts w:eastAsia="Times New Roman" w:cs="Times New Roman"/>
          <w:szCs w:val="26"/>
        </w:rPr>
        <w:t xml:space="preserve">C. Chỉ cần kiểm tra hóa chất R1, R2 sẵn sàng trên máy mà không cần phân tích mẫu control hàng ngày. </w:t>
      </w:r>
    </w:p>
    <w:p>
      <w:pPr>
        <w:pStyle w:val="Normal"/>
        <w:spacing w:lineRule="auto" w:line="240" w:before="0" w:after="0"/>
        <w:jc w:val="start"/>
        <w:rPr>
          <w:rFonts w:eastAsia="Times New Roman" w:cs="Times New Roman"/>
          <w:szCs w:val="26"/>
        </w:rPr>
      </w:pPr>
      <w:r>
        <w:rPr>
          <w:rFonts w:eastAsia="Times New Roman" w:cs="Times New Roman"/>
          <w:szCs w:val="26"/>
        </w:rPr>
        <w:t>D. Phải tiến hành chuẩn lại hệ thống (calibration) trước mỗi lần đưa bệnh phẩm của từng người bệnh vào phân tích.</w:t>
      </w:r>
    </w:p>
    <w:p>
      <w:pPr>
        <w:pStyle w:val="Normal"/>
        <w:numPr>
          <w:ilvl w:val="0"/>
          <w:numId w:val="1"/>
        </w:numPr>
        <w:spacing w:lineRule="auto" w:line="276" w:before="60" w:after="60"/>
        <w:contextualSpacing/>
        <w:rPr>
          <w:b/>
          <w:bCs/>
        </w:rPr>
      </w:pPr>
      <w:r>
        <w:rPr>
          <w:rFonts w:eastAsia="Times New Roman" w:cs="Times New Roman"/>
          <w:b/>
          <w:bCs/>
          <w:szCs w:val="26"/>
        </w:rPr>
        <w:t>Đảm bảo chất lượng ở giai đoạn trước xét nghiệm đòi hỏi việc chuẩn bị người bệnh và thông tin trên phiếu xét nghiệm Acid Uric phải tuân thủ đúng yêu cầu nào dưới đây?</w:t>
      </w:r>
    </w:p>
    <w:p>
      <w:pPr>
        <w:pStyle w:val="Normal"/>
        <w:spacing w:lineRule="auto" w:line="240" w:before="0" w:after="0"/>
        <w:jc w:val="start"/>
        <w:rPr>
          <w:rFonts w:eastAsia="Times New Roman" w:cs="Times New Roman"/>
          <w:bCs/>
          <w:color w:val="0000FF"/>
          <w:szCs w:val="26"/>
        </w:rPr>
      </w:pPr>
      <w:r>
        <w:rPr>
          <w:rFonts w:eastAsia="Times New Roman" w:cs="Times New Roman"/>
          <w:bCs/>
          <w:color w:val="FF0000"/>
          <w:szCs w:val="26"/>
        </w:rPr>
        <w:t>A. Người bệnh tốt nhất nhịn ăn sáng và lấy máu buổi sáng; phiếu xét nghiệm ghi đầy đủ thông tin hành chính, chẩn đoán, tình trạng mẫu, bác sĩ chỉ định và các thuốc đã sử dụng.</w:t>
      </w:r>
      <w:r>
        <w:rPr>
          <w:rFonts w:eastAsia="Times New Roman" w:cs="Times New Roman"/>
          <w:bCs/>
          <w:color w:val="0000FF"/>
          <w:szCs w:val="26"/>
        </w:rPr>
        <w:t xml:space="preserve"> </w:t>
      </w:r>
    </w:p>
    <w:p>
      <w:pPr>
        <w:pStyle w:val="Normal"/>
        <w:spacing w:lineRule="auto" w:line="240" w:before="0" w:after="0"/>
        <w:jc w:val="start"/>
        <w:rPr>
          <w:rFonts w:eastAsia="Times New Roman" w:cs="Times New Roman"/>
          <w:szCs w:val="26"/>
        </w:rPr>
      </w:pPr>
      <w:r>
        <w:rPr>
          <w:rFonts w:eastAsia="Times New Roman" w:cs="Times New Roman"/>
          <w:szCs w:val="26"/>
        </w:rPr>
        <w:t xml:space="preserve">B. Người bệnh bắt buộc nhịn ăn hoàn toàn 24 giờ; phiếu xét nghiệm chỉ cần ghi họ tên người bệnh và tên bác sĩ chỉ định. </w:t>
      </w:r>
    </w:p>
    <w:p>
      <w:pPr>
        <w:pStyle w:val="Normal"/>
        <w:spacing w:lineRule="auto" w:line="240" w:before="0" w:after="0"/>
        <w:jc w:val="start"/>
        <w:rPr>
          <w:rFonts w:eastAsia="Times New Roman" w:cs="Times New Roman"/>
          <w:szCs w:val="26"/>
        </w:rPr>
      </w:pPr>
      <w:r>
        <w:rPr>
          <w:rFonts w:eastAsia="Times New Roman" w:cs="Times New Roman"/>
          <w:szCs w:val="26"/>
        </w:rPr>
        <w:t xml:space="preserve">C. Người bệnh lấy máu vào bất kỳ thời điểm nào sau khi ăn no; phiếu xét nghiệm không bắt buộc ghi nhận danh mục thuốc đã sử dụng. </w:t>
      </w:r>
    </w:p>
    <w:p>
      <w:pPr>
        <w:pStyle w:val="Normal"/>
        <w:spacing w:lineRule="auto" w:line="240" w:before="0" w:after="0"/>
        <w:jc w:val="start"/>
        <w:rPr>
          <w:rFonts w:eastAsia="Times New Roman" w:cs="Times New Roman"/>
          <w:szCs w:val="26"/>
        </w:rPr>
      </w:pPr>
      <w:r>
        <w:rPr>
          <w:rFonts w:eastAsia="Times New Roman" w:cs="Times New Roman"/>
          <w:szCs w:val="26"/>
        </w:rPr>
        <w:t>D. Người bệnh chỉ lấy máu sau khi uống thuốc điều trị; phiếu xét nghiệm được lược bỏ thông tin khoa phòng và tình trạng bệnh phẩm.</w:t>
      </w:r>
    </w:p>
    <w:p>
      <w:pPr>
        <w:pStyle w:val="Normal"/>
        <w:spacing w:lineRule="auto" w:line="240" w:before="0" w:after="0"/>
        <w:jc w:val="center"/>
        <w:rPr>
          <w:rFonts w:eastAsia="Times New Roman" w:cs="Times New Roman"/>
          <w:b/>
          <w:szCs w:val="26"/>
        </w:rPr>
      </w:pPr>
      <w:r>
        <w:rPr>
          <w:rFonts w:eastAsia="Times New Roman" w:cs="Times New Roman"/>
          <w:b/>
          <w:szCs w:val="26"/>
        </w:rPr>
      </w:r>
    </w:p>
    <w:p>
      <w:pPr>
        <w:pStyle w:val="Normal"/>
        <w:spacing w:lineRule="auto" w:line="276" w:before="60" w:after="60"/>
        <w:contextualSpacing/>
        <w:rPr>
          <w:rFonts w:eastAsia="Times New Roman" w:cs="Times New Roman"/>
          <w:szCs w:val="26"/>
        </w:rPr>
      </w:pPr>
      <w:r>
        <w:rPr>
          <w:rFonts w:eastAsia="Times New Roman" w:cs="Times New Roman"/>
          <w:szCs w:val="26"/>
        </w:rPr>
      </w:r>
    </w:p>
    <w:p>
      <w:pPr>
        <w:pStyle w:val="Normal"/>
        <w:spacing w:lineRule="auto" w:line="240" w:before="0" w:after="0"/>
        <w:jc w:val="start"/>
        <w:rPr>
          <w:rFonts w:eastAsia="Times New Roman" w:cs="Times New Roman"/>
          <w:sz w:val="24"/>
          <w:szCs w:val="24"/>
        </w:rPr>
      </w:pPr>
      <w:r>
        <w:rPr>
          <w:rFonts w:eastAsia="Times New Roman" w:cs="Times New Roman"/>
          <w:sz w:val="24"/>
          <w:szCs w:val="24"/>
        </w:rPr>
      </w:r>
    </w:p>
    <w:p>
      <w:pPr>
        <w:pStyle w:val="Normal"/>
        <w:spacing w:before="0" w:after="120"/>
        <w:rPr>
          <w:rFonts w:cs="Times New Roman"/>
          <w:szCs w:val="26"/>
        </w:rPr>
      </w:pPr>
      <w:r>
        <w:rPr>
          <w:rFonts w:cs="Times New Roman"/>
          <w:szCs w:val="26"/>
        </w:rPr>
      </w:r>
    </w:p>
    <w:sectPr>
      <w:type w:val="nextPage"/>
      <w:pgSz w:w="11906" w:h="16838"/>
      <w:pgMar w:left="1701" w:right="1134"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space"/>
      <w:lvlText w:val="Câu %1:"/>
      <w:lvlJc w:val="start"/>
      <w:pPr>
        <w:tabs>
          <w:tab w:val="num" w:pos="0"/>
        </w:tabs>
        <w:ind w:start="0" w:hanging="0"/>
      </w:pPr>
      <w:rPr>
        <w:rFonts w:ascii="Times New Roman" w:hAnsi="Times New Roman"/>
        <w:b/>
        <w:i w:val="false"/>
        <w:color w:val="auto"/>
        <w:sz w:val="26"/>
        <w:u w:val="single"/>
      </w:rPr>
    </w:lvl>
    <w:lvl w:ilvl="1">
      <w:start w:val="1"/>
      <w:numFmt w:val="upperLetter"/>
      <w:suff w:val="space"/>
      <w:lvlText w:val="%2."/>
      <w:lvlJc w:val="start"/>
      <w:pPr>
        <w:tabs>
          <w:tab w:val="num" w:pos="0"/>
        </w:tabs>
        <w:ind w:start="563" w:firstLine="97"/>
      </w:pPr>
      <w:rPr>
        <w:b w:val="false"/>
        <w:bCs w:val="false"/>
        <w:color w:val="auto"/>
      </w:rPr>
    </w:lvl>
    <w:lvl w:ilvl="2">
      <w:start w:val="1"/>
      <w:numFmt w:val="lowerRoman"/>
      <w:lvlText w:val="%3)"/>
      <w:lvlJc w:val="start"/>
      <w:pPr>
        <w:tabs>
          <w:tab w:val="num" w:pos="0"/>
        </w:tabs>
        <w:ind w:start="1080" w:hanging="360"/>
      </w:pPr>
      <w:rPr/>
    </w:lvl>
    <w:lvl w:ilvl="3">
      <w:start w:val="1"/>
      <w:numFmt w:val="decimal"/>
      <w:lvlText w:val="(%4)"/>
      <w:lvlJc w:val="start"/>
      <w:pPr>
        <w:tabs>
          <w:tab w:val="num" w:pos="0"/>
        </w:tabs>
        <w:ind w:start="1440" w:hanging="360"/>
      </w:pPr>
      <w:rPr/>
    </w:lvl>
    <w:lvl w:ilvl="4">
      <w:start w:val="1"/>
      <w:numFmt w:val="lowerLetter"/>
      <w:lvlText w:val="(%5)"/>
      <w:lvlJc w:val="start"/>
      <w:pPr>
        <w:tabs>
          <w:tab w:val="num" w:pos="0"/>
        </w:tabs>
        <w:ind w:start="1800" w:hanging="360"/>
      </w:pPr>
      <w:rPr/>
    </w:lvl>
    <w:lvl w:ilvl="5">
      <w:start w:val="1"/>
      <w:numFmt w:val="lowerRoman"/>
      <w:lvlText w:val="(%6)"/>
      <w:lvlJc w:val="start"/>
      <w:pPr>
        <w:tabs>
          <w:tab w:val="num" w:pos="0"/>
        </w:tabs>
        <w:ind w:start="2160" w:hanging="360"/>
      </w:pPr>
      <w:rPr/>
    </w:lvl>
    <w:lvl w:ilvl="6">
      <w:start w:val="1"/>
      <w:numFmt w:val="decimal"/>
      <w:lvlText w:val="%7."/>
      <w:lvlJc w:val="start"/>
      <w:pPr>
        <w:tabs>
          <w:tab w:val="num" w:pos="0"/>
        </w:tabs>
        <w:ind w:start="2520" w:hanging="360"/>
      </w:pPr>
      <w:rPr/>
    </w:lvl>
    <w:lvl w:ilvl="7">
      <w:start w:val="1"/>
      <w:numFmt w:val="lowerLetter"/>
      <w:lvlText w:val="%8."/>
      <w:lvlJc w:val="start"/>
      <w:pPr>
        <w:tabs>
          <w:tab w:val="num" w:pos="0"/>
        </w:tabs>
        <w:ind w:start="2880" w:hanging="360"/>
      </w:pPr>
      <w:rPr/>
    </w:lvl>
    <w:lvl w:ilvl="8">
      <w:start w:val="1"/>
      <w:numFmt w:val="lowerRoman"/>
      <w:lvlText w:val="%9."/>
      <w:lvlJc w:val="start"/>
      <w:pPr>
        <w:tabs>
          <w:tab w:val="num" w:pos="0"/>
        </w:tabs>
        <w:ind w:start="3240" w:hanging="36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c12b7e"/>
    <w:pPr>
      <w:widowControl/>
      <w:suppressAutoHyphens w:val="true"/>
      <w:bidi w:val="0"/>
      <w:spacing w:lineRule="auto" w:line="324" w:before="0" w:after="120"/>
      <w:jc w:val="both"/>
    </w:pPr>
    <w:rPr>
      <w:rFonts w:ascii="Times New Roman" w:hAnsi="Times New Roman" w:eastAsia="Calibri" w:cs="" w:cstheme="minorBidi" w:eastAsiaTheme="minorHAnsi"/>
      <w:color w:val="auto"/>
      <w:kern w:val="0"/>
      <w:sz w:val="26"/>
      <w:szCs w:val="22"/>
      <w:lang w:val="en-US" w:eastAsia="en-US" w:bidi="ar-SA"/>
    </w:rPr>
  </w:style>
  <w:style w:type="paragraph" w:styleId="Heading1">
    <w:name w:val="heading 1"/>
    <w:basedOn w:val="Normal"/>
    <w:next w:val="Normal"/>
    <w:link w:val="Heading1Char"/>
    <w:autoRedefine/>
    <w:uiPriority w:val="9"/>
    <w:qFormat/>
    <w:rsid w:val="00c12b7e"/>
    <w:pPr>
      <w:keepNext w:val="true"/>
      <w:keepLines/>
      <w:spacing w:before="240" w:after="0"/>
      <w:jc w:val="start"/>
      <w:outlineLvl w:val="0"/>
    </w:pPr>
    <w:rPr>
      <w:rFonts w:eastAsia="" w:cs="" w:cstheme="majorBidi" w:eastAsiaTheme="majorEastAsia"/>
      <w:b/>
      <w:szCs w:val="32"/>
    </w:rPr>
  </w:style>
  <w:style w:type="paragraph" w:styleId="Heading2">
    <w:name w:val="heading 2"/>
    <w:basedOn w:val="Normal"/>
    <w:next w:val="Normal"/>
    <w:link w:val="Heading2Char"/>
    <w:autoRedefine/>
    <w:uiPriority w:val="9"/>
    <w:semiHidden/>
    <w:unhideWhenUsed/>
    <w:qFormat/>
    <w:rsid w:val="00c12b7e"/>
    <w:pPr>
      <w:keepNext w:val="true"/>
      <w:keepLines/>
      <w:spacing w:before="120" w:after="0"/>
      <w:jc w:val="start"/>
      <w:outlineLvl w:val="1"/>
    </w:pPr>
    <w:rPr>
      <w:rFonts w:eastAsia="" w:cs="" w:cstheme="majorBidi" w:eastAsiaTheme="majorEastAsia"/>
      <w:b/>
      <w:szCs w:val="26"/>
    </w:rPr>
  </w:style>
  <w:style w:type="paragraph" w:styleId="Heading3">
    <w:name w:val="heading 3"/>
    <w:basedOn w:val="Normal"/>
    <w:next w:val="Normal"/>
    <w:link w:val="Heading3Char"/>
    <w:autoRedefine/>
    <w:uiPriority w:val="9"/>
    <w:unhideWhenUsed/>
    <w:qFormat/>
    <w:rsid w:val="00c12b7e"/>
    <w:pPr>
      <w:keepNext w:val="true"/>
      <w:keepLines/>
      <w:spacing w:before="120" w:after="0"/>
      <w:jc w:val="start"/>
      <w:outlineLvl w:val="2"/>
    </w:pPr>
    <w:rPr>
      <w:rFonts w:eastAsia="" w:cs="" w:cstheme="majorBidi" w:eastAsiaTheme="majorEastAsia"/>
      <w:b/>
      <w:i/>
      <w:szCs w:val="24"/>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c12b7e"/>
    <w:rPr>
      <w:rFonts w:ascii="Times New Roman" w:hAnsi="Times New Roman" w:eastAsia="" w:cs="" w:cstheme="majorBidi" w:eastAsiaTheme="majorEastAsia"/>
      <w:b/>
      <w:sz w:val="26"/>
      <w:szCs w:val="32"/>
    </w:rPr>
  </w:style>
  <w:style w:type="character" w:styleId="Heading2Char" w:customStyle="1">
    <w:name w:val="Heading 2 Char"/>
    <w:basedOn w:val="DefaultParagraphFont"/>
    <w:link w:val="Heading2"/>
    <w:uiPriority w:val="9"/>
    <w:semiHidden/>
    <w:qFormat/>
    <w:rsid w:val="00c12b7e"/>
    <w:rPr>
      <w:rFonts w:ascii="Times New Roman" w:hAnsi="Times New Roman" w:eastAsia="" w:cs="" w:cstheme="majorBidi" w:eastAsiaTheme="majorEastAsia"/>
      <w:b/>
      <w:sz w:val="26"/>
      <w:szCs w:val="26"/>
    </w:rPr>
  </w:style>
  <w:style w:type="character" w:styleId="Heading3Char" w:customStyle="1">
    <w:name w:val="Heading 3 Char"/>
    <w:basedOn w:val="DefaultParagraphFont"/>
    <w:link w:val="Heading3"/>
    <w:uiPriority w:val="9"/>
    <w:qFormat/>
    <w:rsid w:val="00c12b7e"/>
    <w:rPr>
      <w:rFonts w:ascii="Times New Roman" w:hAnsi="Times New Roman" w:eastAsia="" w:cs="" w:cstheme="majorBidi" w:eastAsiaTheme="majorEastAsia"/>
      <w:b/>
      <w:i/>
      <w:sz w:val="26"/>
      <w:szCs w:val="24"/>
    </w:rPr>
  </w:style>
  <w:style w:type="character" w:styleId="ng-star-inserted" w:customStyle="1">
    <w:name w:val="ng-star-inserted"/>
    <w:basedOn w:val="DefaultParagraphFont"/>
    <w:qFormat/>
    <w:rsid w:val="002a76d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Spacing">
    <w:name w:val="No Spacing"/>
    <w:autoRedefine/>
    <w:uiPriority w:val="1"/>
    <w:qFormat/>
    <w:rsid w:val="00c12b7e"/>
    <w:pPr>
      <w:widowControl/>
      <w:suppressAutoHyphens w:val="true"/>
      <w:bidi w:val="0"/>
      <w:spacing w:lineRule="auto" w:line="240" w:before="0" w:after="0"/>
      <w:jc w:val="both"/>
    </w:pPr>
    <w:rPr>
      <w:rFonts w:ascii="Times New Roman" w:hAnsi="Times New Roman" w:eastAsia="Calibri" w:cs="" w:cstheme="minorBidi" w:eastAsiaTheme="minorHAnsi"/>
      <w:color w:val="auto"/>
      <w:kern w:val="0"/>
      <w:sz w:val="26"/>
      <w:szCs w:val="22"/>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TotalTime>
  <Application>LibreOffice/26.2.4.2$Linux_X86_64 LibreOffice_project/620$Build-2</Application>
  <AppVersion>15.0000</AppVersion>
  <Pages>3</Pages>
  <Words>1231</Words>
  <Characters>4456</Characters>
  <CharactersWithSpaces>5661</CharactersWithSpaces>
  <Paragraphs>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2026-09-16T00:13:00Z</dcterms:created>
  <dc:creator>Ung Thi Minh Hieu</dc:creator>
  <dc:description/>
  <dc:language>en-US</dc:language>
  <cp:lastModifiedBy/>
  <dcterms:modified xsi:type="dcterms:W3CDTF">2026-10-10T08:42:37Z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