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eastAsia="Times New Roman" w:cs="Times New Roman"/>
          <w:b/>
          <w:bCs/>
          <w:szCs w:val="26"/>
        </w:rPr>
      </w:pPr>
      <w:r>
        <w:rPr>
          <w:rFonts w:eastAsia="Times New Roman" w:cs="Times New Roman"/>
          <w:b/>
          <w:bCs/>
          <w:szCs w:val="26"/>
        </w:rPr>
        <w:t>ĐỊNH LƯỢNG CA 72-4</w:t>
      </w:r>
    </w:p>
    <w:p>
      <w:pPr>
        <w:pStyle w:val="Normal"/>
        <w:spacing w:lineRule="auto" w:line="240" w:before="0" w:after="0"/>
        <w:jc w:val="center"/>
        <w:rPr>
          <w:rFonts w:eastAsia="Times New Roman" w:cs="Times New Roman"/>
          <w:b/>
          <w:bCs/>
          <w:szCs w:val="26"/>
        </w:rPr>
      </w:pPr>
      <w:r>
        <w:rPr>
          <w:rFonts w:eastAsia="Times New Roman" w:cs="Times New Roman"/>
          <w:b/>
          <w:bCs/>
          <w:szCs w:val="26"/>
        </w:rPr>
      </w:r>
    </w:p>
    <w:p>
      <w:pPr>
        <w:pStyle w:val="Normal"/>
        <w:numPr>
          <w:ilvl w:val="0"/>
          <w:numId w:val="1"/>
        </w:numPr>
        <w:spacing w:lineRule="auto" w:line="276" w:before="60" w:after="60"/>
        <w:contextualSpacing/>
        <w:rPr>
          <w:b/>
          <w:bCs/>
        </w:rPr>
      </w:pPr>
      <w:r>
        <w:rPr>
          <w:rFonts w:eastAsia="Times New Roman" w:cs="Times New Roman"/>
          <w:b/>
          <w:bCs/>
          <w:szCs w:val="26"/>
        </w:rPr>
        <w:t xml:space="preserve">Một bệnh nhân đang sử dụng chế phẩm bổ sung Biotin với liều 10 mg/ngày được chỉ định lấy máu định lượng CA 72-4. Để đảm bảo kết quả xét nghiệm không bị sai lệch do ảnh hưởng của Biotin, nhân viên y tế cần thực hiện quy trình lấy máu như thế nào là ĐÚNG QUY ĐỊNH?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Tiến hành lấy máu ngay tại thời điểm tiếp nhận, sau đó thực hiện hòa loãng bệnh phẩm trước khi phân tích trên máy. </w:t>
      </w:r>
    </w:p>
    <w:p>
      <w:pPr>
        <w:pStyle w:val="Normal"/>
        <w:spacing w:lineRule="auto" w:line="276" w:before="60" w:after="60"/>
        <w:contextualSpacing/>
        <w:rPr>
          <w:color w:val="FF0000"/>
        </w:rPr>
      </w:pPr>
      <w:r>
        <w:rPr>
          <w:rFonts w:eastAsia="Times New Roman" w:cs="Times New Roman"/>
          <w:bCs/>
          <w:color w:val="FF0000"/>
          <w:szCs w:val="26"/>
        </w:rPr>
        <w:t xml:space="preserve">B. Hướng dẫn bệnh nhân tạm ngừng Biotin và thực hiện lấy máu xét nghiệm ít nhất 8 giờ sau khi dùng Biotin lần cuối.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Tiến hành lấy máu ngay nhưng bắt buộc phải dùng ống chứa chất chống đông K3-EDTA để trung hòa lượng Biotin dư thừa. </w:t>
      </w:r>
    </w:p>
    <w:p>
      <w:pPr>
        <w:pStyle w:val="Normal"/>
        <w:spacing w:lineRule="auto" w:line="276" w:before="60" w:after="60"/>
        <w:contextualSpacing/>
        <w:rPr>
          <w:rFonts w:eastAsia="Times New Roman" w:cs="Times New Roman"/>
          <w:szCs w:val="26"/>
        </w:rPr>
      </w:pPr>
      <w:r>
        <w:rPr>
          <w:rFonts w:eastAsia="Times New Roman" w:cs="Times New Roman"/>
          <w:szCs w:val="26"/>
        </w:rPr>
        <w:t>D. Tiến hành lấy máu bình thường vì Biotin chỉ gây nhiễu xét nghiệm khi nồng độ CA 72-4 trong máu vượt quá 15 000 U/mL.</w:t>
      </w:r>
    </w:p>
    <w:p>
      <w:pPr>
        <w:pStyle w:val="Normal"/>
        <w:numPr>
          <w:ilvl w:val="0"/>
          <w:numId w:val="1"/>
        </w:numPr>
        <w:spacing w:lineRule="auto" w:line="276" w:before="60" w:after="60"/>
        <w:contextualSpacing/>
        <w:rPr>
          <w:b/>
          <w:bCs/>
        </w:rPr>
      </w:pPr>
      <w:r>
        <w:rPr>
          <w:rFonts w:eastAsia="Times New Roman" w:cs="Times New Roman"/>
          <w:b/>
          <w:bCs/>
          <w:szCs w:val="26"/>
        </w:rPr>
        <w:t xml:space="preserve">Một mẫu huyết thanh làm xét nghiệm CA 72-4 đã được bảo quản đông sâu ở -20°C trong 2 tháng. Kỹ thuật viên chuẩn bị phân tích lại mẫu này. Thao tác xử lý bệnh phẩm nào sau đây tuân thủ ĐÚNG quy trình kỹ thuật?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Rã đông mẫu ở 37°C và tiến hành phân tích ngay trong vòng 4 giờ để tránh làm vỡ hồng cầu. </w:t>
      </w:r>
    </w:p>
    <w:p>
      <w:pPr>
        <w:pStyle w:val="Normal"/>
        <w:spacing w:lineRule="auto" w:line="276" w:before="60" w:after="60"/>
        <w:contextualSpacing/>
        <w:rPr>
          <w:color w:val="FF0000"/>
        </w:rPr>
      </w:pPr>
      <w:r>
        <w:rPr>
          <w:rFonts w:eastAsia="Times New Roman" w:cs="Times New Roman"/>
          <w:bCs/>
          <w:color w:val="FF0000"/>
          <w:szCs w:val="26"/>
        </w:rPr>
        <w:t xml:space="preserve">B. Để bệnh phẩm đạt nhiệt độ phòng, đảm bảo mẫu mới chỉ rã đông 1 lần và phân tích trong vòng 2 giờ.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Đưa mẫu từ tủ -20°C vào máy phân tích ngay lập tức để tránh hiện tượng bay hơi mẫu thử. </w:t>
      </w:r>
    </w:p>
    <w:p>
      <w:pPr>
        <w:pStyle w:val="Normal"/>
        <w:spacing w:lineRule="auto" w:line="276" w:before="60" w:after="60"/>
        <w:contextualSpacing/>
        <w:rPr>
          <w:rFonts w:eastAsia="Times New Roman" w:cs="Times New Roman"/>
          <w:szCs w:val="26"/>
        </w:rPr>
      </w:pPr>
      <w:r>
        <w:rPr>
          <w:rFonts w:eastAsia="Times New Roman" w:cs="Times New Roman"/>
          <w:szCs w:val="26"/>
        </w:rPr>
        <w:t>D. Bắt buộc thực hiện hòa loãng thủ công bệnh phẩm vì mẫu đã bảo quản đông lạnh trên 30 ngày.</w:t>
      </w:r>
    </w:p>
    <w:p>
      <w:pPr>
        <w:pStyle w:val="Normal"/>
        <w:numPr>
          <w:ilvl w:val="0"/>
          <w:numId w:val="1"/>
        </w:numPr>
        <w:spacing w:lineRule="auto" w:line="276" w:before="60" w:after="60"/>
        <w:contextualSpacing/>
        <w:rPr>
          <w:b/>
          <w:bCs/>
        </w:rPr>
      </w:pPr>
      <w:r>
        <w:rPr>
          <w:rFonts w:eastAsia="Times New Roman" w:cs="Times New Roman"/>
          <w:b/>
          <w:bCs/>
          <w:szCs w:val="26"/>
        </w:rPr>
        <w:t xml:space="preserve">Kỹ thuật viên hóa sinh chuẩn bị dụng cụ lấy 3 ml máu tĩnh mạch để định lượng CA 72-4 cho người bệnh. Loại ống chứa mẫu nào sau đây KHÔNG PHÙ HỢP theo quy định của quy trình?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Ống không có chất chống đông (ống tách huyết thanh). </w:t>
      </w:r>
    </w:p>
    <w:p>
      <w:pPr>
        <w:pStyle w:val="Normal"/>
        <w:spacing w:lineRule="auto" w:line="276" w:before="60" w:after="60"/>
        <w:contextualSpacing/>
        <w:rPr>
          <w:rFonts w:eastAsia="Times New Roman" w:cs="Times New Roman"/>
          <w:szCs w:val="26"/>
        </w:rPr>
      </w:pPr>
      <w:r>
        <w:rPr>
          <w:rFonts w:eastAsia="Times New Roman" w:cs="Times New Roman"/>
          <w:szCs w:val="26"/>
        </w:rPr>
        <w:t>B. Ống chứa chất chống đông Lithium-Heparin hoặc Sodium-Heparin.</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Ống chứa chất chống đông Potassium-EDTA (K3-EDTA). </w:t>
      </w:r>
    </w:p>
    <w:p>
      <w:pPr>
        <w:pStyle w:val="Normal"/>
        <w:spacing w:lineRule="auto" w:line="276" w:before="60" w:after="60"/>
        <w:contextualSpacing/>
        <w:rPr>
          <w:color w:val="FF0000"/>
        </w:rPr>
      </w:pPr>
      <w:r>
        <w:rPr>
          <w:rFonts w:eastAsia="Times New Roman" w:cs="Times New Roman"/>
          <w:bCs/>
          <w:color w:val="FF0000"/>
          <w:szCs w:val="26"/>
        </w:rPr>
        <w:t>D. Ống chứa chất chống đông Sodium-Citrate.</w:t>
      </w:r>
    </w:p>
    <w:p>
      <w:pPr>
        <w:pStyle w:val="Normal"/>
        <w:numPr>
          <w:ilvl w:val="0"/>
          <w:numId w:val="1"/>
        </w:numPr>
        <w:spacing w:lineRule="auto" w:line="276" w:before="60" w:after="60"/>
        <w:contextualSpacing/>
        <w:rPr>
          <w:b/>
          <w:bCs/>
        </w:rPr>
      </w:pPr>
      <w:r>
        <w:rPr>
          <w:rFonts w:eastAsia="Times New Roman" w:cs="Times New Roman"/>
          <w:b/>
          <w:bCs/>
          <w:szCs w:val="26"/>
        </w:rPr>
        <w:t xml:space="preserve">Về nguyên lý định lượng CA 72-4 bằng phương pháp miễn dịch kẹp chả (sandwich) sử dụng công nghệ điện hóa phát quang (ECLIA), phát biểu nào sau đây phản ánh ĐÚNG bản chất của phản ứng? </w:t>
      </w:r>
    </w:p>
    <w:p>
      <w:pPr>
        <w:pStyle w:val="Normal"/>
        <w:spacing w:lineRule="auto" w:line="276" w:before="60" w:after="60"/>
        <w:contextualSpacing/>
        <w:rPr>
          <w:rFonts w:eastAsia="Times New Roman" w:cs="Times New Roman"/>
          <w:szCs w:val="26"/>
        </w:rPr>
      </w:pPr>
      <w:r>
        <w:rPr>
          <w:rFonts w:eastAsia="Times New Roman" w:cs="Times New Roman"/>
          <w:color w:val="FF0000"/>
          <w:szCs w:val="26"/>
        </w:rPr>
        <w:t>A</w:t>
      </w:r>
      <w:r>
        <w:rPr>
          <w:rFonts w:eastAsia="Times New Roman" w:cs="Times New Roman"/>
          <w:color w:val="FF0000"/>
          <w:szCs w:val="26"/>
        </w:rPr>
        <w:t xml:space="preserve">. </w:t>
      </w:r>
      <w:r>
        <w:rPr>
          <w:rFonts w:eastAsia="Times New Roman" w:cs="Times New Roman"/>
          <w:bCs/>
          <w:color w:val="FF0000"/>
          <w:szCs w:val="26"/>
        </w:rPr>
        <w:t>CA 72-4 đóng vai trò kháng nguyên, bị kẹp giữa kháng thể đơn dòng đặc hiệu kháng CA 72-4 đánh dấu biotin và kháng thể đơn dòng đặc hiệu kháng CA 72-4 đánh dấu ruthenium.</w:t>
      </w:r>
      <w:r>
        <w:rPr>
          <w:rFonts w:eastAsia="Times New Roman" w:cs="Times New Roman"/>
          <w:color w:val="FF0000"/>
          <w:szCs w:val="26"/>
        </w:rPr>
        <w:t xml:space="preserve">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CA 72-4 đóng vai trò kháng thể, phản ứng cạnh tranh với kháng thể đơn dòng đánh dấu biotin để giải phóng phức hợp ruthenium phát quang.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Kháng thể đơn dòng thứ nhất đánh dấu ruthenium gắn với pha rắn, kháng thể thứ hai đánh dấu biotin phát quang tỷ lệ nghịch với nồng độ CA 72-4. </w:t>
      </w:r>
    </w:p>
    <w:p>
      <w:pPr>
        <w:pStyle w:val="Normal"/>
        <w:spacing w:lineRule="auto" w:line="276" w:before="60" w:after="60"/>
        <w:contextualSpacing/>
        <w:rPr>
          <w:rFonts w:eastAsia="Times New Roman" w:cs="Times New Roman"/>
          <w:szCs w:val="26"/>
        </w:rPr>
      </w:pPr>
      <w:r>
        <w:rPr>
          <w:rFonts w:eastAsia="Times New Roman" w:cs="Times New Roman"/>
          <w:szCs w:val="26"/>
        </w:rPr>
        <w:t>D. Cường độ phát quang thu được từ phức hợp miễn dịch tỷ lệ nghịch với nồng độ CA 72-4 có trong mẫu thử do hiện tượng dập tắt huỳnh quang.</w:t>
      </w:r>
    </w:p>
    <w:p>
      <w:pPr>
        <w:pStyle w:val="Normal"/>
        <w:numPr>
          <w:ilvl w:val="0"/>
          <w:numId w:val="1"/>
        </w:numPr>
        <w:spacing w:lineRule="auto" w:line="276" w:before="60" w:after="60"/>
        <w:contextualSpacing/>
        <w:rPr>
          <w:b/>
          <w:bCs/>
        </w:rPr>
      </w:pPr>
      <w:r>
        <w:rPr>
          <w:rFonts w:eastAsia="Times New Roman" w:cs="Times New Roman"/>
          <w:b/>
          <w:bCs/>
          <w:szCs w:val="26"/>
        </w:rPr>
        <w:t xml:space="preserve">Trước khi vận hành phân tích mẫu bệnh phẩm định lượng CA 72-4 trên hệ thống máy tự động (như Cobas e411, e170, e601), điều kiện nào về kiểm tra chất lượng (QC) và thiết bị bắt buộc phải đáp ứng? </w:t>
      </w:r>
    </w:p>
    <w:p>
      <w:pPr>
        <w:pStyle w:val="Normal"/>
        <w:spacing w:lineRule="auto" w:line="276" w:before="60" w:after="60"/>
        <w:contextualSpacing/>
        <w:rPr>
          <w:color w:val="FF0000"/>
        </w:rPr>
      </w:pPr>
      <w:r>
        <w:rPr>
          <w:rFonts w:eastAsia="Times New Roman" w:cs="Times New Roman"/>
          <w:color w:val="FF0000"/>
          <w:szCs w:val="26"/>
        </w:rPr>
        <w:t>A</w:t>
      </w:r>
      <w:r>
        <w:rPr>
          <w:rFonts w:eastAsia="Times New Roman" w:cs="Times New Roman"/>
          <w:bCs/>
          <w:color w:val="FF0000"/>
          <w:szCs w:val="26"/>
        </w:rPr>
        <w:t xml:space="preserve">. Máy đã cài đặt chương trình xét nghiệm CA 72-4, đã được chuẩn với xét nghiệm CA 72-4, kết quả QC đạt yêu cầu không nằm ngoài dải cho phép và không vi phạm luật QC. </w:t>
      </w:r>
    </w:p>
    <w:p>
      <w:pPr>
        <w:pStyle w:val="Normal"/>
        <w:spacing w:lineRule="auto" w:line="276" w:before="60" w:after="60"/>
        <w:contextualSpacing/>
        <w:rPr>
          <w:rFonts w:eastAsia="Times New Roman" w:cs="Times New Roman"/>
          <w:bCs/>
          <w:szCs w:val="26"/>
        </w:rPr>
      </w:pPr>
      <w:r>
        <w:rPr>
          <w:rFonts w:eastAsia="Times New Roman" w:cs="Times New Roman"/>
          <w:bCs/>
          <w:szCs w:val="26"/>
        </w:rPr>
        <w:t>B. Máy đã được hiệu chuẩn trong vòng 6 tháng và có thể tiến hành phân tích mẫu bệnh phẩm song song với mẫu QC để tiết kiệm thời gian.</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Nếu kết quả QC vi phạm luật kiểm tra chất lượng, kỹ thuật viên vẫn được thực hiện phân tích mẫu bệnh phẩm nhưng phải nhân đôi kết quả. </w:t>
      </w:r>
    </w:p>
    <w:p>
      <w:pPr>
        <w:pStyle w:val="Normal"/>
        <w:spacing w:lineRule="auto" w:line="276" w:before="60" w:after="60"/>
        <w:contextualSpacing/>
        <w:rPr>
          <w:rFonts w:eastAsia="Times New Roman" w:cs="Times New Roman"/>
          <w:szCs w:val="26"/>
        </w:rPr>
      </w:pPr>
      <w:r>
        <w:rPr>
          <w:rFonts w:eastAsia="Times New Roman" w:cs="Times New Roman"/>
          <w:szCs w:val="26"/>
        </w:rPr>
        <w:t>D. Chỉ cần thiết bị hoàn tất chu trình khởi động và đọc được mã vạch trên ống mẫu bệnh phẩm là đủ điều kiện ra lệnh phân tích.</w:t>
      </w:r>
    </w:p>
    <w:p>
      <w:pPr>
        <w:pStyle w:val="Normal"/>
        <w:numPr>
          <w:ilvl w:val="0"/>
          <w:numId w:val="1"/>
        </w:numPr>
        <w:spacing w:lineRule="auto" w:line="276" w:before="60" w:after="60"/>
        <w:contextualSpacing/>
        <w:rPr>
          <w:b/>
          <w:bCs/>
        </w:rPr>
      </w:pPr>
      <w:r>
        <w:rPr>
          <w:rFonts w:eastAsia="Times New Roman" w:cs="Times New Roman"/>
          <w:b/>
          <w:bCs/>
          <w:szCs w:val="26"/>
        </w:rPr>
        <w:t>Kết quả xét nghiệm CA 72-4 của một bệnh nhân là 45.0 U/mL. Khi kiểm tra thông số tình trạng mẫu huyết t</w:t>
      </w:r>
      <w:bookmarkStart w:id="0" w:name="_GoBack"/>
      <w:bookmarkEnd w:id="0"/>
      <w:r>
        <w:rPr>
          <w:rFonts w:eastAsia="Times New Roman" w:cs="Times New Roman"/>
          <w:b/>
          <w:bCs/>
          <w:szCs w:val="26"/>
        </w:rPr>
        <w:t xml:space="preserve">hanh, kỹ thuật viên ghi nhận: Bilirubin = 40 mg/dL, Hemoglobin = 1.5 g/dL, Triglyceride = 1000 mg/dL, Yếu tố thấp khớp RF = 800 IU/mL. Kỹ thuật viên nên đánh giá kết quả này như thế nào?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Kết quả bị sai lệch nghiêm trọng do tán huyết và đục huyết thanh, bắt buộc phải hủy mẫu và yêu cầu lấy lại mẫu mới. </w:t>
      </w:r>
    </w:p>
    <w:p>
      <w:pPr>
        <w:pStyle w:val="Normal"/>
        <w:spacing w:lineRule="auto" w:line="276" w:before="60" w:after="60"/>
        <w:contextualSpacing/>
        <w:rPr>
          <w:color w:val="FF0000"/>
        </w:rPr>
      </w:pPr>
      <w:r>
        <w:rPr>
          <w:rFonts w:eastAsia="Times New Roman" w:cs="Times New Roman"/>
          <w:bCs/>
          <w:color w:val="FF0000"/>
          <w:szCs w:val="26"/>
        </w:rPr>
        <w:t xml:space="preserve">B. Kết quả tin cậy vì các chỉ số gây nhiễu đều nằm trong ngưỡng cho phép (Bilirubin &lt; 66 mg/dL, Hb &lt; 2.2 g/dL, Triglyceride &lt; 1500 mg/dL, RF &lt; 1500 IU/mL).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Kết quả bị tăng giả do nồng độ Yếu tố thấp khớp (RF) quá cao, cần tiến hành chiết tách RF trước khi báo cáo kết quả. </w:t>
      </w:r>
    </w:p>
    <w:p>
      <w:pPr>
        <w:pStyle w:val="Normal"/>
        <w:spacing w:lineRule="auto" w:line="276" w:before="60" w:after="60"/>
        <w:contextualSpacing/>
        <w:rPr>
          <w:rFonts w:eastAsia="Times New Roman" w:cs="Times New Roman"/>
          <w:szCs w:val="26"/>
        </w:rPr>
      </w:pPr>
      <w:r>
        <w:rPr>
          <w:rFonts w:eastAsia="Times New Roman" w:cs="Times New Roman"/>
          <w:szCs w:val="26"/>
        </w:rPr>
        <w:t>D. Bắt buộc phải thực hiện hòa loãng mẫu 1:10 và phân tích lại vì nồng độ Triglyceride đã vượt quá ngưỡng 500 mg/dL.</w:t>
      </w:r>
    </w:p>
    <w:p>
      <w:pPr>
        <w:pStyle w:val="Normal"/>
        <w:numPr>
          <w:ilvl w:val="0"/>
          <w:numId w:val="1"/>
        </w:numPr>
        <w:spacing w:lineRule="auto" w:line="276" w:before="60" w:after="60"/>
        <w:contextualSpacing/>
        <w:rPr>
          <w:b/>
          <w:bCs/>
        </w:rPr>
      </w:pPr>
      <w:r>
        <w:rPr>
          <w:rFonts w:eastAsia="Times New Roman" w:cs="Times New Roman"/>
          <w:b/>
          <w:bCs/>
          <w:szCs w:val="26"/>
        </w:rPr>
        <w:t xml:space="preserve">Khi nồng độ CA 72-4 trong mẫu bệnh phẩm vượt dải đo của máy và kỹ thuật viên lựa chọn chế độ "hòa loãng tự động" (automated dilution) trên máy phân tích, việc ghi nhận kết quả cuối cùng để in báo cáo được thực hiện như thế nào? </w:t>
      </w:r>
    </w:p>
    <w:p>
      <w:pPr>
        <w:pStyle w:val="Normal"/>
        <w:spacing w:lineRule="auto" w:line="276" w:before="60" w:after="60"/>
        <w:contextualSpacing/>
        <w:rPr>
          <w:color w:val="FF0000"/>
        </w:rPr>
      </w:pPr>
      <w:r>
        <w:rPr>
          <w:rFonts w:eastAsia="Times New Roman" w:cs="Times New Roman"/>
          <w:bCs/>
          <w:color w:val="FF0000"/>
          <w:szCs w:val="26"/>
        </w:rPr>
        <w:t xml:space="preserve">A. Lấy trực tiếp kết quả máy đã phân tích và tự động tính toán hiển thị, không nhân thêm với độ hòa loãng.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Bắt buộc phải lấy kết quả hiển thị trên máy nhân thêm với độ hòa loãng đã thiết lập.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Lấy kết quả hiển thị trên máy chia cho độ hòa loãng để bù trừ hiện tượng dập tắt huỳnh quang. </w:t>
      </w:r>
    </w:p>
    <w:p>
      <w:pPr>
        <w:pStyle w:val="Normal"/>
        <w:spacing w:lineRule="auto" w:line="276" w:before="60" w:after="60"/>
        <w:contextualSpacing/>
        <w:rPr>
          <w:rFonts w:eastAsia="Times New Roman" w:cs="Times New Roman"/>
          <w:szCs w:val="26"/>
        </w:rPr>
      </w:pPr>
      <w:r>
        <w:rPr>
          <w:rFonts w:eastAsia="Times New Roman" w:cs="Times New Roman"/>
          <w:szCs w:val="26"/>
        </w:rPr>
        <w:t>D. Hủy kết quả vì quy trình quy định đối với CA 72-4 chỉ được phép thực hiện hòa loãng thủ công ngoài máy.</w:t>
      </w:r>
    </w:p>
    <w:p>
      <w:pPr>
        <w:pStyle w:val="Normal"/>
        <w:numPr>
          <w:ilvl w:val="0"/>
          <w:numId w:val="1"/>
        </w:numPr>
        <w:spacing w:lineRule="auto" w:line="276" w:before="60" w:after="60"/>
        <w:contextualSpacing/>
        <w:rPr>
          <w:rFonts w:eastAsia="Times New Roman" w:cs="Times New Roman"/>
          <w:szCs w:val="26"/>
        </w:rPr>
      </w:pPr>
      <w:r>
        <w:rPr>
          <w:rFonts w:eastAsia="Times New Roman" w:cs="Times New Roman"/>
          <w:b/>
          <w:bCs/>
          <w:szCs w:val="26"/>
        </w:rPr>
        <w:t>Mẫu bệnh phẩm của một bệnh nhân ung thư dạ dày di căn có nồng độ CA 72-4 rất cao. Theo quy trình kỹ thuật, xét nghiệm CA 72-4 này KHÔNG gặp hiện tượng tăng giả âm tính do nồng độ quá cao (Hiệu ứng "high-dose hook") cho tới ngưỡng nồng độ nào?</w:t>
      </w:r>
      <w:r>
        <w:rPr>
          <w:rFonts w:eastAsia="Times New Roman" w:cs="Times New Roman"/>
          <w:szCs w:val="26"/>
        </w:rPr>
        <w:t xml:space="preserve">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A. 6.9 U/mL.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60 ng/mL.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1 500 IU/mL. </w:t>
      </w:r>
    </w:p>
    <w:p>
      <w:pPr>
        <w:pStyle w:val="Normal"/>
        <w:spacing w:lineRule="auto" w:line="276" w:before="60" w:after="60"/>
        <w:contextualSpacing/>
        <w:rPr>
          <w:color w:val="FF0000"/>
        </w:rPr>
      </w:pPr>
      <w:r>
        <w:rPr>
          <w:rFonts w:eastAsia="Times New Roman" w:cs="Times New Roman"/>
          <w:bCs/>
          <w:color w:val="FF0000"/>
          <w:szCs w:val="26"/>
        </w:rPr>
        <w:t>D. 15 000 U/mL.</w:t>
      </w:r>
    </w:p>
    <w:p>
      <w:pPr>
        <w:pStyle w:val="Normal"/>
        <w:numPr>
          <w:ilvl w:val="0"/>
          <w:numId w:val="1"/>
        </w:numPr>
        <w:spacing w:lineRule="auto" w:line="276" w:before="60" w:after="60"/>
        <w:contextualSpacing/>
        <w:rPr>
          <w:b/>
          <w:bCs/>
        </w:rPr>
      </w:pPr>
      <w:r>
        <w:rPr>
          <w:rFonts w:eastAsia="Times New Roman" w:cs="Times New Roman"/>
          <w:b/>
          <w:bCs/>
          <w:szCs w:val="26"/>
        </w:rPr>
        <w:t xml:space="preserve">Trong lâm sàng, xét nghiệm CA 72-4 có giá trị trong chẩn đoán và theo dõi điều trị ung thư. Việc phối hợp CA 72-4 với dấu ấn sinh học nào sau đây được ghi nhận trong quy trình giúp TĂNG GIÁ TRỊ khi chẩn đoán ung thư dạ dày? </w:t>
      </w:r>
    </w:p>
    <w:p>
      <w:pPr>
        <w:pStyle w:val="Normal"/>
        <w:spacing w:lineRule="auto" w:line="276" w:before="60" w:after="60"/>
        <w:contextualSpacing/>
        <w:rPr>
          <w:color w:val="FF0000"/>
        </w:rPr>
      </w:pPr>
      <w:r>
        <w:rPr>
          <w:rFonts w:eastAsia="Times New Roman" w:cs="Times New Roman"/>
          <w:bCs/>
          <w:color w:val="FF0000"/>
          <w:szCs w:val="26"/>
        </w:rPr>
        <w:t xml:space="preserve">A. CEA.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CA 125.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Biotin. </w:t>
      </w:r>
    </w:p>
    <w:p>
      <w:pPr>
        <w:pStyle w:val="Normal"/>
        <w:spacing w:lineRule="auto" w:line="276" w:before="60" w:after="60"/>
        <w:contextualSpacing/>
        <w:rPr>
          <w:rFonts w:eastAsia="Times New Roman" w:cs="Times New Roman"/>
          <w:szCs w:val="26"/>
        </w:rPr>
      </w:pPr>
      <w:r>
        <w:rPr>
          <w:rFonts w:eastAsia="Times New Roman" w:cs="Times New Roman"/>
          <w:szCs w:val="26"/>
        </w:rPr>
        <w:t>D. TAG 72.</w:t>
      </w:r>
    </w:p>
    <w:p>
      <w:pPr>
        <w:pStyle w:val="Normal"/>
        <w:numPr>
          <w:ilvl w:val="0"/>
          <w:numId w:val="1"/>
        </w:numPr>
        <w:spacing w:lineRule="auto" w:line="276" w:before="60" w:after="60"/>
        <w:contextualSpacing/>
        <w:rPr>
          <w:b/>
          <w:bCs/>
        </w:rPr>
      </w:pPr>
      <w:r>
        <w:rPr>
          <w:rFonts w:eastAsia="Times New Roman" w:cs="Times New Roman"/>
          <w:b/>
          <w:bCs/>
          <w:szCs w:val="26"/>
        </w:rPr>
        <w:t xml:space="preserve">Khi phân công nhân sự thực hiện quy trình và đánh giá trị số tham chiếu bình thường của xét nghiệm CA 72-4 theo đúng văn bản quy định, sự kết hợp nào sau đây giữa "Người thực hiện" và "Trị số bình thường" là CHÍNH XÁC? </w:t>
      </w:r>
    </w:p>
    <w:p>
      <w:pPr>
        <w:pStyle w:val="Normal"/>
        <w:spacing w:lineRule="auto" w:line="276" w:before="60" w:after="60"/>
        <w:contextualSpacing/>
        <w:rPr>
          <w:color w:val="FF0000"/>
        </w:rPr>
      </w:pPr>
      <w:r>
        <w:rPr>
          <w:rFonts w:eastAsia="Times New Roman" w:cs="Times New Roman"/>
          <w:bCs/>
          <w:color w:val="FF0000"/>
          <w:szCs w:val="26"/>
        </w:rPr>
        <w:t xml:space="preserve">A. Người thực hiện gồm 01 cán bộ đại học, 01 kỹ thuật viên chuyên ngành hóa sinh; Trị số bình thường &lt; 6.9 U/mL.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B. Người thực hiện gồm 02 kỹ thuật viên chuyên ngành hóa sinh; Trị số bình thường &lt; 15 000 U/mL. </w:t>
      </w:r>
    </w:p>
    <w:p>
      <w:pPr>
        <w:pStyle w:val="Normal"/>
        <w:spacing w:lineRule="auto" w:line="276" w:before="60" w:after="60"/>
        <w:contextualSpacing/>
        <w:rPr>
          <w:rFonts w:eastAsia="Times New Roman" w:cs="Times New Roman"/>
          <w:szCs w:val="26"/>
        </w:rPr>
      </w:pPr>
      <w:r>
        <w:rPr>
          <w:rFonts w:eastAsia="Times New Roman" w:cs="Times New Roman"/>
          <w:szCs w:val="26"/>
        </w:rPr>
        <w:t xml:space="preserve">C. Người thực hiện gồm 01 bác sĩ chuyên khoa, 01 cử nhân điều dưỡng; Trị số bình thường &lt; 60 ng/mL. </w:t>
      </w:r>
    </w:p>
    <w:p>
      <w:pPr>
        <w:pStyle w:val="Normal"/>
        <w:spacing w:lineRule="auto" w:line="276" w:before="60" w:after="60"/>
        <w:contextualSpacing/>
        <w:rPr>
          <w:rFonts w:eastAsia="Times New Roman" w:cs="Times New Roman"/>
          <w:szCs w:val="26"/>
        </w:rPr>
      </w:pPr>
      <w:r>
        <w:rPr>
          <w:rFonts w:eastAsia="Times New Roman" w:cs="Times New Roman"/>
          <w:szCs w:val="26"/>
        </w:rPr>
        <w:t>D. Người thực hiện gồm 01 cán bộ đại học duy nhất; Trị số bình thường &lt; 2.2 g/dL.</w:t>
      </w:r>
    </w:p>
    <w:p>
      <w:pPr>
        <w:pStyle w:val="Normal"/>
        <w:spacing w:before="0" w:after="120"/>
        <w:rPr>
          <w:rFonts w:cs="Times New Roman"/>
          <w:szCs w:val="26"/>
        </w:rPr>
      </w:pPr>
      <w:r>
        <w:rPr>
          <w:rFonts w:cs="Times New Roman"/>
          <w:szCs w:val="26"/>
        </w:rPr>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Câu %1:"/>
      <w:lvlJc w:val="start"/>
      <w:pPr>
        <w:tabs>
          <w:tab w:val="num" w:pos="0"/>
        </w:tabs>
        <w:ind w:start="0" w:hanging="0"/>
      </w:pPr>
      <w:rPr>
        <w:rFonts w:ascii="Times New Roman" w:hAnsi="Times New Roman"/>
        <w:b/>
        <w:i w:val="false"/>
        <w:color w:val="auto"/>
        <w:sz w:val="26"/>
        <w:u w:val="single"/>
      </w:rPr>
    </w:lvl>
    <w:lvl w:ilvl="1">
      <w:start w:val="1"/>
      <w:numFmt w:val="upperLetter"/>
      <w:suff w:val="space"/>
      <w:lvlText w:val="%2."/>
      <w:lvlJc w:val="start"/>
      <w:pPr>
        <w:tabs>
          <w:tab w:val="num" w:pos="0"/>
        </w:tabs>
        <w:ind w:start="563" w:firstLine="97"/>
      </w:pPr>
      <w:rPr>
        <w:b w:val="false"/>
        <w:bCs w:val="false"/>
        <w:color w:val="auto"/>
      </w:rPr>
    </w:lvl>
    <w:lvl w:ilvl="2">
      <w:start w:val="1"/>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12b7e"/>
    <w:pPr>
      <w:widowControl/>
      <w:suppressAutoHyphens w:val="true"/>
      <w:bidi w:val="0"/>
      <w:spacing w:lineRule="auto" w:line="324" w:before="0" w:after="120"/>
      <w:jc w:val="both"/>
    </w:pPr>
    <w:rPr>
      <w:rFonts w:ascii="Times New Roman" w:hAnsi="Times New Roman" w:eastAsia="Calibri" w:cs="" w:cstheme="minorBidi" w:eastAsiaTheme="minorHAnsi"/>
      <w:color w:val="auto"/>
      <w:kern w:val="0"/>
      <w:sz w:val="26"/>
      <w:szCs w:val="22"/>
      <w:lang w:val="en-US" w:eastAsia="en-US" w:bidi="ar-SA"/>
    </w:rPr>
  </w:style>
  <w:style w:type="paragraph" w:styleId="Heading1">
    <w:name w:val="heading 1"/>
    <w:basedOn w:val="Normal"/>
    <w:next w:val="Normal"/>
    <w:link w:val="Heading1Char"/>
    <w:autoRedefine/>
    <w:uiPriority w:val="9"/>
    <w:qFormat/>
    <w:rsid w:val="00c12b7e"/>
    <w:pPr>
      <w:keepNext w:val="true"/>
      <w:keepLines/>
      <w:spacing w:before="240" w:after="0"/>
      <w:jc w:val="start"/>
      <w:outlineLvl w:val="0"/>
    </w:pPr>
    <w:rPr>
      <w:rFonts w:eastAsia="" w:cs="" w:cstheme="majorBidi" w:eastAsiaTheme="majorEastAsia"/>
      <w:b/>
      <w:szCs w:val="32"/>
    </w:rPr>
  </w:style>
  <w:style w:type="paragraph" w:styleId="Heading2">
    <w:name w:val="heading 2"/>
    <w:basedOn w:val="Normal"/>
    <w:next w:val="Normal"/>
    <w:link w:val="Heading2Char"/>
    <w:autoRedefine/>
    <w:uiPriority w:val="9"/>
    <w:semiHidden/>
    <w:unhideWhenUsed/>
    <w:qFormat/>
    <w:rsid w:val="00c12b7e"/>
    <w:pPr>
      <w:keepNext w:val="true"/>
      <w:keepLines/>
      <w:spacing w:before="120" w:after="0"/>
      <w:jc w:val="start"/>
      <w:outlineLvl w:val="1"/>
    </w:pPr>
    <w:rPr>
      <w:rFonts w:eastAsia="" w:cs="" w:cstheme="majorBidi" w:eastAsiaTheme="majorEastAsia"/>
      <w:b/>
      <w:szCs w:val="26"/>
    </w:rPr>
  </w:style>
  <w:style w:type="paragraph" w:styleId="Heading3">
    <w:name w:val="heading 3"/>
    <w:basedOn w:val="Normal"/>
    <w:next w:val="Normal"/>
    <w:link w:val="Heading3Char"/>
    <w:autoRedefine/>
    <w:uiPriority w:val="9"/>
    <w:unhideWhenUsed/>
    <w:qFormat/>
    <w:rsid w:val="00c12b7e"/>
    <w:pPr>
      <w:keepNext w:val="true"/>
      <w:keepLines/>
      <w:spacing w:before="120" w:after="0"/>
      <w:jc w:val="start"/>
      <w:outlineLvl w:val="2"/>
    </w:pPr>
    <w:rPr>
      <w:rFonts w:eastAsia="" w:cs="" w:cstheme="majorBidi" w:eastAsiaTheme="majorEastAsia"/>
      <w:b/>
      <w:i/>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12b7e"/>
    <w:rPr>
      <w:rFonts w:ascii="Times New Roman" w:hAnsi="Times New Roman" w:eastAsia="" w:cs="" w:cstheme="majorBidi" w:eastAsiaTheme="majorEastAsia"/>
      <w:b/>
      <w:sz w:val="26"/>
      <w:szCs w:val="32"/>
    </w:rPr>
  </w:style>
  <w:style w:type="character" w:styleId="Heading2Char" w:customStyle="1">
    <w:name w:val="Heading 2 Char"/>
    <w:basedOn w:val="DefaultParagraphFont"/>
    <w:link w:val="Heading2"/>
    <w:uiPriority w:val="9"/>
    <w:semiHidden/>
    <w:qFormat/>
    <w:rsid w:val="00c12b7e"/>
    <w:rPr>
      <w:rFonts w:ascii="Times New Roman" w:hAnsi="Times New Roman" w:eastAsia="" w:cs="" w:cstheme="majorBidi" w:eastAsiaTheme="majorEastAsia"/>
      <w:b/>
      <w:sz w:val="26"/>
      <w:szCs w:val="26"/>
    </w:rPr>
  </w:style>
  <w:style w:type="character" w:styleId="Heading3Char" w:customStyle="1">
    <w:name w:val="Heading 3 Char"/>
    <w:basedOn w:val="DefaultParagraphFont"/>
    <w:link w:val="Heading3"/>
    <w:uiPriority w:val="9"/>
    <w:qFormat/>
    <w:rsid w:val="00c12b7e"/>
    <w:rPr>
      <w:rFonts w:ascii="Times New Roman" w:hAnsi="Times New Roman" w:eastAsia="" w:cs="" w:cstheme="majorBidi" w:eastAsiaTheme="majorEastAsia"/>
      <w:b/>
      <w:i/>
      <w:sz w:val="26"/>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autoRedefine/>
    <w:uiPriority w:val="1"/>
    <w:qFormat/>
    <w:rsid w:val="00c12b7e"/>
    <w:pPr>
      <w:widowControl/>
      <w:suppressAutoHyphens w:val="true"/>
      <w:bidi w:val="0"/>
      <w:spacing w:lineRule="auto" w:line="240" w:before="0" w:after="0"/>
      <w:jc w:val="both"/>
    </w:pPr>
    <w:rPr>
      <w:rFonts w:ascii="Times New Roman" w:hAnsi="Times New Roman" w:eastAsia="Calibri" w:cs="" w:cstheme="minorBidi" w:eastAsiaTheme="minorHAnsi"/>
      <w:color w:val="auto"/>
      <w:kern w:val="0"/>
      <w:sz w:val="2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LibreOffice/26.2.4.2$Linux_X86_64 LibreOffice_project/620$Build-2</Application>
  <AppVersion>15.0000</AppVersion>
  <Pages>3</Pages>
  <Words>1292</Words>
  <Characters>4663</Characters>
  <CharactersWithSpaces>5932</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2026-09-16T00:15:00Z</dcterms:created>
  <dc:creator>Ung Thi Minh Hieu</dc:creator>
  <dc:description/>
  <dc:language>en-US</dc:language>
  <cp:lastModifiedBy/>
  <dcterms:modified xsi:type="dcterms:W3CDTF">2026-10-10T11:04:19Z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