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60" w:after="60"/>
        <w:contextualSpacing/>
        <w:jc w:val="center"/>
        <w:rPr>
          <w:rFonts w:eastAsia="Times New Roman" w:cs="Times New Roman"/>
          <w:b/>
          <w:szCs w:val="26"/>
        </w:rPr>
      </w:pPr>
      <w:bookmarkStart w:id="0" w:name="_GoBack"/>
      <w:bookmarkEnd w:id="0"/>
      <w:r>
        <w:rPr>
          <w:rFonts w:eastAsia="Times New Roman" w:cs="Times New Roman"/>
          <w:b/>
          <w:szCs w:val="26"/>
        </w:rPr>
        <w:t>ĐỊNH LƯỢNG ALBUMIN</w:t>
      </w:r>
    </w:p>
    <w:p>
      <w:pPr>
        <w:pStyle w:val="Normal"/>
        <w:spacing w:lineRule="auto" w:line="276" w:before="60" w:after="60"/>
        <w:contextualSpacing/>
        <w:jc w:val="center"/>
        <w:rPr>
          <w:rFonts w:eastAsia="Times New Roman" w:cs="Times New Roman"/>
          <w:b/>
          <w:szCs w:val="26"/>
        </w:rPr>
      </w:pPr>
      <w:r>
        <w:rPr>
          <w:rFonts w:eastAsia="Times New Roman" w:cs="Times New Roman"/>
          <w:b/>
          <w:szCs w:val="26"/>
        </w:rPr>
      </w:r>
    </w:p>
    <w:p>
      <w:pPr>
        <w:pStyle w:val="Normal"/>
        <w:numPr>
          <w:ilvl w:val="0"/>
          <w:numId w:val="1"/>
        </w:numPr>
        <w:spacing w:lineRule="auto" w:line="276" w:before="60" w:after="60"/>
        <w:contextualSpacing/>
        <w:rPr>
          <w:b/>
          <w:bCs/>
        </w:rPr>
      </w:pPr>
      <w:r>
        <w:rPr>
          <w:rFonts w:eastAsia="Times New Roman" w:cs="Times New Roman"/>
          <w:b/>
          <w:bCs/>
          <w:szCs w:val="26"/>
        </w:rPr>
        <w:t xml:space="preserve">Kỹ thuật viên tiếp nhận chỉ định lấy 3 ml máu tĩnh mạch để định lượng Albumin cho bệnh nhân. Trong quá trình chuẩn bị dụng cụ và lấy mẫu, thao tác nào sau đây tuân thủ ĐÚNG quy định kỹ thuật?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A. Sử dụng ống lấy máu chứa chất chống đông Fluorid để bảo quản mẫu. </w:t>
      </w:r>
    </w:p>
    <w:p>
      <w:pPr>
        <w:pStyle w:val="Normal"/>
        <w:spacing w:lineRule="auto" w:line="276" w:before="60" w:after="60"/>
        <w:contextualSpacing/>
        <w:rPr>
          <w:color w:val="FF0000"/>
        </w:rPr>
      </w:pPr>
      <w:r>
        <w:rPr>
          <w:rFonts w:eastAsia="Times New Roman" w:cs="Times New Roman"/>
          <w:bCs/>
          <w:color w:val="FF0000"/>
          <w:szCs w:val="26"/>
        </w:rPr>
        <w:t xml:space="preserve">B. Lấy máu vào ống không có chất chống đông hoặc ống có Heparin/EDTA và bảo đảm máu không bị vỡ hồng cầu.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C. Lấy máu vào ống chứa Fluorid và tiến hành ly tâm ngay để tránh huyết thanh bị vàng. </w:t>
      </w:r>
    </w:p>
    <w:p>
      <w:pPr>
        <w:pStyle w:val="Normal"/>
        <w:spacing w:lineRule="auto" w:line="276" w:before="60" w:after="60"/>
        <w:contextualSpacing/>
        <w:rPr>
          <w:rFonts w:eastAsia="Times New Roman" w:cs="Times New Roman"/>
          <w:szCs w:val="26"/>
        </w:rPr>
      </w:pPr>
      <w:r>
        <w:rPr>
          <w:rFonts w:eastAsia="Times New Roman" w:cs="Times New Roman"/>
          <w:szCs w:val="26"/>
        </w:rPr>
        <w:t>D. Chỉ sử dụng duy nhất ống không có chất chống đông để lấy huyết thanh.</w:t>
      </w:r>
    </w:p>
    <w:p>
      <w:pPr>
        <w:pStyle w:val="Normal"/>
        <w:numPr>
          <w:ilvl w:val="0"/>
          <w:numId w:val="1"/>
        </w:numPr>
        <w:spacing w:lineRule="auto" w:line="276" w:before="60" w:after="60"/>
        <w:contextualSpacing/>
        <w:rPr>
          <w:b/>
          <w:bCs/>
        </w:rPr>
      </w:pPr>
      <w:r>
        <w:rPr>
          <w:rFonts w:eastAsia="Times New Roman" w:cs="Times New Roman"/>
          <w:b/>
          <w:bCs/>
          <w:szCs w:val="26"/>
        </w:rPr>
        <w:t xml:space="preserve">Khâu bảo quản mẫu bệnh phẩm định lượng Albumin tại phòng xét nghiệm cần tuân thủ nghiêm ngặt điều kiện nhiệt độ và thời gian. Trường hợp lưu trữ nào sau đây vẫn ĐẢM BẢO ĐỘ ỔN ĐỊNH của bệnh phẩm theo quy định?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A. Mẫu bệnh phẩm được lưu giữ ở nhiệt độ 15 - 25°C trong thời gian 3 tháng. </w:t>
      </w:r>
    </w:p>
    <w:p>
      <w:pPr>
        <w:pStyle w:val="Normal"/>
        <w:spacing w:lineRule="auto" w:line="276" w:before="60" w:after="60"/>
        <w:contextualSpacing/>
        <w:rPr>
          <w:rFonts w:eastAsia="Times New Roman" w:cs="Times New Roman"/>
          <w:bCs/>
          <w:color w:val="0000FF"/>
          <w:szCs w:val="26"/>
        </w:rPr>
      </w:pPr>
      <w:r>
        <w:rPr>
          <w:rFonts w:eastAsia="Times New Roman" w:cs="Times New Roman"/>
          <w:bCs/>
          <w:color w:val="FF0000"/>
          <w:szCs w:val="26"/>
        </w:rPr>
        <w:t>B. Mẫu bệnh phẩm được lưu giữ ở nhiệt độ 2 - 8°C trong 5 tháng hoặc ở -15 đến -25°C trong 4 tháng</w:t>
      </w:r>
      <w:r>
        <w:rPr>
          <w:rFonts w:eastAsia="Times New Roman" w:cs="Times New Roman"/>
          <w:bCs/>
          <w:color w:val="0000FF"/>
          <w:szCs w:val="26"/>
        </w:rPr>
        <w:t xml:space="preserve">.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C. Mẫu bệnh phẩm được lưu giữ ở nhiệt độ -15 đến -25°C trong thời gian 5 tháng. </w:t>
      </w:r>
    </w:p>
    <w:p>
      <w:pPr>
        <w:pStyle w:val="Normal"/>
        <w:spacing w:lineRule="auto" w:line="276" w:before="60" w:after="60"/>
        <w:contextualSpacing/>
        <w:rPr>
          <w:rFonts w:eastAsia="Times New Roman" w:cs="Times New Roman"/>
          <w:szCs w:val="26"/>
        </w:rPr>
      </w:pPr>
      <w:r>
        <w:rPr>
          <w:rFonts w:eastAsia="Times New Roman" w:cs="Times New Roman"/>
          <w:szCs w:val="26"/>
        </w:rPr>
        <w:t>D. Mẫu bệnh phẩm được lưu giữ ở nhiệt độ 15 - 25°C trong thời gian 4 tháng.</w:t>
      </w:r>
    </w:p>
    <w:p>
      <w:pPr>
        <w:pStyle w:val="Normal"/>
        <w:numPr>
          <w:ilvl w:val="0"/>
          <w:numId w:val="1"/>
        </w:numPr>
        <w:spacing w:lineRule="auto" w:line="276" w:before="60" w:after="60"/>
        <w:contextualSpacing/>
        <w:rPr>
          <w:b/>
          <w:bCs/>
        </w:rPr>
      </w:pPr>
      <w:r>
        <w:rPr>
          <w:rFonts w:eastAsia="Times New Roman" w:cs="Times New Roman"/>
          <w:b/>
          <w:bCs/>
          <w:szCs w:val="26"/>
        </w:rPr>
        <w:t xml:space="preserve">Trong khâu xử lý bệnh phẩm đông lạnh để phân tích Albumin máu, hành động nào của kỹ thuật viên là KHÔNG PHÙ HỢP với quy trình kỹ thuật và nguy cơ gây sai lệch kết quả?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A. Để bệnh phẩm đạt nhiệt độ phòng trước khi đưa vào phân tích trên máy. </w:t>
      </w:r>
    </w:p>
    <w:p>
      <w:pPr>
        <w:pStyle w:val="Normal"/>
        <w:spacing w:lineRule="auto" w:line="276" w:before="60" w:after="60"/>
        <w:contextualSpacing/>
        <w:rPr>
          <w:color w:val="FF0000"/>
        </w:rPr>
      </w:pPr>
      <w:r>
        <w:rPr>
          <w:rFonts w:eastAsia="Times New Roman" w:cs="Times New Roman"/>
          <w:bCs/>
          <w:color w:val="FF0000"/>
          <w:szCs w:val="26"/>
        </w:rPr>
        <w:t xml:space="preserve">B. Tiến hành rã đông bệnh phẩm lần thứ 2 khi cần kiểm tra lại kết quả nghi ngờ.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C. Thực hiện phân tích bệnh phẩm, chất chuẩn và chất kiểm tra chất lượng trong vòng 2 giờ sau khi sửa soạn để tránh bay hơi. </w:t>
      </w:r>
    </w:p>
    <w:p>
      <w:pPr>
        <w:pStyle w:val="Normal"/>
        <w:spacing w:lineRule="auto" w:line="276" w:before="60" w:after="60"/>
        <w:contextualSpacing/>
        <w:rPr>
          <w:rFonts w:eastAsia="Times New Roman" w:cs="Times New Roman"/>
          <w:szCs w:val="26"/>
        </w:rPr>
      </w:pPr>
      <w:r>
        <w:rPr>
          <w:rFonts w:eastAsia="Times New Roman" w:cs="Times New Roman"/>
          <w:szCs w:val="26"/>
        </w:rPr>
        <w:t>D. Ly tâm tách lấy huyết thanh hoặc huyết tương sau khi thu thập máu.</w:t>
      </w:r>
    </w:p>
    <w:p>
      <w:pPr>
        <w:pStyle w:val="Normal"/>
        <w:numPr>
          <w:ilvl w:val="0"/>
          <w:numId w:val="1"/>
        </w:numPr>
        <w:spacing w:lineRule="auto" w:line="276" w:before="60" w:after="60"/>
        <w:contextualSpacing/>
        <w:rPr>
          <w:b/>
          <w:bCs/>
        </w:rPr>
      </w:pPr>
      <w:r>
        <w:rPr>
          <w:rFonts w:eastAsia="Times New Roman" w:cs="Times New Roman"/>
          <w:b/>
          <w:bCs/>
          <w:szCs w:val="26"/>
        </w:rPr>
        <w:t xml:space="preserve">Khi cài đặt và kiểm tra thông số kỹ thuật xét nghiệm định lượng Albumin máu trên máy phân tích tự động, kết hợp điều kiện phản ứng nào sau đây phản ánh ĐÚNG NGUYÊN LÝ của phương pháp? </w:t>
      </w:r>
    </w:p>
    <w:p>
      <w:pPr>
        <w:pStyle w:val="Normal"/>
        <w:spacing w:lineRule="auto" w:line="276" w:before="60" w:after="60"/>
        <w:contextualSpacing/>
        <w:rPr>
          <w:color w:val="FF0000"/>
        </w:rPr>
      </w:pPr>
      <w:r>
        <w:rPr>
          <w:rFonts w:eastAsia="Times New Roman" w:cs="Times New Roman"/>
          <w:bCs/>
          <w:color w:val="FF0000"/>
          <w:szCs w:val="26"/>
        </w:rPr>
        <w:t xml:space="preserve">A. Môi trường phản ứng ở pH = 4.1; Albumin kết hợp với Bromcresol green tạo phức hợp màu xanh, đo độ hấp thụ ở bước sóng 570 nm.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B. Môi trường phản ứng ở pH = 7.4; Albumin kết hợp với Bromcresol green tạo phức hợp màu vàng, đo độ hấp thụ ở bước sóng 570 nm.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C. Môi trường phản ứng ở pH = 4.1; Albumin kết hợp với BCG tạo phức hợp màu đỏ, đo độ hấp thụ ở bước sóng 570 nm. </w:t>
      </w:r>
    </w:p>
    <w:p>
      <w:pPr>
        <w:pStyle w:val="Normal"/>
        <w:spacing w:lineRule="auto" w:line="276" w:before="60" w:after="60"/>
        <w:contextualSpacing/>
        <w:rPr>
          <w:rFonts w:eastAsia="Times New Roman" w:cs="Times New Roman"/>
          <w:szCs w:val="26"/>
        </w:rPr>
      </w:pPr>
      <w:r>
        <w:rPr>
          <w:rFonts w:eastAsia="Times New Roman" w:cs="Times New Roman"/>
          <w:szCs w:val="26"/>
        </w:rPr>
        <w:t>D. Môi trường phản ứng ở pH trung tính; Albumin kết hợp với BCG tạo phức hợp màu xanh tỷ lệ nghịch với nồng độ Albumin.</w:t>
      </w:r>
    </w:p>
    <w:p>
      <w:pPr>
        <w:pStyle w:val="Normal"/>
        <w:numPr>
          <w:ilvl w:val="0"/>
          <w:numId w:val="1"/>
        </w:numPr>
        <w:spacing w:lineRule="auto" w:line="276" w:before="60" w:after="60"/>
        <w:contextualSpacing/>
        <w:rPr>
          <w:b/>
          <w:bCs/>
        </w:rPr>
      </w:pPr>
      <w:r>
        <w:rPr>
          <w:rFonts w:eastAsia="Times New Roman" w:cs="Times New Roman"/>
          <w:b/>
          <w:bCs/>
          <w:szCs w:val="26"/>
        </w:rPr>
        <w:t xml:space="preserve">Một mẫu huyết thanh được đưa đến phòng xét nghiệm có dấu hiệu bất thường về màu sắc và độ đục. Dựa vào các ngưỡng can thiệp trong quy trình, trường hợp nào sau đây kết quả xét nghiệm Albumin KHÔNG BỊ CẢN TRỞ/ẢNH HƯỞNG và có thể chấp nhận kết quả đo trực tiếp?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A. Huyết thanh có chỉ số tán huyết Hemoglobin đạt 1200 mg/dL.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B. Huyết thanh đục do nồng độ Triglyceride đạt 1500 mg/dL. </w:t>
      </w:r>
    </w:p>
    <w:p>
      <w:pPr>
        <w:pStyle w:val="Normal"/>
        <w:spacing w:lineRule="auto" w:line="276" w:before="60" w:after="60"/>
        <w:contextualSpacing/>
        <w:rPr>
          <w:rFonts w:eastAsia="Times New Roman" w:cs="Times New Roman"/>
          <w:bCs/>
          <w:color w:val="0000FF"/>
          <w:szCs w:val="26"/>
        </w:rPr>
      </w:pPr>
      <w:r>
        <w:rPr>
          <w:rFonts w:eastAsia="Times New Roman" w:cs="Times New Roman"/>
          <w:bCs/>
          <w:color w:val="FF0000"/>
          <w:szCs w:val="26"/>
        </w:rPr>
        <w:t>C. Huyết thanh vàng với nồng độ Bilirubin đạt 50 mg/dL (tương đương 855 µmol/L).</w:t>
      </w:r>
      <w:r>
        <w:rPr>
          <w:rFonts w:eastAsia="Times New Roman" w:cs="Times New Roman"/>
          <w:bCs/>
          <w:color w:val="0000FF"/>
          <w:szCs w:val="26"/>
        </w:rPr>
        <w:t xml:space="preserve"> </w:t>
      </w:r>
    </w:p>
    <w:p>
      <w:pPr>
        <w:pStyle w:val="Normal"/>
        <w:spacing w:lineRule="auto" w:line="276" w:before="60" w:after="60"/>
        <w:contextualSpacing/>
        <w:rPr>
          <w:rFonts w:eastAsia="Times New Roman" w:cs="Times New Roman"/>
          <w:szCs w:val="26"/>
        </w:rPr>
      </w:pPr>
      <w:r>
        <w:rPr>
          <w:rFonts w:eastAsia="Times New Roman" w:cs="Times New Roman"/>
          <w:szCs w:val="26"/>
        </w:rPr>
        <w:t>D. Huyết thanh vàng với nồng độ Bilirubin đạt 70 mg/dL.</w:t>
      </w:r>
    </w:p>
    <w:p>
      <w:pPr>
        <w:pStyle w:val="Normal"/>
        <w:numPr>
          <w:ilvl w:val="0"/>
          <w:numId w:val="1"/>
        </w:numPr>
        <w:spacing w:lineRule="auto" w:line="276" w:before="60" w:after="60"/>
        <w:contextualSpacing/>
        <w:rPr>
          <w:b/>
          <w:bCs/>
          <w:highlight w:val="none"/>
          <w:shd w:fill="auto" w:val="clear"/>
        </w:rPr>
      </w:pPr>
      <w:r>
        <w:rPr>
          <w:rFonts w:eastAsia="Times New Roman" w:cs="Times New Roman"/>
          <w:b/>
          <w:bCs/>
          <w:szCs w:val="26"/>
          <w:shd w:fill="auto" w:val="clear"/>
        </w:rPr>
        <w:t>Khi xử lý mẫu bệnh phẩm có yếu tố gây nhiễu vượt ngưỡng cho phép bằng phương pháp hòa loãng, thao tác báo cáo kết quả nào sau đây là ĐÚNG NGUYÊN TẮC?</w:t>
      </w:r>
      <w:r>
        <w:rPr>
          <w:rFonts w:eastAsia="Times New Roman" w:cs="Times New Roman"/>
          <w:b/>
          <w:bCs/>
          <w:szCs w:val="26"/>
          <w:shd w:fill="auto" w:val="clear"/>
          <w:lang w:val="vi-VN"/>
        </w:rPr>
        <w:t xml:space="preserve"> Không phù hợp với thực tế</w:t>
      </w:r>
      <w:r>
        <w:rPr>
          <w:rFonts w:eastAsia="Times New Roman" w:cs="Times New Roman"/>
          <w:b/>
          <w:bCs/>
          <w:szCs w:val="26"/>
          <w:shd w:fill="auto" w:val="clear"/>
        </w:rPr>
        <w:t xml:space="preserve">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A. Khi máy thực hiện chế độ hòa loãng tự động, kỹ thuật viên lấy giá trị hiển thị trên máy nhân thêm độ hòa loãng trước khi ghi báo cáo.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B. Khi tiến hành hòa loãng thủ công bệnh phẩm, kỹ thuật viên lấy trực tiếp kết quả đo trên máy trả cho bệnh nhân mà không nhân với độ hòa loãng. </w:t>
      </w:r>
    </w:p>
    <w:p>
      <w:pPr>
        <w:pStyle w:val="Normal"/>
        <w:spacing w:lineRule="auto" w:line="276" w:before="60" w:after="60"/>
        <w:contextualSpacing/>
        <w:rPr>
          <w:color w:val="FF0000"/>
        </w:rPr>
      </w:pPr>
      <w:r>
        <w:rPr>
          <w:rFonts w:eastAsia="Times New Roman" w:cs="Times New Roman"/>
          <w:bCs/>
          <w:color w:val="FF0000"/>
          <w:szCs w:val="26"/>
        </w:rPr>
        <w:t xml:space="preserve">C. Khi máy thực hiện chế độ hòa loãng tự động, kỹ thuật viên lấy trực tiếp kết quả do máy đã tự tính toán mà không nhân thêm độ hòa loãng. </w:t>
      </w:r>
    </w:p>
    <w:p>
      <w:pPr>
        <w:pStyle w:val="Normal"/>
        <w:spacing w:lineRule="auto" w:line="276" w:before="60" w:after="60"/>
        <w:contextualSpacing/>
        <w:rPr>
          <w:rFonts w:eastAsia="Times New Roman" w:cs="Times New Roman"/>
          <w:szCs w:val="26"/>
        </w:rPr>
      </w:pPr>
      <w:r>
        <w:rPr>
          <w:rFonts w:eastAsia="Times New Roman" w:cs="Times New Roman"/>
          <w:szCs w:val="26"/>
        </w:rPr>
        <w:t>D. Trong mọi trường hợp hòa loãng (tự động hay thủ công), kỹ thuật viên đều phải tự tay nhân kết quả trên máy với hệ số hòa loãng.</w:t>
      </w:r>
    </w:p>
    <w:p>
      <w:pPr>
        <w:pStyle w:val="Normal"/>
        <w:numPr>
          <w:ilvl w:val="0"/>
          <w:numId w:val="1"/>
        </w:numPr>
        <w:spacing w:lineRule="auto" w:line="276" w:before="60" w:after="60"/>
        <w:contextualSpacing/>
        <w:rPr>
          <w:b/>
          <w:bCs/>
        </w:rPr>
      </w:pPr>
      <w:r>
        <w:rPr>
          <w:rFonts w:eastAsia="Times New Roman" w:cs="Times New Roman"/>
          <w:b/>
          <w:bCs/>
          <w:szCs w:val="26"/>
        </w:rPr>
        <w:t xml:space="preserve">Trước khi vận hành máy phân tích để đo mẫu bệnh phẩm Albumin cho người bệnh, điều kiện chuẩn bị thiết bị và nội kiểm nào sau đây KHÔNG ĐẠT YÊU CẦU để tiến hành xét nghiệm?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A. Máy phân tích đã được cài đặt chương trình xét nghiệm Albumin và đã thực hiện hiệu chuẩn (calib) đạt yêu cầu. </w:t>
      </w:r>
    </w:p>
    <w:p>
      <w:pPr>
        <w:pStyle w:val="Normal"/>
        <w:spacing w:lineRule="auto" w:line="276" w:before="60" w:after="60"/>
        <w:contextualSpacing/>
        <w:rPr>
          <w:color w:val="FF0000"/>
        </w:rPr>
      </w:pPr>
      <w:r>
        <w:rPr>
          <w:rFonts w:eastAsia="Times New Roman" w:cs="Times New Roman"/>
          <w:bCs/>
          <w:color w:val="FF0000"/>
          <w:szCs w:val="26"/>
        </w:rPr>
        <w:t xml:space="preserve">B. Kết quả kiểm tra chất lượng (QC) nằm ngoài dải cho phép nhưng kỹ thuật viên vẫn quyết định chạy mẫu bệnh nhân để kịp trả kết quả.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C. Kết quả kiểm tra chất lượng (QC) với xét nghiệm Albumin đạt yêu cầu, không nằm ngoài dải cho phép và không vi phạm luật kiểm tra chất lượng. </w:t>
      </w:r>
    </w:p>
    <w:p>
      <w:pPr>
        <w:pStyle w:val="Normal"/>
        <w:spacing w:lineRule="auto" w:line="276" w:before="60" w:after="60"/>
        <w:contextualSpacing/>
        <w:rPr>
          <w:rFonts w:eastAsia="Times New Roman" w:cs="Times New Roman"/>
          <w:szCs w:val="26"/>
        </w:rPr>
      </w:pPr>
      <w:r>
        <w:rPr>
          <w:rFonts w:eastAsia="Times New Roman" w:cs="Times New Roman"/>
          <w:szCs w:val="26"/>
        </w:rPr>
        <w:t>D. Chất chuẩn và chất kiểm tra chất lượng được phân tích trong thời gian dưới 2 giờ sau khi sửa soạn để tránh hiện tượng bay hơi.</w:t>
      </w:r>
    </w:p>
    <w:p>
      <w:pPr>
        <w:pStyle w:val="Normal"/>
        <w:numPr>
          <w:ilvl w:val="0"/>
          <w:numId w:val="1"/>
        </w:numPr>
        <w:spacing w:lineRule="auto" w:line="276" w:before="60" w:after="60"/>
        <w:contextualSpacing/>
        <w:rPr>
          <w:b/>
          <w:bCs/>
        </w:rPr>
      </w:pPr>
      <w:r>
        <w:rPr>
          <w:rFonts w:eastAsia="Times New Roman" w:cs="Times New Roman"/>
          <w:b/>
          <w:bCs/>
          <w:szCs w:val="26"/>
        </w:rPr>
        <w:t xml:space="preserve">Kết quả định lượng Albumin máu của một bệnh nhân trả về đạt mức 54 g/L. Bệnh nhân này nằm ngoài khoảng trị số bình thường (34 - 48 g/L). Dựa trên nguyên nhân tăng Albumin máu được liệt kê trong quy trình kỹ thuật, tình trạng lâm sàng nào sau đây giải thích ĐÚNG cho kết quả trên?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A. Bệnh nhân đang bị hội chứng thận hư hoặc viêm cầu thận cấp.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B. Bệnh nhân bị xơ gan giai đoạn tiến triển hoặc viêm gan nặng. </w:t>
      </w:r>
    </w:p>
    <w:p>
      <w:pPr>
        <w:pStyle w:val="Normal"/>
        <w:spacing w:lineRule="auto" w:line="276" w:before="60" w:after="60"/>
        <w:contextualSpacing/>
        <w:rPr>
          <w:color w:val="FF0000"/>
        </w:rPr>
      </w:pPr>
      <w:r>
        <w:rPr>
          <w:rFonts w:eastAsia="Times New Roman" w:cs="Times New Roman"/>
          <w:bCs/>
          <w:color w:val="FF0000"/>
          <w:szCs w:val="26"/>
        </w:rPr>
        <w:t xml:space="preserve">C. Bệnh nhân bị mất nước do nôn nhiều hoặc tiêu chảy nặng. </w:t>
      </w:r>
    </w:p>
    <w:p>
      <w:pPr>
        <w:pStyle w:val="Normal"/>
        <w:spacing w:lineRule="auto" w:line="276" w:before="60" w:after="60"/>
        <w:contextualSpacing/>
        <w:rPr>
          <w:rFonts w:eastAsia="Times New Roman" w:cs="Times New Roman"/>
          <w:szCs w:val="26"/>
        </w:rPr>
      </w:pPr>
      <w:r>
        <w:rPr>
          <w:rFonts w:eastAsia="Times New Roman" w:cs="Times New Roman"/>
          <w:szCs w:val="26"/>
        </w:rPr>
        <w:t>D. Bệnh nhân bị tổn thương rỉ dịch rộng do bỏng hoặc mất protein qua đường ruột.</w:t>
      </w:r>
    </w:p>
    <w:p>
      <w:pPr>
        <w:pStyle w:val="Normal"/>
        <w:numPr>
          <w:ilvl w:val="0"/>
          <w:numId w:val="1"/>
        </w:numPr>
        <w:spacing w:lineRule="auto" w:line="276" w:before="60" w:after="60"/>
        <w:contextualSpacing/>
        <w:rPr>
          <w:b/>
          <w:bCs/>
        </w:rPr>
      </w:pPr>
      <w:r>
        <w:rPr>
          <w:rFonts w:eastAsia="Times New Roman" w:cs="Times New Roman"/>
          <w:b/>
          <w:bCs/>
          <w:szCs w:val="26"/>
        </w:rPr>
        <w:t xml:space="preserve">Phân tích nhóm nguyên nhân gây GIẢM Albumin máu trong tài liệu hướng dẫn kỹ thuật, trường hợp nào sau đây được xếp đúng vào cơ chế "Mất Albumin"?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A. Bệnh nhân bị xơ gan hoặc viêm gan nặng. </w:t>
      </w:r>
    </w:p>
    <w:p>
      <w:pPr>
        <w:pStyle w:val="Normal"/>
        <w:spacing w:lineRule="auto" w:line="276" w:before="60" w:after="60"/>
        <w:contextualSpacing/>
        <w:rPr>
          <w:color w:val="FF0000"/>
        </w:rPr>
      </w:pPr>
      <w:r>
        <w:rPr>
          <w:rFonts w:eastAsia="Times New Roman" w:cs="Times New Roman"/>
          <w:bCs/>
          <w:color w:val="FF0000"/>
          <w:szCs w:val="26"/>
        </w:rPr>
        <w:t xml:space="preserve">B. Bệnh nhân bị bỏng, tổn thương rỉ dịch hoặc bệnh đường ruột mất protein.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C. Bệnh nhân bị kém hấp thu hoặc kém dinh dưỡng kéo dài. </w:t>
      </w:r>
    </w:p>
    <w:p>
      <w:pPr>
        <w:pStyle w:val="Normal"/>
        <w:spacing w:lineRule="auto" w:line="276" w:before="60" w:after="60"/>
        <w:contextualSpacing/>
        <w:rPr>
          <w:rFonts w:eastAsia="Times New Roman" w:cs="Times New Roman"/>
          <w:szCs w:val="26"/>
        </w:rPr>
      </w:pPr>
      <w:r>
        <w:rPr>
          <w:rFonts w:eastAsia="Times New Roman" w:cs="Times New Roman"/>
          <w:szCs w:val="26"/>
        </w:rPr>
        <w:t>D. Bệnh nhân mắc bệnh không có albumin huyết bẩm sinh.</w:t>
      </w:r>
    </w:p>
    <w:p>
      <w:pPr>
        <w:pStyle w:val="Normal"/>
        <w:numPr>
          <w:ilvl w:val="0"/>
          <w:numId w:val="1"/>
        </w:numPr>
        <w:spacing w:lineRule="auto" w:line="276" w:before="60" w:after="60"/>
        <w:contextualSpacing/>
        <w:rPr>
          <w:b/>
          <w:bCs/>
        </w:rPr>
      </w:pPr>
      <w:r>
        <w:rPr>
          <w:rFonts w:eastAsia="Times New Roman" w:cs="Times New Roman"/>
          <w:b/>
          <w:bCs/>
          <w:szCs w:val="26"/>
        </w:rPr>
        <w:t xml:space="preserve">Kiểm tra tính tuân thủ quy trình xét nghiệm định lượng Albumin máu từ khâu tiếp nhận đến khâu trả kết quả, hành vi nào sau đây VI PHẠM quy định về quản lý hành chính và chuyên môn? </w:t>
      </w:r>
    </w:p>
    <w:p>
      <w:pPr>
        <w:pStyle w:val="Normal"/>
        <w:spacing w:lineRule="auto" w:line="276" w:before="60" w:after="60"/>
        <w:contextualSpacing/>
        <w:rPr>
          <w:rFonts w:eastAsia="Times New Roman" w:cs="Times New Roman"/>
          <w:szCs w:val="26"/>
        </w:rPr>
      </w:pPr>
      <w:r>
        <w:rPr>
          <w:rFonts w:eastAsia="Times New Roman" w:cs="Times New Roman"/>
          <w:szCs w:val="26"/>
        </w:rPr>
        <w:t>A. Tiếp nhận phiếu xét nghiệm ghi đầy đủ tên, tuổi, giới tính, khoa phòng, chẩn đoán bệnh nhân và chỉ định xét nghiệm.</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B. Phân công 01 cán bộ đại học và 01 kỹ thuật viên chuyên ngành hóa sinh phối hợp thực hiện quy trình. </w:t>
      </w:r>
    </w:p>
    <w:p>
      <w:pPr>
        <w:pStyle w:val="Normal"/>
        <w:spacing w:lineRule="auto" w:line="276" w:before="60" w:after="60"/>
        <w:contextualSpacing/>
        <w:rPr>
          <w:color w:val="FF0000"/>
        </w:rPr>
      </w:pPr>
      <w:r>
        <w:rPr>
          <w:rFonts w:eastAsia="Times New Roman" w:cs="Times New Roman"/>
          <w:bCs/>
          <w:color w:val="FF0000"/>
          <w:szCs w:val="26"/>
        </w:rPr>
        <w:t xml:space="preserve">C. Tiến hành phân tích mẫu bệnh phẩm khi phiếu xét nghiệm thiếu chỉ định xét nghiệm hoặc chưa ghi chẩn đoán lâm sàng. </w:t>
      </w:r>
    </w:p>
    <w:p>
      <w:pPr>
        <w:pStyle w:val="Normal"/>
        <w:spacing w:lineRule="auto" w:line="276" w:before="60" w:after="60"/>
        <w:contextualSpacing/>
        <w:rPr>
          <w:rFonts w:eastAsia="Times New Roman" w:cs="Times New Roman"/>
          <w:szCs w:val="26"/>
        </w:rPr>
      </w:pPr>
      <w:r>
        <w:rPr>
          <w:rFonts w:eastAsia="Times New Roman" w:cs="Times New Roman"/>
          <w:szCs w:val="26"/>
        </w:rPr>
        <w:t>D. Thực hiện xem xét, đánh giá kết quả phân tích trước khi ghi kết quả vào phiếu xét nghiệm để trả cho người bệnh.</w:t>
      </w:r>
    </w:p>
    <w:p>
      <w:pPr>
        <w:pStyle w:val="Normal"/>
        <w:spacing w:before="0" w:after="120"/>
        <w:rPr>
          <w:rFonts w:cs="Times New Roman"/>
          <w:szCs w:val="26"/>
        </w:rPr>
      </w:pPr>
      <w:r>
        <w:rPr>
          <w:rFonts w:cs="Times New Roman"/>
          <w:szCs w:val="26"/>
        </w:rPr>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Câu %1:"/>
      <w:lvlJc w:val="start"/>
      <w:pPr>
        <w:tabs>
          <w:tab w:val="num" w:pos="0"/>
        </w:tabs>
        <w:ind w:start="0" w:hanging="0"/>
      </w:pPr>
      <w:rPr>
        <w:rFonts w:ascii="Times New Roman" w:hAnsi="Times New Roman"/>
        <w:b/>
        <w:i w:val="false"/>
        <w:color w:val="auto"/>
        <w:sz w:val="26"/>
        <w:u w:val="single"/>
      </w:rPr>
    </w:lvl>
    <w:lvl w:ilvl="1">
      <w:start w:val="1"/>
      <w:numFmt w:val="upperLetter"/>
      <w:suff w:val="space"/>
      <w:lvlText w:val="%2."/>
      <w:lvlJc w:val="start"/>
      <w:pPr>
        <w:tabs>
          <w:tab w:val="num" w:pos="0"/>
        </w:tabs>
        <w:ind w:start="563" w:firstLine="97"/>
      </w:pPr>
      <w:rPr>
        <w:b w:val="false"/>
        <w:bCs w:val="false"/>
        <w:color w:val="auto"/>
      </w:rPr>
    </w:lvl>
    <w:lvl w:ilvl="2">
      <w:start w:val="1"/>
      <w:numFmt w:val="lowerRoman"/>
      <w:lvlText w:val="%3)"/>
      <w:lvlJc w:val="start"/>
      <w:pPr>
        <w:tabs>
          <w:tab w:val="num" w:pos="0"/>
        </w:tabs>
        <w:ind w:start="1080" w:hanging="360"/>
      </w:pPr>
      <w:rPr/>
    </w:lvl>
    <w:lvl w:ilvl="3">
      <w:start w:val="1"/>
      <w:numFmt w:val="decimal"/>
      <w:lvlText w:val="(%4)"/>
      <w:lvlJc w:val="start"/>
      <w:pPr>
        <w:tabs>
          <w:tab w:val="num" w:pos="0"/>
        </w:tabs>
        <w:ind w:start="1440" w:hanging="360"/>
      </w:pPr>
      <w:rPr/>
    </w:lvl>
    <w:lvl w:ilvl="4">
      <w:start w:val="1"/>
      <w:numFmt w:val="lowerLetter"/>
      <w:lvlText w:val="(%5)"/>
      <w:lvlJc w:val="start"/>
      <w:pPr>
        <w:tabs>
          <w:tab w:val="num" w:pos="0"/>
        </w:tabs>
        <w:ind w:start="1800" w:hanging="36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12b7e"/>
    <w:pPr>
      <w:widowControl/>
      <w:suppressAutoHyphens w:val="true"/>
      <w:bidi w:val="0"/>
      <w:spacing w:lineRule="auto" w:line="324" w:before="0" w:after="120"/>
      <w:jc w:val="both"/>
    </w:pPr>
    <w:rPr>
      <w:rFonts w:ascii="Times New Roman" w:hAnsi="Times New Roman" w:eastAsia="Calibri" w:cs="" w:cstheme="minorBidi" w:eastAsiaTheme="minorHAnsi"/>
      <w:color w:val="auto"/>
      <w:kern w:val="0"/>
      <w:sz w:val="26"/>
      <w:szCs w:val="22"/>
      <w:lang w:val="en-US" w:eastAsia="en-US" w:bidi="ar-SA"/>
    </w:rPr>
  </w:style>
  <w:style w:type="paragraph" w:styleId="Heading1">
    <w:name w:val="heading 1"/>
    <w:basedOn w:val="Normal"/>
    <w:next w:val="Normal"/>
    <w:link w:val="Heading1Char"/>
    <w:autoRedefine/>
    <w:uiPriority w:val="9"/>
    <w:qFormat/>
    <w:rsid w:val="00c12b7e"/>
    <w:pPr>
      <w:keepNext w:val="true"/>
      <w:keepLines/>
      <w:spacing w:before="240" w:after="0"/>
      <w:jc w:val="start"/>
      <w:outlineLvl w:val="0"/>
    </w:pPr>
    <w:rPr>
      <w:rFonts w:eastAsia="" w:cs="" w:cstheme="majorBidi" w:eastAsiaTheme="majorEastAsia"/>
      <w:b/>
      <w:szCs w:val="32"/>
    </w:rPr>
  </w:style>
  <w:style w:type="paragraph" w:styleId="Heading2">
    <w:name w:val="heading 2"/>
    <w:basedOn w:val="Normal"/>
    <w:next w:val="Normal"/>
    <w:link w:val="Heading2Char"/>
    <w:autoRedefine/>
    <w:uiPriority w:val="9"/>
    <w:semiHidden/>
    <w:unhideWhenUsed/>
    <w:qFormat/>
    <w:rsid w:val="00c12b7e"/>
    <w:pPr>
      <w:keepNext w:val="true"/>
      <w:keepLines/>
      <w:spacing w:before="120" w:after="0"/>
      <w:jc w:val="start"/>
      <w:outlineLvl w:val="1"/>
    </w:pPr>
    <w:rPr>
      <w:rFonts w:eastAsia="" w:cs="" w:cstheme="majorBidi" w:eastAsiaTheme="majorEastAsia"/>
      <w:b/>
      <w:szCs w:val="26"/>
    </w:rPr>
  </w:style>
  <w:style w:type="paragraph" w:styleId="Heading3">
    <w:name w:val="heading 3"/>
    <w:basedOn w:val="Normal"/>
    <w:next w:val="Normal"/>
    <w:link w:val="Heading3Char"/>
    <w:autoRedefine/>
    <w:uiPriority w:val="9"/>
    <w:unhideWhenUsed/>
    <w:qFormat/>
    <w:rsid w:val="00c12b7e"/>
    <w:pPr>
      <w:keepNext w:val="true"/>
      <w:keepLines/>
      <w:spacing w:before="120" w:after="0"/>
      <w:jc w:val="start"/>
      <w:outlineLvl w:val="2"/>
    </w:pPr>
    <w:rPr>
      <w:rFonts w:eastAsia="" w:cs="" w:cstheme="majorBidi" w:eastAsiaTheme="majorEastAsia"/>
      <w:b/>
      <w:i/>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c12b7e"/>
    <w:rPr>
      <w:rFonts w:ascii="Times New Roman" w:hAnsi="Times New Roman" w:eastAsia="" w:cs="" w:cstheme="majorBidi" w:eastAsiaTheme="majorEastAsia"/>
      <w:b/>
      <w:sz w:val="26"/>
      <w:szCs w:val="32"/>
    </w:rPr>
  </w:style>
  <w:style w:type="character" w:styleId="Heading2Char" w:customStyle="1">
    <w:name w:val="Heading 2 Char"/>
    <w:basedOn w:val="DefaultParagraphFont"/>
    <w:link w:val="Heading2"/>
    <w:uiPriority w:val="9"/>
    <w:semiHidden/>
    <w:qFormat/>
    <w:rsid w:val="00c12b7e"/>
    <w:rPr>
      <w:rFonts w:ascii="Times New Roman" w:hAnsi="Times New Roman" w:eastAsia="" w:cs="" w:cstheme="majorBidi" w:eastAsiaTheme="majorEastAsia"/>
      <w:b/>
      <w:sz w:val="26"/>
      <w:szCs w:val="26"/>
    </w:rPr>
  </w:style>
  <w:style w:type="character" w:styleId="Heading3Char" w:customStyle="1">
    <w:name w:val="Heading 3 Char"/>
    <w:basedOn w:val="DefaultParagraphFont"/>
    <w:link w:val="Heading3"/>
    <w:uiPriority w:val="9"/>
    <w:qFormat/>
    <w:rsid w:val="00c12b7e"/>
    <w:rPr>
      <w:rFonts w:ascii="Times New Roman" w:hAnsi="Times New Roman" w:eastAsia="" w:cs="" w:cstheme="majorBidi" w:eastAsiaTheme="majorEastAsia"/>
      <w:b/>
      <w:i/>
      <w:sz w:val="26"/>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Spacing">
    <w:name w:val="No Spacing"/>
    <w:autoRedefine/>
    <w:uiPriority w:val="1"/>
    <w:qFormat/>
    <w:rsid w:val="00c12b7e"/>
    <w:pPr>
      <w:widowControl/>
      <w:suppressAutoHyphens w:val="true"/>
      <w:bidi w:val="0"/>
      <w:spacing w:lineRule="auto" w:line="240" w:before="0" w:after="0"/>
      <w:jc w:val="both"/>
    </w:pPr>
    <w:rPr>
      <w:rFonts w:ascii="Times New Roman" w:hAnsi="Times New Roman" w:eastAsia="Calibri" w:cs="" w:cstheme="minorBidi" w:eastAsiaTheme="minorHAnsi"/>
      <w:color w:val="auto"/>
      <w:kern w:val="0"/>
      <w:sz w:val="26"/>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LibreOffice/26.2.4.2$Linux_X86_64 LibreOffice_project/620$Build-2</Application>
  <AppVersion>15.0000</AppVersion>
  <Pages>3</Pages>
  <Words>1269</Words>
  <Characters>4577</Characters>
  <CharactersWithSpaces>5824</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2026-09-16T00:17:00Z</dcterms:created>
  <dc:creator>Ung Thi Minh Hieu</dc:creator>
  <dc:description/>
  <dc:language>en-US</dc:language>
  <cp:lastModifiedBy/>
  <dcterms:modified xsi:type="dcterms:W3CDTF">2026-10-10T08:49:44Z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