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60" w:after="60"/>
        <w:contextualSpacing/>
        <w:jc w:val="center"/>
        <w:rPr>
          <w:rFonts w:eastAsia="Times New Roman" w:cs="Times New Roman"/>
          <w:b/>
          <w:szCs w:val="26"/>
        </w:rPr>
      </w:pPr>
      <w:bookmarkStart w:id="0" w:name="_GoBack"/>
      <w:bookmarkEnd w:id="0"/>
      <w:r>
        <w:rPr>
          <w:rFonts w:eastAsia="Times New Roman" w:cs="Times New Roman"/>
          <w:b/>
          <w:szCs w:val="26"/>
        </w:rPr>
        <w:t>ĐỊNH LƯỢNG ANTI-TPO</w:t>
      </w:r>
    </w:p>
    <w:p>
      <w:pPr>
        <w:pStyle w:val="Normal"/>
        <w:spacing w:lineRule="auto" w:line="240" w:before="0" w:after="0"/>
        <w:jc w:val="start"/>
        <w:rPr>
          <w:rFonts w:eastAsia="Times New Roman" w:cs="Times New Roman"/>
          <w:szCs w:val="26"/>
        </w:rPr>
      </w:pPr>
      <w:r>
        <w:rPr>
          <w:rFonts w:eastAsia="Times New Roman" w:cs="Times New Roman"/>
          <w:szCs w:val="26"/>
        </w:rPr>
      </w:r>
    </w:p>
    <w:p>
      <w:pPr>
        <w:pStyle w:val="Normal"/>
        <w:numPr>
          <w:ilvl w:val="0"/>
          <w:numId w:val="1"/>
        </w:numPr>
        <w:spacing w:lineRule="auto" w:line="276" w:before="60" w:after="60"/>
        <w:contextualSpacing/>
        <w:rPr>
          <w:b/>
          <w:bCs/>
        </w:rPr>
      </w:pPr>
      <w:r>
        <w:rPr>
          <w:rFonts w:eastAsia="Times New Roman" w:cs="Times New Roman"/>
          <w:b/>
          <w:bCs/>
          <w:szCs w:val="26"/>
        </w:rPr>
        <w:t xml:space="preserve">Trong quy trình định lượng Anti-TPO theo nguyên lý miễn dịch cạnh tranh sử dụng công nghệ hóa phát quang hoặc điện hóa phát quang, sự cạnh tranh vị trí gắn kết trên kháng nguyên TPO đánh dấu biotin diễn ra giữa hai thành phần nào? </w:t>
      </w:r>
    </w:p>
    <w:p>
      <w:pPr>
        <w:pStyle w:val="Normal"/>
        <w:spacing w:lineRule="auto" w:line="276" w:before="60" w:after="60"/>
        <w:contextualSpacing/>
        <w:rPr>
          <w:color w:val="FF0000"/>
        </w:rPr>
      </w:pPr>
      <w:r>
        <w:rPr>
          <w:rFonts w:eastAsia="Times New Roman" w:cs="Times New Roman"/>
          <w:bCs/>
          <w:color w:val="FF0000"/>
          <w:szCs w:val="26"/>
        </w:rPr>
        <w:t xml:space="preserve">A. Kháng thể Anti-TPO trong mẫu bệnh phẩm và kháng thể Anti-TPO đánh dấu phức hợp ruthenium.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Kháng thể Anti-TPO trong mẫu bệnh phẩm và các vi hạt phủ streptavidin.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Kháng nguyên TPO đánh dấu biotin và dung dịch ProCell trong buồng đo. </w:t>
      </w:r>
    </w:p>
    <w:p>
      <w:pPr>
        <w:pStyle w:val="Normal"/>
        <w:spacing w:lineRule="auto" w:line="276" w:before="60" w:after="60"/>
        <w:contextualSpacing/>
        <w:rPr>
          <w:rFonts w:eastAsia="Times New Roman" w:cs="Times New Roman"/>
          <w:szCs w:val="26"/>
        </w:rPr>
      </w:pPr>
      <w:r>
        <w:rPr>
          <w:rFonts w:eastAsia="Times New Roman" w:cs="Times New Roman"/>
          <w:szCs w:val="26"/>
        </w:rPr>
        <w:t>D. Phức hợp ruthenium tự do và các vi hạt đối từ trên bề mặt điện cực.</w:t>
      </w:r>
    </w:p>
    <w:p>
      <w:pPr>
        <w:pStyle w:val="Normal"/>
        <w:numPr>
          <w:ilvl w:val="0"/>
          <w:numId w:val="1"/>
        </w:numPr>
        <w:spacing w:lineRule="auto" w:line="276" w:before="60" w:after="60"/>
        <w:contextualSpacing/>
        <w:rPr>
          <w:b/>
          <w:bCs/>
        </w:rPr>
      </w:pPr>
      <w:r>
        <w:rPr>
          <w:rFonts w:eastAsia="Times New Roman" w:cs="Times New Roman"/>
          <w:b/>
          <w:bCs/>
          <w:szCs w:val="26"/>
        </w:rPr>
        <w:t xml:space="preserve">Kỹ thuật viên tiếp nhận chỉ định xét nghiệm Anti-TPO cho một bệnh nhân đang điều trị bổ sung Biotin với liều 10 mg/ngày. Để đảm bảo kết quả xét nghiệm không bị ảnh hưởng bởi yếu tố gây nhiễu Biotin, thời điểm lấy máu phù hợp nhất được quy định là: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Lấy máu ngay trước khi bệnh nhân uống liều Biotin tiếp theo trong ngày.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Lấy máu ở thời điểm bất kỳ vì ngưỡng gây nhiễu Biotin của xét nghiệm rất cao. </w:t>
      </w:r>
    </w:p>
    <w:p>
      <w:pPr>
        <w:pStyle w:val="Normal"/>
        <w:spacing w:lineRule="auto" w:line="276" w:before="60" w:after="60"/>
        <w:contextualSpacing/>
        <w:rPr>
          <w:color w:val="FF0000"/>
        </w:rPr>
      </w:pPr>
      <w:r>
        <w:rPr>
          <w:rFonts w:eastAsia="Times New Roman" w:cs="Times New Roman"/>
          <w:bCs/>
          <w:color w:val="FF0000"/>
          <w:szCs w:val="26"/>
        </w:rPr>
        <w:t xml:space="preserve">C. Lấy máu tối thiểu 8 giờ sau khi bệnh nhân sử dụng Biotin lần cuối. </w:t>
      </w:r>
    </w:p>
    <w:p>
      <w:pPr>
        <w:pStyle w:val="Normal"/>
        <w:spacing w:lineRule="auto" w:line="276" w:before="60" w:after="60"/>
        <w:contextualSpacing/>
        <w:rPr>
          <w:rFonts w:eastAsia="Times New Roman" w:cs="Times New Roman"/>
          <w:szCs w:val="26"/>
        </w:rPr>
      </w:pPr>
      <w:r>
        <w:rPr>
          <w:rFonts w:eastAsia="Times New Roman" w:cs="Times New Roman"/>
          <w:szCs w:val="26"/>
        </w:rPr>
        <w:t>D. Lấy máu sau khi hòa loãng bệnh phẩm với dung dịch chuẩn của máy.</w:t>
      </w:r>
    </w:p>
    <w:p>
      <w:pPr>
        <w:pStyle w:val="Normal"/>
        <w:numPr>
          <w:ilvl w:val="0"/>
          <w:numId w:val="1"/>
        </w:numPr>
        <w:spacing w:lineRule="auto" w:line="276" w:before="60" w:after="60"/>
        <w:contextualSpacing/>
        <w:rPr>
          <w:b/>
          <w:bCs/>
        </w:rPr>
      </w:pPr>
      <w:r>
        <w:rPr>
          <w:rFonts w:eastAsia="Times New Roman" w:cs="Times New Roman"/>
          <w:b/>
          <w:bCs/>
          <w:szCs w:val="26"/>
        </w:rPr>
        <w:t xml:space="preserve">Một mẫu huyết thanh xét nghiệm Anti-TPO đã được bảo quản đông sâu ở -20°C trong 2 tuần. Khi đưa mẫu ra thực hiện phân tích, thao tác nào sau đây </w:t>
      </w:r>
      <w:r>
        <w:rPr>
          <w:rFonts w:eastAsia="Times New Roman" w:cs="Times New Roman"/>
          <w:b/>
          <w:bCs/>
          <w:szCs w:val="26"/>
        </w:rPr>
        <w:t>KHÔNG đúng</w:t>
      </w:r>
      <w:r>
        <w:rPr>
          <w:rFonts w:eastAsia="Times New Roman" w:cs="Times New Roman"/>
          <w:b/>
          <w:bCs/>
          <w:szCs w:val="26"/>
        </w:rPr>
        <w:t xml:space="preserve"> với quy trình kỹ thuật?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Để mẫu bệnh phẩm đạt đến nhiệt độ phòng trước khi tiến hành phân tích trên máy.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Phân tích mẫu bệnh phẩm trong vòng 2 giờ sau khi chuẩn bị để tránh hiện tượng bay hơi. </w:t>
      </w:r>
    </w:p>
    <w:p>
      <w:pPr>
        <w:pStyle w:val="Normal"/>
        <w:spacing w:lineRule="auto" w:line="276" w:before="60" w:after="60"/>
        <w:contextualSpacing/>
        <w:rPr>
          <w:color w:val="FF0000"/>
        </w:rPr>
      </w:pPr>
      <w:r>
        <w:rPr>
          <w:rFonts w:eastAsia="Times New Roman" w:cs="Times New Roman"/>
          <w:bCs/>
          <w:color w:val="FF0000"/>
          <w:szCs w:val="26"/>
        </w:rPr>
        <w:t xml:space="preserve">C. Tiến hành rã đông mẫu lần thứ hai nếu lượng mẫu lần đầu lấy chưa đủ phân tích. </w:t>
      </w:r>
    </w:p>
    <w:p>
      <w:pPr>
        <w:pStyle w:val="Normal"/>
        <w:spacing w:lineRule="auto" w:line="276" w:before="60" w:after="60"/>
        <w:contextualSpacing/>
        <w:rPr>
          <w:rFonts w:eastAsia="Times New Roman" w:cs="Times New Roman"/>
          <w:szCs w:val="26"/>
        </w:rPr>
      </w:pPr>
      <w:r>
        <w:rPr>
          <w:rFonts w:eastAsia="Times New Roman" w:cs="Times New Roman"/>
          <w:szCs w:val="26"/>
        </w:rPr>
        <w:t>D. Đảm bảo mẫu máu ban đầu được lấy đúng kỹ thuật và hoàn toàn không bị vỡ hồng cầu.</w:t>
      </w:r>
    </w:p>
    <w:p>
      <w:pPr>
        <w:pStyle w:val="Normal"/>
        <w:numPr>
          <w:ilvl w:val="0"/>
          <w:numId w:val="1"/>
        </w:numPr>
        <w:spacing w:lineRule="auto" w:line="276" w:before="60" w:after="60"/>
        <w:contextualSpacing/>
        <w:rPr>
          <w:b/>
          <w:bCs/>
        </w:rPr>
      </w:pPr>
      <w:r>
        <w:rPr>
          <w:rFonts w:eastAsia="Times New Roman" w:cs="Times New Roman"/>
          <w:b/>
          <w:bCs/>
          <w:szCs w:val="26"/>
        </w:rPr>
        <w:t xml:space="preserve">Kỹ thuật viên thực hiện lấy 3 ml máu tĩnh mạch để làm xét nghiệm Anti-TPO. Danh sách các chất chống đông nào sau đây chứa lựa chọn </w:t>
      </w:r>
      <w:r>
        <w:rPr>
          <w:rFonts w:eastAsia="Times New Roman" w:cs="Times New Roman"/>
          <w:b/>
          <w:bCs/>
          <w:szCs w:val="26"/>
        </w:rPr>
        <w:t>KHÔNG</w:t>
      </w:r>
      <w:r>
        <w:rPr>
          <w:rFonts w:eastAsia="Times New Roman" w:cs="Times New Roman"/>
          <w:b/>
          <w:bCs/>
          <w:szCs w:val="26"/>
        </w:rPr>
        <w:t xml:space="preserve"> phù hợp theo quy định của quy trình?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NH4-Heparin, Li-Heparin, Na-Heparin.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K3-EDTA, Natri Citrat.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Na fluoride, K Oxalate. </w:t>
      </w:r>
    </w:p>
    <w:p>
      <w:pPr>
        <w:pStyle w:val="Normal"/>
        <w:spacing w:lineRule="auto" w:line="276" w:before="60" w:after="60"/>
        <w:contextualSpacing/>
        <w:rPr>
          <w:color w:val="FF0000"/>
        </w:rPr>
      </w:pPr>
      <w:r>
        <w:rPr>
          <w:rFonts w:eastAsia="Times New Roman" w:cs="Times New Roman"/>
          <w:bCs/>
          <w:color w:val="FF0000"/>
          <w:szCs w:val="26"/>
        </w:rPr>
        <w:t>D. Na Fluoride kết hợp Heparin liều cao gây tán huyết nhẹ.</w:t>
      </w:r>
    </w:p>
    <w:p>
      <w:pPr>
        <w:pStyle w:val="Normal"/>
        <w:numPr>
          <w:ilvl w:val="0"/>
          <w:numId w:val="1"/>
        </w:numPr>
        <w:spacing w:lineRule="auto" w:line="276" w:before="60" w:after="60"/>
        <w:contextualSpacing/>
        <w:rPr>
          <w:b/>
          <w:bCs/>
        </w:rPr>
      </w:pPr>
      <w:r>
        <w:rPr>
          <w:rFonts w:eastAsia="Times New Roman" w:cs="Times New Roman"/>
          <w:b/>
          <w:bCs/>
          <w:szCs w:val="26"/>
        </w:rPr>
        <w:t xml:space="preserve">Khi xét nghiệm một mẫu bệnh phẩm có nồng độ Anti-TPO vượt quá dải đo của máy phân tích, kỹ thuật viên chọn chế độ hòa loãng tự động (automatic dilution) trên hệ thống. Sau khi máy hoàn tất phân tích, kết quả thu được trên màn hình cần được ghi nhận và xử lý như thế nào?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Lấy kết quả hiển thị trên màn hình nhân trực tiếp với độ hòa loãng đã chọn. </w:t>
      </w:r>
    </w:p>
    <w:p>
      <w:pPr>
        <w:pStyle w:val="Normal"/>
        <w:spacing w:lineRule="auto" w:line="276" w:before="60" w:after="60"/>
        <w:contextualSpacing/>
        <w:rPr>
          <w:color w:val="FF0000"/>
        </w:rPr>
      </w:pPr>
      <w:r>
        <w:rPr>
          <w:rFonts w:eastAsia="Times New Roman" w:cs="Times New Roman"/>
          <w:bCs/>
          <w:color w:val="FF0000"/>
          <w:szCs w:val="26"/>
        </w:rPr>
        <w:t xml:space="preserve">B. Ghi nhận trực tiếp kết quả hiển thị trên máy do hệ thống đã tự động tính toán.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Chia kết quả hiển thị cho độ hòa loãng để lấy trị số nồng độ thực tế. </w:t>
      </w:r>
    </w:p>
    <w:p>
      <w:pPr>
        <w:pStyle w:val="Normal"/>
        <w:spacing w:lineRule="auto" w:line="276" w:before="60" w:after="60"/>
        <w:contextualSpacing/>
        <w:rPr>
          <w:rFonts w:eastAsia="Times New Roman" w:cs="Times New Roman"/>
          <w:szCs w:val="26"/>
        </w:rPr>
      </w:pPr>
      <w:r>
        <w:rPr>
          <w:rFonts w:eastAsia="Times New Roman" w:cs="Times New Roman"/>
          <w:szCs w:val="26"/>
        </w:rPr>
        <w:t>D. Cộng thêm trị số ngưỡng bình thường 34 IU/mL vào kết quả của máy.</w:t>
      </w:r>
    </w:p>
    <w:p>
      <w:pPr>
        <w:pStyle w:val="Normal"/>
        <w:numPr>
          <w:ilvl w:val="0"/>
          <w:numId w:val="1"/>
        </w:numPr>
        <w:spacing w:lineRule="auto" w:line="276" w:before="60" w:after="60"/>
        <w:contextualSpacing/>
        <w:rPr>
          <w:b/>
          <w:bCs/>
        </w:rPr>
      </w:pPr>
      <w:r>
        <w:rPr>
          <w:rFonts w:eastAsia="Times New Roman" w:cs="Times New Roman"/>
          <w:b/>
          <w:bCs/>
          <w:szCs w:val="26"/>
        </w:rPr>
        <w:t xml:space="preserve">Trong giai đoạn đo tín hiệu phát quang tại buồng đo của máy phân tích xét nghiệm Anti-TPO, sự kiện kỹ thuật nào trực tiếp kích thích tạo ra sự phát quang hóa học để bộ khuếch đại quang tử ghi nhận?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Sự tương tác gắn kết giữa biotin và streptavidin khi tạo phức hợp pha rắn.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Việc xả dung dịch rửa ProCell để loại bỏ các thành phần không gắn kết. </w:t>
      </w:r>
    </w:p>
    <w:p>
      <w:pPr>
        <w:pStyle w:val="Normal"/>
        <w:spacing w:lineRule="auto" w:line="276" w:before="60" w:after="60"/>
        <w:contextualSpacing/>
        <w:rPr>
          <w:color w:val="FF0000"/>
        </w:rPr>
      </w:pPr>
      <w:r>
        <w:rPr>
          <w:rFonts w:eastAsia="Times New Roman" w:cs="Times New Roman"/>
          <w:bCs/>
          <w:color w:val="FF0000"/>
          <w:szCs w:val="26"/>
        </w:rPr>
        <w:t xml:space="preserve">C. Việc áp đặt một điện áp nhất định vào điện cực buồng đo. </w:t>
      </w:r>
    </w:p>
    <w:p>
      <w:pPr>
        <w:pStyle w:val="Normal"/>
        <w:spacing w:lineRule="auto" w:line="276" w:before="60" w:after="60"/>
        <w:contextualSpacing/>
        <w:rPr>
          <w:rFonts w:eastAsia="Times New Roman" w:cs="Times New Roman"/>
          <w:szCs w:val="26"/>
        </w:rPr>
      </w:pPr>
      <w:r>
        <w:rPr>
          <w:rFonts w:eastAsia="Times New Roman" w:cs="Times New Roman"/>
          <w:szCs w:val="26"/>
        </w:rPr>
        <w:t>D. Sự cạnh tranh giữa kháng thể trong mẫu và kháng thể đánh dấu ruthenium.</w:t>
      </w:r>
    </w:p>
    <w:p>
      <w:pPr>
        <w:pStyle w:val="Normal"/>
        <w:numPr>
          <w:ilvl w:val="0"/>
          <w:numId w:val="1"/>
        </w:numPr>
        <w:spacing w:lineRule="auto" w:line="276" w:before="60" w:after="60"/>
        <w:contextualSpacing/>
        <w:rPr>
          <w:b/>
          <w:bCs/>
        </w:rPr>
      </w:pPr>
      <w:r>
        <w:rPr>
          <w:rFonts w:eastAsia="Times New Roman" w:cs="Times New Roman"/>
          <w:b/>
          <w:bCs/>
          <w:szCs w:val="26"/>
        </w:rPr>
        <w:t xml:space="preserve">Trước khi nạp mẫu bệnh phẩm và ra lệnh cho máy thực hiện phân tích Anti-TPO, điều kiện kiểm tra chất lượng (QC) nào sau đây bắt buộc phải được đáp ứng đầy đủ? </w:t>
      </w:r>
    </w:p>
    <w:p>
      <w:pPr>
        <w:pStyle w:val="Normal"/>
        <w:spacing w:lineRule="auto" w:line="276" w:before="60" w:after="60"/>
        <w:contextualSpacing/>
        <w:rPr>
          <w:color w:val="FF0000"/>
        </w:rPr>
      </w:pPr>
      <w:r>
        <w:rPr>
          <w:rFonts w:eastAsia="Times New Roman" w:cs="Times New Roman"/>
          <w:bCs/>
          <w:color w:val="FF0000"/>
          <w:szCs w:val="26"/>
        </w:rPr>
        <w:t xml:space="preserve">A. Kết quả QC nằm trong dải cho phép và không vi phạm các luật kiểm tra chất lượng.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Máy đã được cài đặt chương trình Anti-TPO nhưng chưa cần chuẩn máy nếu QC chưa lệch.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Chỉ cần chạy QC 1 lần đầu tuần và kết quả không nằm ngoài dải quá 3 độ lệch chuẩn. </w:t>
      </w:r>
    </w:p>
    <w:p>
      <w:pPr>
        <w:pStyle w:val="Normal"/>
        <w:spacing w:lineRule="auto" w:line="276" w:before="60" w:after="60"/>
        <w:contextualSpacing/>
        <w:rPr>
          <w:rFonts w:eastAsia="Times New Roman" w:cs="Times New Roman"/>
          <w:szCs w:val="26"/>
        </w:rPr>
      </w:pPr>
      <w:r>
        <w:rPr>
          <w:rFonts w:eastAsia="Times New Roman" w:cs="Times New Roman"/>
          <w:szCs w:val="26"/>
        </w:rPr>
        <w:t>D. Kết quả QC vượt dải cho phép nhẹ vẫn được chấp nhận nếu bệnh nhân không có chẩn đoán Basedow.</w:t>
      </w:r>
    </w:p>
    <w:p>
      <w:pPr>
        <w:pStyle w:val="Normal"/>
        <w:numPr>
          <w:ilvl w:val="0"/>
          <w:numId w:val="1"/>
        </w:numPr>
        <w:spacing w:lineRule="auto" w:line="276" w:before="60" w:after="60"/>
        <w:contextualSpacing/>
        <w:rPr>
          <w:b/>
          <w:bCs/>
        </w:rPr>
      </w:pPr>
      <w:r>
        <w:rPr>
          <w:rFonts w:eastAsia="Times New Roman" w:cs="Times New Roman"/>
          <w:b/>
          <w:bCs/>
          <w:szCs w:val="26"/>
        </w:rPr>
        <w:t xml:space="preserve">Một mẫu bệnh phẩm thu nhận từ bệnh nhân có các chỉ số sinh hóa ghi nhận: Bilirubin huyết thanh là 50 mg/dL, Hemoglobin là 1.0 g/dL, Triglyceride là 1800 mg/dL và Yếu tố dạng thấp (RF) là 1200 IU/mL. Nhận định nào sau đây là đúng nhất về khả năng phân tích mẫu Anti-TPO này?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Mẫu bị từ chối do nồng độ Bilirubin vượt ngưỡng gây nhiễu huyết thanh vàng.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Mẫu bị từ chối do chỉ số Hemoglobin phản ánh tình trạng tán huyết nặng làm sai lệch kết quả. </w:t>
      </w:r>
    </w:p>
    <w:p>
      <w:pPr>
        <w:pStyle w:val="Normal"/>
        <w:spacing w:lineRule="auto" w:line="276" w:before="60" w:after="60"/>
        <w:contextualSpacing/>
        <w:rPr>
          <w:color w:val="FF0000"/>
        </w:rPr>
      </w:pPr>
      <w:r>
        <w:rPr>
          <w:rFonts w:eastAsia="Times New Roman" w:cs="Times New Roman"/>
          <w:bCs/>
          <w:color w:val="FF0000"/>
          <w:szCs w:val="26"/>
        </w:rPr>
        <w:t xml:space="preserve">C. Mẫu đạt tiêu chuẩn phân tích vì tất cả các chỉ số gây nhiễu đều nằm trong giới hạn cho phép. </w:t>
      </w:r>
    </w:p>
    <w:p>
      <w:pPr>
        <w:pStyle w:val="Normal"/>
        <w:spacing w:lineRule="auto" w:line="276" w:before="60" w:after="60"/>
        <w:contextualSpacing/>
        <w:rPr>
          <w:rFonts w:eastAsia="Times New Roman" w:cs="Times New Roman"/>
          <w:szCs w:val="26"/>
        </w:rPr>
      </w:pPr>
      <w:r>
        <w:rPr>
          <w:rFonts w:eastAsia="Times New Roman" w:cs="Times New Roman"/>
          <w:szCs w:val="26"/>
        </w:rPr>
        <w:t>D. Mẫu bắt buộc phải hòa loãng 5 lần trước khi chạy do nồng độ Triglyceride quá cao gây đục.</w:t>
      </w:r>
    </w:p>
    <w:p>
      <w:pPr>
        <w:pStyle w:val="Normal"/>
        <w:numPr>
          <w:ilvl w:val="0"/>
          <w:numId w:val="1"/>
        </w:numPr>
        <w:spacing w:lineRule="auto" w:line="276" w:before="60" w:after="60"/>
        <w:contextualSpacing/>
        <w:rPr>
          <w:b/>
          <w:bCs/>
          <w:color w:val="000000"/>
          <w:highlight w:val="none"/>
          <w:shd w:fill="auto" w:val="clear"/>
        </w:rPr>
      </w:pPr>
      <w:r>
        <w:rPr>
          <w:rFonts w:eastAsia="Times New Roman" w:cs="Times New Roman"/>
          <w:b/>
          <w:bCs/>
          <w:color w:val="000000"/>
          <w:szCs w:val="26"/>
          <w:shd w:fill="auto" w:val="clear"/>
        </w:rPr>
        <w:t xml:space="preserve">Kết quả xét nghiệm Anti-TPO của một bệnh nhân trả về trị số </w:t>
      </w:r>
      <w:r>
        <w:rPr>
          <w:rFonts w:eastAsia="Times New Roman" w:cs="Times New Roman"/>
          <w:b/>
          <w:bCs/>
          <w:color w:val="000000"/>
          <w:szCs w:val="26"/>
          <w:shd w:fill="auto" w:val="clear"/>
        </w:rPr>
        <w:t>45 IU/mL</w:t>
      </w:r>
      <w:r>
        <w:rPr>
          <w:rFonts w:eastAsia="Times New Roman" w:cs="Times New Roman"/>
          <w:b/>
          <w:bCs/>
          <w:color w:val="000000"/>
          <w:szCs w:val="26"/>
          <w:shd w:fill="auto" w:val="clear"/>
        </w:rPr>
        <w:t>. Đối chiếu với quy trình chuẩn, nhận định lâm sàng nào sau đây là chính xác?</w:t>
      </w:r>
      <w:r>
        <w:rPr>
          <w:rFonts w:eastAsia="Times New Roman" w:cs="Times New Roman"/>
          <w:b/>
          <w:bCs/>
          <w:color w:val="000000"/>
          <w:szCs w:val="26"/>
          <w:shd w:fill="auto" w:val="clear"/>
          <w:lang w:val="vi-VN"/>
        </w:rPr>
        <w:t xml:space="preserve"> Giống nội dung Thư đã cho</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Kết quả nằm trong giới hạn bình thường, loại trừ hoàn toàn các bệnh lý tuyến giáp. </w:t>
      </w:r>
    </w:p>
    <w:p>
      <w:pPr>
        <w:pStyle w:val="Normal"/>
        <w:spacing w:lineRule="auto" w:line="276" w:before="60" w:after="60"/>
        <w:contextualSpacing/>
        <w:rPr>
          <w:color w:val="FF0000"/>
        </w:rPr>
      </w:pPr>
      <w:r>
        <w:rPr>
          <w:rFonts w:eastAsia="Times New Roman" w:cs="Times New Roman"/>
          <w:bCs/>
          <w:color w:val="FF0000"/>
          <w:szCs w:val="26"/>
        </w:rPr>
        <w:t xml:space="preserve">B. Kết quả tăng so với trị số bình thường, có thể gặp trong viêm tuyến giáp Hashimoto hoặc bệnh Basedow.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Kết quả giảm so với trị số bình thường, gợi ý tình trạng suy tuyến giáp do thiếu I-ốt. </w:t>
      </w:r>
    </w:p>
    <w:p>
      <w:pPr>
        <w:pStyle w:val="Normal"/>
        <w:spacing w:lineRule="auto" w:line="276" w:before="60" w:after="60"/>
        <w:contextualSpacing/>
        <w:rPr>
          <w:rFonts w:eastAsia="Times New Roman" w:cs="Times New Roman"/>
          <w:szCs w:val="26"/>
        </w:rPr>
      </w:pPr>
      <w:r>
        <w:rPr>
          <w:rFonts w:eastAsia="Times New Roman" w:cs="Times New Roman"/>
          <w:szCs w:val="26"/>
        </w:rPr>
        <w:t>D. Kết quả nằm trong khoảng bình thường nhưng cần làm lại mẫu do nghi ngờ nhiễu RF.</w:t>
      </w:r>
    </w:p>
    <w:p>
      <w:pPr>
        <w:pStyle w:val="Normal"/>
        <w:numPr>
          <w:ilvl w:val="0"/>
          <w:numId w:val="1"/>
        </w:numPr>
        <w:spacing w:lineRule="auto" w:line="276" w:before="60" w:after="60"/>
        <w:contextualSpacing/>
        <w:rPr>
          <w:b/>
          <w:bCs/>
        </w:rPr>
      </w:pPr>
      <w:r>
        <w:rPr>
          <w:rFonts w:eastAsia="Times New Roman" w:cs="Times New Roman"/>
          <w:b/>
          <w:bCs/>
          <w:szCs w:val="26"/>
        </w:rPr>
        <w:t xml:space="preserve">Trong quy định về phân công nhân sự và quản lý thời gian phân tích mẫu xét nghiệm Anti-TPO, sự kết hợp nào sau đây tuân thủ </w:t>
      </w:r>
      <w:r>
        <w:rPr>
          <w:rFonts w:eastAsia="Times New Roman" w:cs="Times New Roman"/>
          <w:b/>
          <w:bCs/>
          <w:szCs w:val="26"/>
        </w:rPr>
        <w:t>đúng và đầy đủ</w:t>
      </w:r>
      <w:r>
        <w:rPr>
          <w:rFonts w:eastAsia="Times New Roman" w:cs="Times New Roman"/>
          <w:b/>
          <w:bCs/>
          <w:szCs w:val="26"/>
        </w:rPr>
        <w:t xml:space="preserve"> các tiêu chuẩn của quy trình?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02 kỹ thuật viên chuyên ngành hóa sinh thực hiện phân tích mẫu trong vòng 4 giờ kể từ khi lấy máu. </w:t>
      </w:r>
    </w:p>
    <w:p>
      <w:pPr>
        <w:pStyle w:val="Normal"/>
        <w:spacing w:lineRule="auto" w:line="276" w:before="60" w:after="60"/>
        <w:contextualSpacing/>
        <w:rPr>
          <w:color w:val="FF0000"/>
        </w:rPr>
      </w:pPr>
      <w:r>
        <w:rPr>
          <w:rFonts w:eastAsia="Times New Roman" w:cs="Times New Roman"/>
          <w:bCs/>
          <w:color w:val="FF0000"/>
          <w:szCs w:val="26"/>
        </w:rPr>
        <w:t xml:space="preserve">B. 01 cán bộ đại học và 01 kỹ thuật viên chuyên ngành hóa sinh thực hiện phân tích mẫu, chất chuẩn, chất kiểm tra chất lượng trong vòng 2 giờ. </w:t>
      </w:r>
    </w:p>
    <w:p>
      <w:pPr>
        <w:pStyle w:val="Normal"/>
        <w:spacing w:lineRule="auto" w:line="276" w:before="60" w:after="60"/>
        <w:contextualSpacing/>
        <w:rPr>
          <w:rFonts w:eastAsia="Times New Roman" w:cs="Times New Roman"/>
          <w:szCs w:val="26"/>
        </w:rPr>
      </w:pPr>
      <w:r>
        <w:rPr>
          <w:rFonts w:eastAsia="Times New Roman" w:cs="Times New Roman"/>
          <w:szCs w:val="26"/>
        </w:rPr>
        <w:t>C. 01 cán bộ đại học độc lập thực hiện và bảo quản mẫu ở nhiệt độ 2-8°C tối đa 7 ngày trước khi phân tích</w:t>
      </w:r>
    </w:p>
    <w:p>
      <w:pPr>
        <w:pStyle w:val="Normal"/>
        <w:spacing w:lineRule="auto" w:line="276" w:before="60" w:after="60"/>
        <w:contextualSpacing/>
        <w:rPr>
          <w:rFonts w:eastAsia="Times New Roman" w:cs="Times New Roman"/>
          <w:szCs w:val="26"/>
        </w:rPr>
      </w:pPr>
      <w:r>
        <w:rPr>
          <w:rFonts w:eastAsia="Times New Roman" w:cs="Times New Roman"/>
          <w:szCs w:val="26"/>
        </w:rPr>
        <w:t>D. 01 kỹ thuật viên chuyên ngành hóa sinh thực hiện phân tích sau khi mẫu đã qua 2 lần rã đông ở nhiệt độ phòng.</w:t>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âu %1:"/>
      <w:lvlJc w:val="start"/>
      <w:pPr>
        <w:tabs>
          <w:tab w:val="num" w:pos="0"/>
        </w:tabs>
        <w:ind w:start="0" w:hanging="0"/>
      </w:pPr>
      <w:rPr>
        <w:rFonts w:ascii="Times New Roman" w:hAnsi="Times New Roman"/>
        <w:b/>
        <w:i w:val="false"/>
        <w:color w:val="auto"/>
        <w:sz w:val="26"/>
        <w:u w:val="single"/>
      </w:rPr>
    </w:lvl>
    <w:lvl w:ilvl="1">
      <w:start w:val="1"/>
      <w:numFmt w:val="upperLetter"/>
      <w:suff w:val="space"/>
      <w:lvlText w:val="%2."/>
      <w:lvlJc w:val="start"/>
      <w:pPr>
        <w:tabs>
          <w:tab w:val="num" w:pos="0"/>
        </w:tabs>
        <w:ind w:start="563" w:firstLine="97"/>
      </w:pPr>
      <w:rPr>
        <w:b w:val="false"/>
        <w:bCs w:val="false"/>
        <w:color w:val="auto"/>
      </w:rPr>
    </w:lvl>
    <w:lvl w:ilvl="2">
      <w:start w:val="1"/>
      <w:numFmt w:val="lowerRoman"/>
      <w:lvlText w:val="%3)"/>
      <w:lvlJc w:val="start"/>
      <w:pPr>
        <w:tabs>
          <w:tab w:val="num" w:pos="0"/>
        </w:tabs>
        <w:ind w:start="1080" w:hanging="360"/>
      </w:pPr>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2b7e"/>
    <w:pPr>
      <w:widowControl/>
      <w:bidi w:val="0"/>
      <w:spacing w:lineRule="auto" w:line="324" w:before="0" w:after="120"/>
      <w:jc w:val="both"/>
    </w:pPr>
    <w:rPr>
      <w:rFonts w:ascii="Times New Roman" w:hAnsi="Times New Roman" w:eastAsia="Calibri" w:cs="" w:cstheme="minorBidi" w:eastAsiaTheme="minorHAnsi"/>
      <w:color w:val="auto"/>
      <w:kern w:val="0"/>
      <w:sz w:val="26"/>
      <w:szCs w:val="22"/>
      <w:lang w:val="en-US" w:eastAsia="en-US" w:bidi="ar-SA"/>
    </w:rPr>
  </w:style>
  <w:style w:type="paragraph" w:styleId="Heading1">
    <w:name w:val="heading 1"/>
    <w:basedOn w:val="Normal"/>
    <w:next w:val="Normal"/>
    <w:link w:val="Heading1Char"/>
    <w:autoRedefine/>
    <w:uiPriority w:val="9"/>
    <w:qFormat/>
    <w:rsid w:val="00c12b7e"/>
    <w:pPr>
      <w:keepNext w:val="true"/>
      <w:keepLines/>
      <w:spacing w:before="240" w:after="0"/>
      <w:jc w:val="start"/>
      <w:outlineLvl w:val="0"/>
    </w:pPr>
    <w:rPr>
      <w:rFonts w:eastAsia="" w:cs="" w:cstheme="majorBidi" w:eastAsiaTheme="majorEastAsia"/>
      <w:b/>
      <w:szCs w:val="32"/>
    </w:rPr>
  </w:style>
  <w:style w:type="paragraph" w:styleId="Heading2">
    <w:name w:val="heading 2"/>
    <w:basedOn w:val="Normal"/>
    <w:next w:val="Normal"/>
    <w:link w:val="Heading2Char"/>
    <w:autoRedefine/>
    <w:uiPriority w:val="9"/>
    <w:semiHidden/>
    <w:unhideWhenUsed/>
    <w:qFormat/>
    <w:rsid w:val="00c12b7e"/>
    <w:pPr>
      <w:keepNext w:val="true"/>
      <w:keepLines/>
      <w:spacing w:before="120" w:after="0"/>
      <w:jc w:val="start"/>
      <w:outlineLvl w:val="1"/>
    </w:pPr>
    <w:rPr>
      <w:rFonts w:eastAsia="" w:cs="" w:cstheme="majorBidi" w:eastAsiaTheme="majorEastAsia"/>
      <w:b/>
      <w:szCs w:val="26"/>
    </w:rPr>
  </w:style>
  <w:style w:type="paragraph" w:styleId="Heading3">
    <w:name w:val="heading 3"/>
    <w:basedOn w:val="Normal"/>
    <w:next w:val="Normal"/>
    <w:link w:val="Heading3Char"/>
    <w:autoRedefine/>
    <w:uiPriority w:val="9"/>
    <w:unhideWhenUsed/>
    <w:qFormat/>
    <w:rsid w:val="00c12b7e"/>
    <w:pPr>
      <w:keepNext w:val="true"/>
      <w:keepLines/>
      <w:spacing w:before="120" w:after="0"/>
      <w:jc w:val="start"/>
      <w:outlineLvl w:val="2"/>
    </w:pPr>
    <w:rPr>
      <w:rFonts w:eastAsia="" w:cs="" w:cstheme="majorBidi" w:eastAsiaTheme="majorEastAsia"/>
      <w:b/>
      <w:i/>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12b7e"/>
    <w:rPr>
      <w:rFonts w:ascii="Times New Roman" w:hAnsi="Times New Roman" w:eastAsia="" w:cs="" w:cstheme="majorBidi" w:eastAsiaTheme="majorEastAsia"/>
      <w:b/>
      <w:sz w:val="26"/>
      <w:szCs w:val="32"/>
    </w:rPr>
  </w:style>
  <w:style w:type="character" w:styleId="Heading2Char" w:customStyle="1">
    <w:name w:val="Heading 2 Char"/>
    <w:basedOn w:val="DefaultParagraphFont"/>
    <w:link w:val="Heading2"/>
    <w:uiPriority w:val="9"/>
    <w:semiHidden/>
    <w:qFormat/>
    <w:rsid w:val="00c12b7e"/>
    <w:rPr>
      <w:rFonts w:ascii="Times New Roman" w:hAnsi="Times New Roman" w:eastAsia="" w:cs="" w:cstheme="majorBidi" w:eastAsiaTheme="majorEastAsia"/>
      <w:b/>
      <w:sz w:val="26"/>
      <w:szCs w:val="26"/>
    </w:rPr>
  </w:style>
  <w:style w:type="character" w:styleId="Heading3Char" w:customStyle="1">
    <w:name w:val="Heading 3 Char"/>
    <w:basedOn w:val="DefaultParagraphFont"/>
    <w:link w:val="Heading3"/>
    <w:uiPriority w:val="9"/>
    <w:qFormat/>
    <w:rsid w:val="00c12b7e"/>
    <w:rPr>
      <w:rFonts w:ascii="Times New Roman" w:hAnsi="Times New Roman" w:eastAsia="" w:cs="" w:cstheme="majorBidi" w:eastAsiaTheme="majorEastAsia"/>
      <w:b/>
      <w:i/>
      <w:sz w:val="26"/>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autoRedefine/>
    <w:uiPriority w:val="1"/>
    <w:qFormat/>
    <w:rsid w:val="00c12b7e"/>
    <w:pPr>
      <w:widowControl/>
      <w:bidi w:val="0"/>
      <w:spacing w:lineRule="auto" w:line="240" w:before="0" w:after="0"/>
      <w:jc w:val="both"/>
    </w:pPr>
    <w:rPr>
      <w:rFonts w:ascii="Times New Roman" w:hAnsi="Times New Roman" w:eastAsia="Calibri" w:cs="" w:cstheme="minorBidi" w:eastAsiaTheme="minorHAnsi"/>
      <w:color w:val="auto"/>
      <w:kern w:val="0"/>
      <w:sz w:val="2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LibreOffice/26.2.4.2$Linux_X86_64 LibreOffice_project/620$Build-2</Application>
  <AppVersion>15.0000</AppVersion>
  <Pages>3</Pages>
  <Words>1160</Words>
  <Characters>4242</Characters>
  <CharactersWithSpaces>5379</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2026-09-16T00:17:00Z</dcterms:created>
  <dc:creator>Ung Thi Minh Hieu</dc:creator>
  <dc:description/>
  <dc:language>en-US</dc:language>
  <cp:lastModifiedBy/>
  <dcterms:modified xsi:type="dcterms:W3CDTF">2026-10-10T08:53:06Z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