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eastAsia="Times New Roman" w:cs="Times New Roman"/>
          <w:b/>
          <w:szCs w:val="26"/>
        </w:rPr>
      </w:pPr>
      <w:bookmarkStart w:id="0" w:name="_GoBack"/>
      <w:bookmarkEnd w:id="0"/>
      <w:r>
        <w:rPr>
          <w:rFonts w:eastAsia="Times New Roman" w:cs="Times New Roman"/>
          <w:b/>
          <w:szCs w:val="26"/>
        </w:rPr>
        <w:t>ĐỊNH LƯỢNG ANTI –TG</w:t>
      </w:r>
    </w:p>
    <w:p>
      <w:pPr>
        <w:pStyle w:val="Normal"/>
        <w:spacing w:lineRule="auto" w:line="240" w:before="0" w:after="0"/>
        <w:jc w:val="start"/>
        <w:rPr>
          <w:rFonts w:eastAsia="Times New Roman" w:cs="Times New Roman"/>
          <w:szCs w:val="26"/>
        </w:rPr>
      </w:pPr>
      <w:r>
        <w:rPr>
          <w:rFonts w:eastAsia="Times New Roman" w:cs="Times New Roman"/>
          <w:szCs w:val="26"/>
        </w:rPr>
      </w:r>
    </w:p>
    <w:p>
      <w:pPr>
        <w:pStyle w:val="Normal"/>
        <w:numPr>
          <w:ilvl w:val="0"/>
          <w:numId w:val="1"/>
        </w:numPr>
        <w:spacing w:lineRule="auto" w:line="276" w:before="60" w:after="60"/>
        <w:contextualSpacing/>
        <w:rPr>
          <w:b/>
          <w:bCs/>
        </w:rPr>
      </w:pPr>
      <w:r>
        <w:rPr>
          <w:rFonts w:eastAsia="Times New Roman" w:cs="Times New Roman"/>
          <w:b/>
          <w:bCs/>
          <w:szCs w:val="26"/>
        </w:rPr>
        <w:t>Một kỹ thuật viên xét nghiệm thực hiện phân tích mẫu Anti-TG bằng phương pháp miễn dịch cạnh tranh hóa phát quang. Kết quả đo được trên hệ thống ghi nhận tín hiệu ánh sáng (luminescence signal) phát ra từ phức hợp miễn dịch đạt mức rất thấp. Kỹ thuật viên nên nhận định như thế nào về nồng độ Anti-TG trong mẫu thử này?</w:t>
      </w:r>
    </w:p>
    <w:p>
      <w:pPr>
        <w:pStyle w:val="Normal"/>
        <w:spacing w:lineRule="auto" w:line="240" w:before="0" w:after="0"/>
        <w:jc w:val="start"/>
        <w:rPr>
          <w:color w:val="FF0000"/>
        </w:rPr>
      </w:pPr>
      <w:r>
        <w:rPr>
          <w:rFonts w:eastAsia="Times New Roman" w:cs="Times New Roman"/>
          <w:bCs/>
          <w:color w:val="FF0000"/>
          <w:szCs w:val="26"/>
        </w:rPr>
        <w:t xml:space="preserve">A. Nồng độ Anti-TG trong mẫu thử rất cao, do tín hiệu ánh sáng phát ra tỷ lệ nghịch với nồng độ Anti-TG. </w:t>
      </w:r>
    </w:p>
    <w:p>
      <w:pPr>
        <w:pStyle w:val="Normal"/>
        <w:spacing w:lineRule="auto" w:line="240" w:before="0" w:after="0"/>
        <w:jc w:val="start"/>
        <w:rPr>
          <w:rFonts w:eastAsia="Times New Roman" w:cs="Times New Roman"/>
          <w:szCs w:val="26"/>
        </w:rPr>
      </w:pPr>
      <w:r>
        <w:rPr>
          <w:rFonts w:eastAsia="Times New Roman" w:cs="Times New Roman"/>
          <w:szCs w:val="26"/>
        </w:rPr>
        <w:t xml:space="preserve">B. Nồng độ Anti-TG trong mẫu thử rất thấp, do tín hiệu ánh sáng phát ra tỷ lệ thuận với nồng độ Anti-TG. </w:t>
      </w:r>
    </w:p>
    <w:p>
      <w:pPr>
        <w:pStyle w:val="Normal"/>
        <w:spacing w:lineRule="auto" w:line="240" w:before="0" w:after="0"/>
        <w:jc w:val="start"/>
        <w:rPr>
          <w:rFonts w:eastAsia="Times New Roman" w:cs="Times New Roman"/>
          <w:szCs w:val="26"/>
        </w:rPr>
      </w:pPr>
      <w:r>
        <w:rPr>
          <w:rFonts w:eastAsia="Times New Roman" w:cs="Times New Roman"/>
          <w:szCs w:val="26"/>
        </w:rPr>
        <w:t xml:space="preserve">C. Mẫu thử không chứa Anti-TG, do không tạo được phức hợp gắn kết với pha rắn thông qua tương tác biotin-streptavidin. </w:t>
      </w:r>
    </w:p>
    <w:p>
      <w:pPr>
        <w:pStyle w:val="Normal"/>
        <w:spacing w:lineRule="auto" w:line="240" w:before="0" w:after="0"/>
        <w:jc w:val="start"/>
        <w:rPr>
          <w:rFonts w:eastAsia="Times New Roman" w:cs="Times New Roman"/>
          <w:szCs w:val="26"/>
        </w:rPr>
      </w:pPr>
      <w:r>
        <w:rPr>
          <w:rFonts w:eastAsia="Times New Roman" w:cs="Times New Roman"/>
          <w:szCs w:val="26"/>
        </w:rPr>
        <w:t>D. Kết quả không hợp lệ vì xét nghiệm miễn dịch cạnh tranh bắt buộc tín hiệu ánh sáng phải tỷ lệ thuận với nồng độ chất phân tích.</w:t>
      </w:r>
    </w:p>
    <w:p>
      <w:pPr>
        <w:pStyle w:val="Normal"/>
        <w:numPr>
          <w:ilvl w:val="0"/>
          <w:numId w:val="1"/>
        </w:numPr>
        <w:spacing w:lineRule="auto" w:line="276" w:before="60" w:after="60"/>
        <w:contextualSpacing/>
        <w:rPr>
          <w:b/>
          <w:bCs/>
        </w:rPr>
      </w:pPr>
      <w:r>
        <w:rPr>
          <w:rFonts w:eastAsia="Times New Roman" w:cs="Times New Roman"/>
          <w:b/>
          <w:bCs/>
          <w:szCs w:val="26"/>
        </w:rPr>
        <w:t>Bệnh nhân đang điều trị bệnh lý tuyến giáp đến phòng xét nghiệm để lấy máu định lượng Anti-TG. Khi khai thác thông tin trước lấy máu, ghi nhận bệnh nhân đang sử dụng Biotin với liều 10 mg/ngày và vừa uống liều gần nhất cách thời điểm lấy máu 3 giờ. Kỹ thuật viên xét nghiệm cần xử trí như thế nào là đúng quy trình?</w:t>
      </w:r>
    </w:p>
    <w:p>
      <w:pPr>
        <w:pStyle w:val="Normal"/>
        <w:spacing w:lineRule="auto" w:line="240" w:before="0" w:after="0"/>
        <w:jc w:val="start"/>
        <w:rPr>
          <w:rFonts w:eastAsia="Times New Roman" w:cs="Times New Roman"/>
          <w:bCs/>
          <w:color w:val="0000FF"/>
          <w:szCs w:val="26"/>
        </w:rPr>
      </w:pPr>
      <w:r>
        <w:rPr>
          <w:rFonts w:eastAsia="Times New Roman" w:cs="Times New Roman"/>
          <w:bCs/>
          <w:color w:val="FF0000"/>
          <w:szCs w:val="26"/>
        </w:rPr>
        <w:t>A. Tạm hoãn lấy máu và giải thích hẹn bệnh nhân quay lại lấy máu xét nghiệm sau ít nhất 8 giờ tính từ lần sử dụng Biotin cuối cùng.</w:t>
      </w:r>
      <w:r>
        <w:rPr>
          <w:rFonts w:eastAsia="Times New Roman" w:cs="Times New Roman"/>
          <w:bCs/>
          <w:color w:val="0000FF"/>
          <w:szCs w:val="26"/>
        </w:rPr>
        <w:t xml:space="preserve"> </w:t>
      </w:r>
    </w:p>
    <w:p>
      <w:pPr>
        <w:pStyle w:val="Normal"/>
        <w:spacing w:lineRule="auto" w:line="240" w:before="0" w:after="0"/>
        <w:jc w:val="start"/>
        <w:rPr>
          <w:rFonts w:eastAsia="Times New Roman" w:cs="Times New Roman"/>
          <w:szCs w:val="26"/>
        </w:rPr>
      </w:pPr>
      <w:r>
        <w:rPr>
          <w:rFonts w:eastAsia="Times New Roman" w:cs="Times New Roman"/>
          <w:szCs w:val="26"/>
        </w:rPr>
        <w:t xml:space="preserve">B. Tiến hành lấy máu phân tích ngay vì nồng độ Biotin sử dụng không gây ảnh hưởng đến kết quả xét nghiệm miễn dịch. </w:t>
      </w:r>
    </w:p>
    <w:p>
      <w:pPr>
        <w:pStyle w:val="Normal"/>
        <w:spacing w:lineRule="auto" w:line="240" w:before="0" w:after="0"/>
        <w:jc w:val="start"/>
        <w:rPr>
          <w:rFonts w:eastAsia="Times New Roman" w:cs="Times New Roman"/>
          <w:szCs w:val="26"/>
        </w:rPr>
      </w:pPr>
      <w:r>
        <w:rPr>
          <w:rFonts w:eastAsia="Times New Roman" w:cs="Times New Roman"/>
          <w:szCs w:val="26"/>
        </w:rPr>
        <w:t xml:space="preserve">C. Lấy máu ngay nhưng phải thực hiện hòa loãng mẫu thử trước khi phân tích để loại bỏ tác động gây nhiễu của Biotin. </w:t>
      </w:r>
    </w:p>
    <w:p>
      <w:pPr>
        <w:pStyle w:val="Normal"/>
        <w:spacing w:lineRule="auto" w:line="240" w:before="0" w:after="0"/>
        <w:jc w:val="start"/>
        <w:rPr>
          <w:rFonts w:eastAsia="Times New Roman" w:cs="Times New Roman"/>
          <w:szCs w:val="26"/>
        </w:rPr>
      </w:pPr>
      <w:r>
        <w:rPr>
          <w:rFonts w:eastAsia="Times New Roman" w:cs="Times New Roman"/>
          <w:szCs w:val="26"/>
        </w:rPr>
        <w:t>D. Lấy 3 ml máu tĩnh mạch vào ống Na-Heparin để vô hiệu hóa tác dụng gây nhiễu của Biotin.</w:t>
      </w:r>
    </w:p>
    <w:p>
      <w:pPr>
        <w:pStyle w:val="Normal"/>
        <w:numPr>
          <w:ilvl w:val="0"/>
          <w:numId w:val="1"/>
        </w:numPr>
        <w:spacing w:lineRule="auto" w:line="276" w:before="60" w:after="60"/>
        <w:contextualSpacing/>
        <w:rPr>
          <w:b/>
          <w:bCs/>
        </w:rPr>
      </w:pPr>
      <w:r>
        <w:rPr>
          <w:rFonts w:eastAsia="Times New Roman" w:cs="Times New Roman"/>
          <w:b/>
          <w:bCs/>
          <w:szCs w:val="26"/>
        </w:rPr>
        <w:t>Trong quá trình xét nghiệm cho một bệnh nhân ung thư giáp, kết quả định lượng đồng thời ghi nhận nồng độ Thyroglobulin (TG) trong máu đạt 2500 ng/mL. Kết quả định lượng Anti-TG ban đầu do máy xuất ra là 180 IU/mL. Kỹ thuật viên xét nghiệm phải xử trí kết quả Anti-TG này như thế nào?</w:t>
      </w:r>
    </w:p>
    <w:p>
      <w:pPr>
        <w:pStyle w:val="Normal"/>
        <w:spacing w:lineRule="auto" w:line="240" w:before="0" w:after="0"/>
        <w:jc w:val="start"/>
        <w:rPr>
          <w:color w:val="FF0000"/>
        </w:rPr>
      </w:pPr>
      <w:r>
        <w:rPr>
          <w:rFonts w:eastAsia="Times New Roman" w:cs="Times New Roman"/>
          <w:bCs/>
          <w:color w:val="FF0000"/>
          <w:szCs w:val="26"/>
        </w:rPr>
        <w:t xml:space="preserve">A. Không ghi nhận kết quả Anti-TG hiện tại, tiến hành hòa loãng bệnh phẩm, thực hiện lại xét nghiệm và tính toán lại kết quả. </w:t>
      </w:r>
    </w:p>
    <w:p>
      <w:pPr>
        <w:pStyle w:val="Normal"/>
        <w:spacing w:lineRule="auto" w:line="240" w:before="0" w:after="0"/>
        <w:jc w:val="start"/>
        <w:rPr>
          <w:rFonts w:eastAsia="Times New Roman" w:cs="Times New Roman"/>
          <w:szCs w:val="26"/>
        </w:rPr>
      </w:pPr>
      <w:r>
        <w:rPr>
          <w:rFonts w:eastAsia="Times New Roman" w:cs="Times New Roman"/>
          <w:szCs w:val="26"/>
        </w:rPr>
        <w:t xml:space="preserve">B. In báo cáo và trả ngay kết quả 180 IU/mL vì nồng độ TG cao không làm ảnh hưởng đến bản chất phản ứng miễn dịch. </w:t>
      </w:r>
    </w:p>
    <w:p>
      <w:pPr>
        <w:pStyle w:val="Normal"/>
        <w:spacing w:lineRule="auto" w:line="240" w:before="0" w:after="0"/>
        <w:jc w:val="start"/>
        <w:rPr>
          <w:rFonts w:eastAsia="Times New Roman" w:cs="Times New Roman"/>
          <w:szCs w:val="26"/>
        </w:rPr>
      </w:pPr>
      <w:r>
        <w:rPr>
          <w:rFonts w:eastAsia="Times New Roman" w:cs="Times New Roman"/>
          <w:szCs w:val="26"/>
        </w:rPr>
        <w:t xml:space="preserve">C. Báo cáo kết quả Anti-TG bị giảm giả và tự động trừ đi trị số bình thường 115 IU/mL trước khi ghi nhận kết quả. </w:t>
      </w:r>
    </w:p>
    <w:p>
      <w:pPr>
        <w:pStyle w:val="Normal"/>
        <w:spacing w:lineRule="auto" w:line="240" w:before="0" w:after="0"/>
        <w:jc w:val="start"/>
        <w:rPr>
          <w:rFonts w:eastAsia="Times New Roman" w:cs="Times New Roman"/>
          <w:szCs w:val="26"/>
        </w:rPr>
      </w:pPr>
      <w:r>
        <w:rPr>
          <w:rFonts w:eastAsia="Times New Roman" w:cs="Times New Roman"/>
          <w:szCs w:val="26"/>
        </w:rPr>
        <w:t>D. Hủy bỏ mẫu xét nghiệm và yêu cầu lấy lại máu sau khi đã bảo quản bệnh phẩm cũ 1 tháng ở -20°C.</w:t>
      </w:r>
    </w:p>
    <w:p>
      <w:pPr>
        <w:pStyle w:val="Normal"/>
        <w:numPr>
          <w:ilvl w:val="0"/>
          <w:numId w:val="1"/>
        </w:numPr>
        <w:spacing w:lineRule="auto" w:line="276" w:before="60" w:after="60"/>
        <w:contextualSpacing/>
        <w:rPr>
          <w:b/>
          <w:bCs/>
        </w:rPr>
      </w:pPr>
      <w:r>
        <w:rPr>
          <w:rFonts w:eastAsia="Times New Roman" w:cs="Times New Roman"/>
          <w:b/>
          <w:bCs/>
          <w:szCs w:val="26"/>
        </w:rPr>
        <w:t>Để xử lý hiện tượng tăng giả Anti-TG do nồng độ TG &gt; 2000 ng/mL, kỹ thuật viên lựa chọn chế độ hòa loãng tự động (automatic dilution) trên máy phân tích Cobas. Sau khi máy hoàn tất phân tích mẫu đã hòa loãng, kết quả hiển thị trên màn hình là 90 IU/mL. Kỹ thuật viên cần ghi nhận giá trị Anti-TG nào để trả báo cáo kết quả cho người bệnh?</w:t>
      </w:r>
    </w:p>
    <w:p>
      <w:pPr>
        <w:pStyle w:val="Normal"/>
        <w:spacing w:lineRule="auto" w:line="240" w:before="0" w:after="0"/>
        <w:jc w:val="start"/>
        <w:rPr>
          <w:color w:val="FF0000"/>
        </w:rPr>
      </w:pPr>
      <w:r>
        <w:rPr>
          <w:rFonts w:eastAsia="Times New Roman" w:cs="Times New Roman"/>
          <w:bCs/>
          <w:color w:val="FF0000"/>
          <w:szCs w:val="26"/>
        </w:rPr>
        <w:t xml:space="preserve">A. 90 IU/mL, vì hệ thống hòa loãng tự động trên máy đã tự tính toán kết quả mà không cần nhân thêm độ hòa loãng. </w:t>
      </w:r>
    </w:p>
    <w:p>
      <w:pPr>
        <w:pStyle w:val="Normal"/>
        <w:spacing w:lineRule="auto" w:line="240" w:before="0" w:after="0"/>
        <w:jc w:val="start"/>
        <w:rPr>
          <w:rFonts w:eastAsia="Times New Roman" w:cs="Times New Roman"/>
          <w:szCs w:val="26"/>
        </w:rPr>
      </w:pPr>
      <w:r>
        <w:rPr>
          <w:rFonts w:eastAsia="Times New Roman" w:cs="Times New Roman"/>
          <w:szCs w:val="26"/>
        </w:rPr>
        <w:t xml:space="preserve">B. Lấy 90 IU/mL nhân với độ hòa loãng đã cài đặt, vì kỹ thuật viên phải luôn nhân thủ công độ hòa loãng sau khi chạy lại mẫu. </w:t>
      </w:r>
    </w:p>
    <w:p>
      <w:pPr>
        <w:pStyle w:val="Normal"/>
        <w:spacing w:lineRule="auto" w:line="240" w:before="0" w:after="0"/>
        <w:jc w:val="start"/>
        <w:rPr>
          <w:rFonts w:eastAsia="Times New Roman" w:cs="Times New Roman"/>
          <w:szCs w:val="26"/>
        </w:rPr>
      </w:pPr>
      <w:r>
        <w:rPr>
          <w:rFonts w:eastAsia="Times New Roman" w:cs="Times New Roman"/>
          <w:szCs w:val="26"/>
        </w:rPr>
        <w:t xml:space="preserve">C. Lấy 90 IU/mL chia cho độ hòa loãng đã cài đặt để bù trừ sai số do hiện tượng tăng giả. </w:t>
      </w:r>
    </w:p>
    <w:p>
      <w:pPr>
        <w:pStyle w:val="Normal"/>
        <w:spacing w:lineRule="auto" w:line="240" w:before="0" w:after="0"/>
        <w:jc w:val="start"/>
        <w:rPr>
          <w:rFonts w:eastAsia="Times New Roman" w:cs="Times New Roman"/>
          <w:szCs w:val="26"/>
        </w:rPr>
      </w:pPr>
      <w:r>
        <w:rPr>
          <w:rFonts w:eastAsia="Times New Roman" w:cs="Times New Roman"/>
          <w:szCs w:val="26"/>
        </w:rPr>
        <w:t>D. Không công nhận kết quả vì phương pháp hòa loãng tự động không được phép áp dụng trong quy trình xử lý sai sót.</w:t>
      </w:r>
    </w:p>
    <w:p>
      <w:pPr>
        <w:pStyle w:val="Normal"/>
        <w:numPr>
          <w:ilvl w:val="0"/>
          <w:numId w:val="1"/>
        </w:numPr>
        <w:spacing w:lineRule="auto" w:line="276" w:before="60" w:after="60"/>
        <w:contextualSpacing/>
        <w:rPr>
          <w:b/>
          <w:bCs/>
        </w:rPr>
      </w:pPr>
      <w:r>
        <w:rPr>
          <w:rFonts w:eastAsia="Times New Roman" w:cs="Times New Roman"/>
          <w:b/>
          <w:bCs/>
          <w:szCs w:val="26"/>
        </w:rPr>
        <w:t xml:space="preserve">Khoa Xét nghiệm tiếp nhận 4 mẫu máu tĩnh mạch (dung tích mỗi ống 3 ml) gửi từ khoa lâm sàng để chỉ định định lượng Anti-TG. Các thông số kiểm tra ban đầu của 4 mẫu như sau: </w:t>
      </w:r>
    </w:p>
    <w:p>
      <w:pPr>
        <w:pStyle w:val="Normal"/>
        <w:spacing w:lineRule="auto" w:line="276" w:before="60" w:after="60"/>
        <w:contextualSpacing/>
        <w:rPr>
          <w:b/>
          <w:bCs/>
        </w:rPr>
      </w:pPr>
      <w:r>
        <w:rPr>
          <w:rFonts w:eastAsia="Times New Roman" w:cs="Times New Roman"/>
          <w:b/>
          <w:bCs/>
          <w:szCs w:val="26"/>
        </w:rPr>
        <w:t xml:space="preserve">• </w:t>
      </w:r>
      <w:r>
        <w:rPr>
          <w:rFonts w:eastAsia="Times New Roman" w:cs="Times New Roman"/>
          <w:b/>
          <w:bCs/>
          <w:szCs w:val="26"/>
        </w:rPr>
        <w:t>Mẫu 1:</w:t>
      </w:r>
      <w:r>
        <w:rPr>
          <w:rFonts w:eastAsia="Times New Roman" w:cs="Times New Roman"/>
          <w:b/>
          <w:bCs/>
          <w:szCs w:val="26"/>
        </w:rPr>
        <w:t xml:space="preserve"> Lấy vào ống không chất chống đông, bị tán huyết với Hemoglobin = 2.0 g/dL. • </w:t>
      </w:r>
      <w:r>
        <w:rPr>
          <w:rFonts w:eastAsia="Times New Roman" w:cs="Times New Roman"/>
          <w:b/>
          <w:bCs/>
          <w:szCs w:val="26"/>
        </w:rPr>
        <w:t>Mẫu 2:</w:t>
      </w:r>
      <w:r>
        <w:rPr>
          <w:rFonts w:eastAsia="Times New Roman" w:cs="Times New Roman"/>
          <w:b/>
          <w:bCs/>
          <w:szCs w:val="26"/>
        </w:rPr>
        <w:t xml:space="preserve"> Lấy vào ống Na-Heparin, huyết thanh đục với Triglyceride = 1800 mg/dL. </w:t>
      </w:r>
    </w:p>
    <w:p>
      <w:pPr>
        <w:pStyle w:val="Normal"/>
        <w:spacing w:lineRule="auto" w:line="276" w:before="60" w:after="60"/>
        <w:contextualSpacing/>
        <w:rPr>
          <w:b/>
          <w:bCs/>
        </w:rPr>
      </w:pPr>
      <w:r>
        <w:rPr>
          <w:rFonts w:eastAsia="Times New Roman" w:cs="Times New Roman"/>
          <w:b/>
          <w:bCs/>
          <w:szCs w:val="26"/>
        </w:rPr>
        <w:t xml:space="preserve">• </w:t>
      </w:r>
      <w:r>
        <w:rPr>
          <w:rFonts w:eastAsia="Times New Roman" w:cs="Times New Roman"/>
          <w:b/>
          <w:bCs/>
          <w:szCs w:val="26"/>
        </w:rPr>
        <w:t>Mẫu 3:</w:t>
      </w:r>
      <w:r>
        <w:rPr>
          <w:rFonts w:eastAsia="Times New Roman" w:cs="Times New Roman"/>
          <w:b/>
          <w:bCs/>
          <w:szCs w:val="26"/>
        </w:rPr>
        <w:t xml:space="preserve"> Lấy vào ống K2-EDTA, huyết thanh vàng với Bilirubin = 70 mg/dL. </w:t>
      </w:r>
    </w:p>
    <w:p>
      <w:pPr>
        <w:pStyle w:val="Normal"/>
        <w:spacing w:lineRule="auto" w:line="276" w:before="60" w:after="60"/>
        <w:contextualSpacing/>
        <w:rPr>
          <w:b/>
          <w:bCs/>
        </w:rPr>
      </w:pPr>
      <w:r>
        <w:rPr>
          <w:rFonts w:eastAsia="Times New Roman" w:cs="Times New Roman"/>
          <w:b/>
          <w:bCs/>
          <w:szCs w:val="26"/>
        </w:rPr>
        <w:t xml:space="preserve">• </w:t>
      </w:r>
      <w:r>
        <w:rPr>
          <w:rFonts w:eastAsia="Times New Roman" w:cs="Times New Roman"/>
          <w:b/>
          <w:bCs/>
          <w:szCs w:val="26"/>
        </w:rPr>
        <w:t>Mẫu 4:</w:t>
      </w:r>
      <w:r>
        <w:rPr>
          <w:rFonts w:eastAsia="Times New Roman" w:cs="Times New Roman"/>
          <w:b/>
          <w:bCs/>
          <w:szCs w:val="26"/>
        </w:rPr>
        <w:t xml:space="preserve"> Lấy vào ống K3-EDTA, chứa yếu tố dạng thấp RF = 350 IU/mL.</w:t>
      </w:r>
    </w:p>
    <w:p>
      <w:pPr>
        <w:pStyle w:val="Normal"/>
        <w:spacing w:lineRule="auto" w:line="240" w:before="0" w:after="0"/>
        <w:jc w:val="start"/>
        <w:rPr>
          <w:b/>
          <w:bCs/>
        </w:rPr>
      </w:pPr>
      <w:r>
        <w:rPr>
          <w:rFonts w:eastAsia="Times New Roman" w:cs="Times New Roman"/>
          <w:b/>
          <w:bCs/>
          <w:szCs w:val="26"/>
        </w:rPr>
        <w:t xml:space="preserve">Theo quy trình, mẫu nào đủ điều kiện phân tích mà </w:t>
      </w:r>
      <w:r>
        <w:rPr>
          <w:rFonts w:eastAsia="Times New Roman" w:cs="Times New Roman"/>
          <w:b/>
          <w:bCs/>
          <w:szCs w:val="26"/>
        </w:rPr>
        <w:t>KHÔNG BỊ ẢNH HƯỞNG</w:t>
      </w:r>
      <w:r>
        <w:rPr>
          <w:rFonts w:eastAsia="Times New Roman" w:cs="Times New Roman"/>
          <w:b/>
          <w:bCs/>
          <w:szCs w:val="26"/>
        </w:rPr>
        <w:t xml:space="preserve"> đến kết quả xét nghiệm?</w:t>
      </w:r>
    </w:p>
    <w:p>
      <w:pPr>
        <w:pStyle w:val="Normal"/>
        <w:spacing w:lineRule="auto" w:line="240" w:before="0" w:after="0"/>
        <w:jc w:val="start"/>
        <w:rPr>
          <w:color w:val="FF0000"/>
        </w:rPr>
      </w:pPr>
      <w:r>
        <w:rPr>
          <w:rFonts w:eastAsia="Times New Roman" w:cs="Times New Roman"/>
          <w:bCs/>
          <w:color w:val="FF0000"/>
          <w:szCs w:val="26"/>
        </w:rPr>
        <w:t>A. Mẫu 2.</w:t>
      </w:r>
    </w:p>
    <w:p>
      <w:pPr>
        <w:pStyle w:val="Normal"/>
        <w:spacing w:lineRule="auto" w:line="240" w:before="0" w:after="0"/>
        <w:jc w:val="start"/>
        <w:rPr>
          <w:rFonts w:eastAsia="Times New Roman" w:cs="Times New Roman"/>
          <w:szCs w:val="26"/>
        </w:rPr>
      </w:pPr>
      <w:r>
        <w:rPr>
          <w:rFonts w:eastAsia="Times New Roman" w:cs="Times New Roman"/>
          <w:szCs w:val="26"/>
        </w:rPr>
        <w:t>B. Mẫu 1.</w:t>
      </w:r>
    </w:p>
    <w:p>
      <w:pPr>
        <w:pStyle w:val="Normal"/>
        <w:spacing w:lineRule="auto" w:line="240" w:before="0" w:after="0"/>
        <w:jc w:val="start"/>
        <w:rPr>
          <w:rFonts w:eastAsia="Times New Roman" w:cs="Times New Roman"/>
          <w:szCs w:val="26"/>
        </w:rPr>
      </w:pPr>
      <w:r>
        <w:rPr>
          <w:rFonts w:eastAsia="Times New Roman" w:cs="Times New Roman"/>
          <w:szCs w:val="26"/>
        </w:rPr>
        <w:t xml:space="preserve">C. Mẫu 3. </w:t>
      </w:r>
    </w:p>
    <w:p>
      <w:pPr>
        <w:pStyle w:val="Normal"/>
        <w:spacing w:lineRule="auto" w:line="240" w:before="0" w:after="0"/>
        <w:jc w:val="start"/>
        <w:rPr>
          <w:rFonts w:eastAsia="Times New Roman" w:cs="Times New Roman"/>
          <w:szCs w:val="26"/>
        </w:rPr>
      </w:pPr>
      <w:r>
        <w:rPr>
          <w:rFonts w:eastAsia="Times New Roman" w:cs="Times New Roman"/>
          <w:szCs w:val="26"/>
        </w:rPr>
        <w:t>D. Mẫu 4.</w:t>
      </w:r>
    </w:p>
    <w:p>
      <w:pPr>
        <w:pStyle w:val="Normal"/>
        <w:numPr>
          <w:ilvl w:val="0"/>
          <w:numId w:val="1"/>
        </w:numPr>
        <w:spacing w:lineRule="auto" w:line="276" w:before="60" w:after="60"/>
        <w:contextualSpacing/>
        <w:rPr>
          <w:b/>
          <w:bCs/>
        </w:rPr>
      </w:pPr>
      <w:r>
        <w:rPr>
          <w:rFonts w:eastAsia="Times New Roman" w:cs="Times New Roman"/>
          <w:b/>
          <w:bCs/>
          <w:szCs w:val="26"/>
        </w:rPr>
        <w:t>Một mẫu huyết thanh định lượng Anti-TG được tách ra và bảo quản đông sâu ở -20°C trong 20 ngày. Ngày phân tích, kỹ thuật viên lấy mẫu ra rã đông lần thứ nhất, để mẫu đạt nhiệt độ phòng trong 3 giờ trước khi nạp vào máy phân tích. Vi phạm quy trình nào đã xảy ra trong tình huống này?</w:t>
      </w:r>
    </w:p>
    <w:p>
      <w:pPr>
        <w:pStyle w:val="Normal"/>
        <w:spacing w:lineRule="auto" w:line="240" w:before="0" w:after="0"/>
        <w:jc w:val="start"/>
        <w:rPr>
          <w:color w:val="FF0000"/>
        </w:rPr>
      </w:pPr>
      <w:r>
        <w:rPr>
          <w:rFonts w:eastAsia="Times New Roman" w:cs="Times New Roman"/>
          <w:bCs/>
          <w:color w:val="FF0000"/>
          <w:szCs w:val="26"/>
        </w:rPr>
        <w:t xml:space="preserve">A. Vi phạm thời gian để mẫu ở nhiệt độ phòng trước phân tích, làm tăng nguy cơ bay hơi bệnh phẩm. </w:t>
      </w:r>
    </w:p>
    <w:p>
      <w:pPr>
        <w:pStyle w:val="Normal"/>
        <w:spacing w:lineRule="auto" w:line="240" w:before="0" w:after="0"/>
        <w:jc w:val="start"/>
        <w:rPr>
          <w:rFonts w:eastAsia="Times New Roman" w:cs="Times New Roman"/>
          <w:szCs w:val="26"/>
        </w:rPr>
      </w:pPr>
      <w:r>
        <w:rPr>
          <w:rFonts w:eastAsia="Times New Roman" w:cs="Times New Roman"/>
          <w:szCs w:val="26"/>
        </w:rPr>
        <w:t xml:space="preserve">B. Vi phạm thời gian bảo quản đông sâu do vượt quá giới hạn cho phép ở nhiệt độ -20°C. </w:t>
      </w:r>
    </w:p>
    <w:p>
      <w:pPr>
        <w:pStyle w:val="Normal"/>
        <w:spacing w:lineRule="auto" w:line="240" w:before="0" w:after="0"/>
        <w:jc w:val="start"/>
        <w:rPr>
          <w:rFonts w:eastAsia="Times New Roman" w:cs="Times New Roman"/>
          <w:szCs w:val="26"/>
        </w:rPr>
      </w:pPr>
      <w:r>
        <w:rPr>
          <w:rFonts w:eastAsia="Times New Roman" w:cs="Times New Roman"/>
          <w:szCs w:val="26"/>
        </w:rPr>
        <w:t xml:space="preserve">C. Vi phạm số lần rã đông bệnh phẩm vượt quá quy định cho phép. </w:t>
      </w:r>
    </w:p>
    <w:p>
      <w:pPr>
        <w:pStyle w:val="Normal"/>
        <w:spacing w:lineRule="auto" w:line="240" w:before="0" w:after="0"/>
        <w:jc w:val="start"/>
        <w:rPr>
          <w:rFonts w:eastAsia="Times New Roman" w:cs="Times New Roman"/>
          <w:szCs w:val="26"/>
        </w:rPr>
      </w:pPr>
      <w:r>
        <w:rPr>
          <w:rFonts w:eastAsia="Times New Roman" w:cs="Times New Roman"/>
          <w:szCs w:val="26"/>
        </w:rPr>
        <w:t>D. Vi phạm nhiệt độ phân tích vì mẫu bắt buộc phải phân tích ngay khi vừa lấy ra khỏi tủ lạnh 2-8°C.</w:t>
      </w:r>
    </w:p>
    <w:p>
      <w:pPr>
        <w:pStyle w:val="Normal"/>
        <w:numPr>
          <w:ilvl w:val="0"/>
          <w:numId w:val="1"/>
        </w:numPr>
        <w:spacing w:lineRule="auto" w:line="276" w:before="60" w:after="60"/>
        <w:contextualSpacing/>
        <w:rPr>
          <w:b/>
          <w:bCs/>
        </w:rPr>
      </w:pPr>
      <w:r>
        <w:rPr>
          <w:rFonts w:eastAsia="Times New Roman" w:cs="Times New Roman"/>
          <w:b/>
          <w:bCs/>
          <w:szCs w:val="26"/>
        </w:rPr>
        <w:t>Khi kiểm tra tình trạng sẵn sàng của hệ thống máy phân tích trước khi chạy mẫu bệnh phẩm Anti-TG, kỹ thuật viên ghi nhận: Chương trình xét nghiệm Anti-TG đã được cài đặt, máy đã được chuẩn (calib) đạt yêu cầu, tuy nhiên kết quả kiểm tra chất lượng (QC) Anti-TG bị ra ngoài dải cho phép và vi phạm luật QC. Hành động chuẩn xác nhất của kỹ thuật viên là gì?</w:t>
      </w:r>
    </w:p>
    <w:p>
      <w:pPr>
        <w:pStyle w:val="Normal"/>
        <w:spacing w:lineRule="auto" w:line="240" w:before="0" w:after="0"/>
        <w:jc w:val="start"/>
        <w:rPr>
          <w:color w:val="FF0000"/>
        </w:rPr>
      </w:pPr>
      <w:r>
        <w:rPr>
          <w:rFonts w:eastAsia="Times New Roman" w:cs="Times New Roman"/>
          <w:bCs/>
          <w:color w:val="FF0000"/>
          <w:szCs w:val="26"/>
        </w:rPr>
        <w:t xml:space="preserve">A. Không tiến hành phân tích mẫu bệnh phẩm, cần tìm nguyên nhân và xử lý sự cố QC cho đến khi kết quả QC đạt yêu cầu. </w:t>
      </w:r>
    </w:p>
    <w:p>
      <w:pPr>
        <w:pStyle w:val="Normal"/>
        <w:spacing w:lineRule="auto" w:line="240" w:before="0" w:after="0"/>
        <w:jc w:val="start"/>
        <w:rPr>
          <w:rFonts w:eastAsia="Times New Roman" w:cs="Times New Roman"/>
          <w:szCs w:val="26"/>
        </w:rPr>
      </w:pPr>
      <w:r>
        <w:rPr>
          <w:rFonts w:eastAsia="Times New Roman" w:cs="Times New Roman"/>
          <w:szCs w:val="26"/>
        </w:rPr>
        <w:t xml:space="preserve">B. Vẫn phân tích mẫu bệnh phẩm bình thường, sau đó lấy kết quả nhân với hệ số sai lệch QC để hiệu chỉnh. </w:t>
      </w:r>
    </w:p>
    <w:p>
      <w:pPr>
        <w:pStyle w:val="Normal"/>
        <w:spacing w:lineRule="auto" w:line="240" w:before="0" w:after="0"/>
        <w:jc w:val="start"/>
        <w:rPr>
          <w:rFonts w:eastAsia="Times New Roman" w:cs="Times New Roman"/>
          <w:szCs w:val="26"/>
        </w:rPr>
      </w:pPr>
      <w:r>
        <w:rPr>
          <w:rFonts w:eastAsia="Times New Roman" w:cs="Times New Roman"/>
          <w:szCs w:val="26"/>
        </w:rPr>
        <w:t xml:space="preserve">C. Cho phân tích mẫu bệnh phẩm song song với việc chạy lặp lại chất chuẩn (calibrator) để máy tự động bù trừ sai số QC. </w:t>
      </w:r>
    </w:p>
    <w:p>
      <w:pPr>
        <w:pStyle w:val="Normal"/>
        <w:spacing w:lineRule="auto" w:line="240" w:before="0" w:after="0"/>
        <w:jc w:val="start"/>
        <w:rPr>
          <w:rFonts w:eastAsia="Times New Roman" w:cs="Times New Roman"/>
          <w:szCs w:val="26"/>
        </w:rPr>
      </w:pPr>
      <w:r>
        <w:rPr>
          <w:rFonts w:eastAsia="Times New Roman" w:cs="Times New Roman"/>
          <w:szCs w:val="26"/>
        </w:rPr>
        <w:t>D. Tiến hành hòa loãng tất cả các mẫu bệnh phẩm 2 lần trước khi phân tích để giảm thiểu tác động của lỗi QC.</w:t>
      </w:r>
    </w:p>
    <w:p>
      <w:pPr>
        <w:pStyle w:val="Normal"/>
        <w:numPr>
          <w:ilvl w:val="0"/>
          <w:numId w:val="1"/>
        </w:numPr>
        <w:spacing w:lineRule="auto" w:line="276" w:before="60" w:after="60"/>
        <w:contextualSpacing/>
        <w:rPr>
          <w:b/>
          <w:bCs/>
        </w:rPr>
      </w:pPr>
      <w:r>
        <w:rPr>
          <w:rFonts w:eastAsia="Times New Roman" w:cs="Times New Roman"/>
          <w:b/>
          <w:bCs/>
          <w:szCs w:val="26"/>
        </w:rPr>
        <w:t>Một bệnh nhân ung thư tuyến giáp sau điều trị phẫu thuật đến tái khám định kỳ. Kết quả xét nghiệm Anti-TG đợt trước là 400 IU/mL, kết quả xét nghiệm đợt này là 180 IU/mL (trị số bình thường &lt; 115 IU/mL). Dựa vào tài liệu quy trình, sự sụt giảm nồng độ Anti-TG này mang ý nghĩa lâm sàng nào?</w:t>
      </w:r>
    </w:p>
    <w:p>
      <w:pPr>
        <w:pStyle w:val="Normal"/>
        <w:spacing w:lineRule="auto" w:line="240" w:before="0" w:after="0"/>
        <w:jc w:val="start"/>
        <w:rPr>
          <w:color w:val="FF0000"/>
        </w:rPr>
      </w:pPr>
      <w:r>
        <w:rPr>
          <w:rFonts w:eastAsia="Times New Roman" w:cs="Times New Roman"/>
          <w:bCs/>
          <w:color w:val="FF0000"/>
          <w:szCs w:val="26"/>
        </w:rPr>
        <w:t xml:space="preserve">A. Sự giảm nồng độ Anti-TG có giá trị theo dõi hiệu quả của phương pháp điều trị. </w:t>
      </w:r>
    </w:p>
    <w:p>
      <w:pPr>
        <w:pStyle w:val="Normal"/>
        <w:spacing w:lineRule="auto" w:line="240" w:before="0" w:after="0"/>
        <w:jc w:val="start"/>
        <w:rPr>
          <w:rFonts w:eastAsia="Times New Roman" w:cs="Times New Roman"/>
          <w:szCs w:val="26"/>
        </w:rPr>
      </w:pPr>
      <w:r>
        <w:rPr>
          <w:rFonts w:eastAsia="Times New Roman" w:cs="Times New Roman"/>
          <w:szCs w:val="26"/>
        </w:rPr>
        <w:t xml:space="preserve">B. Bệnh nhân đã hoàn toàn khỏi bệnh vì nồng độ Anti-TG đã giảm hơn 50% so với trước. </w:t>
      </w:r>
    </w:p>
    <w:p>
      <w:pPr>
        <w:pStyle w:val="Normal"/>
        <w:spacing w:lineRule="auto" w:line="240" w:before="0" w:after="0"/>
        <w:jc w:val="start"/>
        <w:rPr>
          <w:rFonts w:eastAsia="Times New Roman" w:cs="Times New Roman"/>
          <w:szCs w:val="26"/>
        </w:rPr>
      </w:pPr>
      <w:r>
        <w:rPr>
          <w:rFonts w:eastAsia="Times New Roman" w:cs="Times New Roman"/>
          <w:szCs w:val="26"/>
        </w:rPr>
        <w:t xml:space="preserve">C. Kết quả 180 IU/mL là không có giá trị theo dõi vì vẫn cao hơn trị số bình thường &lt; 115 IU/mL. </w:t>
      </w:r>
    </w:p>
    <w:p>
      <w:pPr>
        <w:pStyle w:val="Normal"/>
        <w:spacing w:lineRule="auto" w:line="240" w:before="0" w:after="0"/>
        <w:jc w:val="start"/>
        <w:rPr>
          <w:rFonts w:eastAsia="Times New Roman" w:cs="Times New Roman"/>
          <w:szCs w:val="26"/>
        </w:rPr>
      </w:pPr>
      <w:r>
        <w:rPr>
          <w:rFonts w:eastAsia="Times New Roman" w:cs="Times New Roman"/>
          <w:szCs w:val="26"/>
        </w:rPr>
        <w:t>D. Đây là hiện tượng giảm giả do phản ứng chéo với yếu tố dạng thấp RF &lt; 300 IU/mL.</w:t>
      </w:r>
    </w:p>
    <w:p>
      <w:pPr>
        <w:pStyle w:val="Normal"/>
        <w:numPr>
          <w:ilvl w:val="0"/>
          <w:numId w:val="1"/>
        </w:numPr>
        <w:spacing w:lineRule="auto" w:line="276" w:before="60" w:after="60"/>
        <w:contextualSpacing/>
        <w:rPr>
          <w:b/>
          <w:bCs/>
        </w:rPr>
      </w:pPr>
      <w:r>
        <w:rPr>
          <w:rFonts w:eastAsia="Times New Roman" w:cs="Times New Roman"/>
          <w:b/>
          <w:bCs/>
          <w:szCs w:val="26"/>
        </w:rPr>
        <w:t>Trong nguyên lý định lượng Anti-TG theo phương pháp miễn dịch cạnh tranh sử dụng công nghệ hóa phát quang/điện hóa phát quang, thành phần nào đóng vai trò là chất có khả năng phát quang và phức hợp miễn dịch gắn kết với pha rắn nhờ tương tác nào?</w:t>
      </w:r>
    </w:p>
    <w:p>
      <w:pPr>
        <w:pStyle w:val="Normal"/>
        <w:spacing w:lineRule="auto" w:line="240" w:before="0" w:after="0"/>
        <w:jc w:val="start"/>
        <w:rPr>
          <w:color w:val="FF0000"/>
        </w:rPr>
      </w:pPr>
      <w:r>
        <w:rPr>
          <w:rFonts w:eastAsia="Times New Roman" w:cs="Times New Roman"/>
          <w:bCs/>
          <w:color w:val="FF0000"/>
          <w:szCs w:val="26"/>
        </w:rPr>
        <w:t xml:space="preserve">A. Chất có khả năng phát quang là Ruthenium và sự gắn kết với pha rắn thông qua tương tác giữa Biotin và Streptavidin. </w:t>
      </w:r>
    </w:p>
    <w:p>
      <w:pPr>
        <w:pStyle w:val="Normal"/>
        <w:spacing w:lineRule="auto" w:line="240" w:before="0" w:after="0"/>
        <w:jc w:val="start"/>
        <w:rPr>
          <w:rFonts w:eastAsia="Times New Roman" w:cs="Times New Roman"/>
          <w:szCs w:val="26"/>
        </w:rPr>
      </w:pPr>
      <w:r>
        <w:rPr>
          <w:rFonts w:eastAsia="Times New Roman" w:cs="Times New Roman"/>
          <w:szCs w:val="26"/>
        </w:rPr>
        <w:t xml:space="preserve">B. Chất có khả năng phát quang là Streptavidin và sự gắn kết với pha rắn thông qua tương tác giữa Biotin và Ruthenium. </w:t>
      </w:r>
    </w:p>
    <w:p>
      <w:pPr>
        <w:pStyle w:val="Normal"/>
        <w:spacing w:lineRule="auto" w:line="240" w:before="0" w:after="0"/>
        <w:jc w:val="start"/>
        <w:rPr>
          <w:rFonts w:eastAsia="Times New Roman" w:cs="Times New Roman"/>
          <w:szCs w:val="26"/>
        </w:rPr>
      </w:pPr>
      <w:r>
        <w:rPr>
          <w:rFonts w:eastAsia="Times New Roman" w:cs="Times New Roman"/>
          <w:szCs w:val="26"/>
        </w:rPr>
        <w:t xml:space="preserve">C. Chất có khả năng phát quang là Biotin và sự gắn kết với pha rắn thông qua tương tác giữa Ruthenium và Streptavidin. </w:t>
      </w:r>
    </w:p>
    <w:p>
      <w:pPr>
        <w:pStyle w:val="Normal"/>
        <w:spacing w:lineRule="auto" w:line="240" w:before="0" w:after="0"/>
        <w:jc w:val="start"/>
        <w:rPr>
          <w:rFonts w:eastAsia="Times New Roman" w:cs="Times New Roman"/>
          <w:szCs w:val="26"/>
        </w:rPr>
      </w:pPr>
      <w:r>
        <w:rPr>
          <w:rFonts w:eastAsia="Times New Roman" w:cs="Times New Roman"/>
          <w:szCs w:val="26"/>
        </w:rPr>
        <w:t>D. Chất có khả năng phát quang là Anti-TG và sự gắn kết với pha rắn thông qua dung dịch đệm kiềm.</w:t>
      </w:r>
    </w:p>
    <w:p>
      <w:pPr>
        <w:pStyle w:val="Normal"/>
        <w:numPr>
          <w:ilvl w:val="0"/>
          <w:numId w:val="1"/>
        </w:numPr>
        <w:spacing w:lineRule="auto" w:line="276" w:before="60" w:after="60"/>
        <w:contextualSpacing/>
        <w:rPr>
          <w:b/>
          <w:bCs/>
        </w:rPr>
      </w:pPr>
      <w:r>
        <w:rPr>
          <w:rFonts w:eastAsia="Times New Roman" w:cs="Times New Roman"/>
          <w:b/>
          <w:bCs/>
          <w:szCs w:val="26"/>
        </w:rPr>
        <w:t>Một phiếu chỉ định xét nghiệm Anti-TG gửi đến phòng xét nghiệm ghi đầy đủ tên, tuổi, giới tính, khoa phòng và chẩn đoán lâm sàng của bệnh nhân. Tuy nhiên, phiếu thiếu thông tin chỉ định xét nghiệm cụ thể. Đồng thời, mẫu máu kèm theo lấy 1.5 ml vào ống không chất chống đông. Kỹ thuật viên cần đánh giá phiếu và mẫu này như thế nào theo chuẩn quy trình?</w:t>
      </w:r>
    </w:p>
    <w:p>
      <w:pPr>
        <w:pStyle w:val="Normal"/>
        <w:spacing w:lineRule="auto" w:line="240" w:before="0" w:after="0"/>
        <w:jc w:val="start"/>
        <w:rPr>
          <w:color w:val="FF0000"/>
        </w:rPr>
      </w:pPr>
      <w:r>
        <w:rPr>
          <w:rFonts w:eastAsia="Times New Roman" w:cs="Times New Roman"/>
          <w:bCs/>
          <w:color w:val="FF0000"/>
          <w:szCs w:val="26"/>
        </w:rPr>
        <w:t xml:space="preserve">A. Cả phiếu xét nghiệm và mẫu bệnh phẩm đều chưa đạt chuẩn quy trình (phiếu thiếu ghi rõ chỉ định xét nghiệm; mẫu thiếu thể tích máu tối thiểu 3 ml). </w:t>
      </w:r>
    </w:p>
    <w:p>
      <w:pPr>
        <w:pStyle w:val="Normal"/>
        <w:spacing w:lineRule="auto" w:line="240" w:before="0" w:after="0"/>
        <w:jc w:val="start"/>
        <w:rPr>
          <w:rFonts w:eastAsia="Times New Roman" w:cs="Times New Roman"/>
          <w:szCs w:val="26"/>
        </w:rPr>
      </w:pPr>
      <w:r>
        <w:rPr>
          <w:rFonts w:eastAsia="Times New Roman" w:cs="Times New Roman"/>
          <w:szCs w:val="26"/>
        </w:rPr>
        <w:t xml:space="preserve">B. Phiếu xét nghiệm đạt chuẩn vì đã có chẩn đoán; mẫu bệnh phẩm đạt chuẩn vì ống không chất chống đông không quy định thể tích. </w:t>
      </w:r>
    </w:p>
    <w:p>
      <w:pPr>
        <w:pStyle w:val="Normal"/>
        <w:spacing w:lineRule="auto" w:line="240" w:before="0" w:after="0"/>
        <w:jc w:val="start"/>
        <w:rPr>
          <w:rFonts w:eastAsia="Times New Roman" w:cs="Times New Roman"/>
          <w:szCs w:val="26"/>
        </w:rPr>
      </w:pPr>
      <w:r>
        <w:rPr>
          <w:rFonts w:eastAsia="Times New Roman" w:cs="Times New Roman"/>
          <w:szCs w:val="26"/>
        </w:rPr>
        <w:t xml:space="preserve">C. Phiếu xét nghiệm chưa đạt chuẩn nhưng mẫu bệnh phẩm đạt chuẩn vì 1.5 ml là đủ tách huyết thanh. </w:t>
      </w:r>
    </w:p>
    <w:p>
      <w:pPr>
        <w:pStyle w:val="Normal"/>
        <w:spacing w:lineRule="auto" w:line="240" w:before="0" w:after="0"/>
        <w:jc w:val="start"/>
        <w:rPr>
          <w:rFonts w:eastAsia="Times New Roman" w:cs="Times New Roman"/>
          <w:szCs w:val="26"/>
        </w:rPr>
      </w:pPr>
      <w:r>
        <w:rPr>
          <w:rFonts w:eastAsia="Times New Roman" w:cs="Times New Roman"/>
          <w:szCs w:val="26"/>
        </w:rPr>
        <w:t>D. Phiếu xét nghiệm đạt chuẩn nhưng mẫu chưa đạt chuẩn vì bắt buộc phải lấy vào ống K2-EDTA.</w:t>
      </w:r>
    </w:p>
    <w:sectPr>
      <w:type w:val="nextPage"/>
      <w:pgSz w:w="11906" w:h="16838"/>
      <w:pgMar w:left="1701" w:right="1134"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Câu %1:"/>
      <w:lvlJc w:val="start"/>
      <w:pPr>
        <w:tabs>
          <w:tab w:val="num" w:pos="0"/>
        </w:tabs>
        <w:ind w:start="0" w:hanging="0"/>
      </w:pPr>
      <w:rPr>
        <w:rFonts w:ascii="Times New Roman" w:hAnsi="Times New Roman"/>
        <w:b/>
        <w:i w:val="false"/>
        <w:color w:val="auto"/>
        <w:sz w:val="26"/>
        <w:u w:val="single"/>
      </w:rPr>
    </w:lvl>
    <w:lvl w:ilvl="1">
      <w:start w:val="1"/>
      <w:numFmt w:val="upperLetter"/>
      <w:suff w:val="space"/>
      <w:lvlText w:val="%2."/>
      <w:lvlJc w:val="start"/>
      <w:pPr>
        <w:tabs>
          <w:tab w:val="num" w:pos="0"/>
        </w:tabs>
        <w:ind w:start="563" w:firstLine="97"/>
      </w:pPr>
      <w:rPr>
        <w:b w:val="false"/>
        <w:bCs w:val="false"/>
        <w:color w:val="auto"/>
      </w:rPr>
    </w:lvl>
    <w:lvl w:ilvl="2">
      <w:start w:val="1"/>
      <w:numFmt w:val="lowerRoman"/>
      <w:lvlText w:val="%3)"/>
      <w:lvlJc w:val="start"/>
      <w:pPr>
        <w:tabs>
          <w:tab w:val="num" w:pos="0"/>
        </w:tabs>
        <w:ind w:start="1080" w:hanging="360"/>
      </w:pPr>
      <w:rPr/>
    </w:lvl>
    <w:lvl w:ilvl="3">
      <w:start w:val="1"/>
      <w:numFmt w:val="decimal"/>
      <w:lvlText w:val="(%4)"/>
      <w:lvlJc w:val="start"/>
      <w:pPr>
        <w:tabs>
          <w:tab w:val="num" w:pos="0"/>
        </w:tabs>
        <w:ind w:start="1440" w:hanging="360"/>
      </w:pPr>
      <w:rPr/>
    </w:lvl>
    <w:lvl w:ilvl="4">
      <w:start w:val="1"/>
      <w:numFmt w:val="lowerLetter"/>
      <w:lvlText w:val="(%5)"/>
      <w:lvlJc w:val="start"/>
      <w:pPr>
        <w:tabs>
          <w:tab w:val="num" w:pos="0"/>
        </w:tabs>
        <w:ind w:start="1800" w:hanging="360"/>
      </w:pPr>
      <w:rPr/>
    </w:lvl>
    <w:lvl w:ilvl="5">
      <w:start w:val="1"/>
      <w:numFmt w:val="lowerRoman"/>
      <w:lvlText w:val="(%6)"/>
      <w:lvlJc w:val="start"/>
      <w:pPr>
        <w:tabs>
          <w:tab w:val="num" w:pos="0"/>
        </w:tabs>
        <w:ind w:start="2160" w:hanging="360"/>
      </w:pPr>
      <w:rPr/>
    </w:lvl>
    <w:lvl w:ilvl="6">
      <w:start w:val="1"/>
      <w:numFmt w:val="decimal"/>
      <w:lvlText w:val="%7."/>
      <w:lvlJc w:val="start"/>
      <w:pPr>
        <w:tabs>
          <w:tab w:val="num" w:pos="0"/>
        </w:tabs>
        <w:ind w:start="2520" w:hanging="360"/>
      </w:pPr>
      <w:rPr/>
    </w:lvl>
    <w:lvl w:ilvl="7">
      <w:start w:val="1"/>
      <w:numFmt w:val="lowerLetter"/>
      <w:lvlText w:val="%8."/>
      <w:lvlJc w:val="start"/>
      <w:pPr>
        <w:tabs>
          <w:tab w:val="num" w:pos="0"/>
        </w:tabs>
        <w:ind w:start="2880" w:hanging="360"/>
      </w:pPr>
      <w:rPr/>
    </w:lvl>
    <w:lvl w:ilvl="8">
      <w:start w:val="1"/>
      <w:numFmt w:val="lowerRoman"/>
      <w:lvlText w:val="%9."/>
      <w:lvlJc w:val="start"/>
      <w:pPr>
        <w:tabs>
          <w:tab w:val="num" w:pos="0"/>
        </w:tabs>
        <w:ind w:start="3240" w:hanging="36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12b7e"/>
    <w:pPr>
      <w:widowControl/>
      <w:bidi w:val="0"/>
      <w:spacing w:lineRule="auto" w:line="324" w:before="0" w:after="120"/>
      <w:jc w:val="both"/>
    </w:pPr>
    <w:rPr>
      <w:rFonts w:ascii="Times New Roman" w:hAnsi="Times New Roman" w:eastAsia="Calibri" w:cs="" w:cstheme="minorBidi" w:eastAsiaTheme="minorHAnsi"/>
      <w:color w:val="auto"/>
      <w:kern w:val="0"/>
      <w:sz w:val="26"/>
      <w:szCs w:val="22"/>
      <w:lang w:val="en-US" w:eastAsia="en-US" w:bidi="ar-SA"/>
    </w:rPr>
  </w:style>
  <w:style w:type="paragraph" w:styleId="Heading1">
    <w:name w:val="heading 1"/>
    <w:basedOn w:val="Normal"/>
    <w:next w:val="Normal"/>
    <w:link w:val="Heading1Char"/>
    <w:autoRedefine/>
    <w:uiPriority w:val="9"/>
    <w:qFormat/>
    <w:rsid w:val="00c12b7e"/>
    <w:pPr>
      <w:keepNext w:val="true"/>
      <w:keepLines/>
      <w:spacing w:before="240" w:after="0"/>
      <w:jc w:val="start"/>
      <w:outlineLvl w:val="0"/>
    </w:pPr>
    <w:rPr>
      <w:rFonts w:eastAsia="" w:cs="" w:cstheme="majorBidi" w:eastAsiaTheme="majorEastAsia"/>
      <w:b/>
      <w:szCs w:val="32"/>
    </w:rPr>
  </w:style>
  <w:style w:type="paragraph" w:styleId="Heading2">
    <w:name w:val="heading 2"/>
    <w:basedOn w:val="Normal"/>
    <w:next w:val="Normal"/>
    <w:link w:val="Heading2Char"/>
    <w:autoRedefine/>
    <w:uiPriority w:val="9"/>
    <w:semiHidden/>
    <w:unhideWhenUsed/>
    <w:qFormat/>
    <w:rsid w:val="00c12b7e"/>
    <w:pPr>
      <w:keepNext w:val="true"/>
      <w:keepLines/>
      <w:spacing w:before="120" w:after="0"/>
      <w:jc w:val="start"/>
      <w:outlineLvl w:val="1"/>
    </w:pPr>
    <w:rPr>
      <w:rFonts w:eastAsia="" w:cs="" w:cstheme="majorBidi" w:eastAsiaTheme="majorEastAsia"/>
      <w:b/>
      <w:szCs w:val="26"/>
    </w:rPr>
  </w:style>
  <w:style w:type="paragraph" w:styleId="Heading3">
    <w:name w:val="heading 3"/>
    <w:basedOn w:val="Normal"/>
    <w:next w:val="Normal"/>
    <w:link w:val="Heading3Char"/>
    <w:autoRedefine/>
    <w:uiPriority w:val="9"/>
    <w:unhideWhenUsed/>
    <w:qFormat/>
    <w:rsid w:val="00c12b7e"/>
    <w:pPr>
      <w:keepNext w:val="true"/>
      <w:keepLines/>
      <w:spacing w:before="120" w:after="0"/>
      <w:jc w:val="start"/>
      <w:outlineLvl w:val="2"/>
    </w:pPr>
    <w:rPr>
      <w:rFonts w:eastAsia="" w:cs="" w:cstheme="majorBidi" w:eastAsiaTheme="majorEastAsia"/>
      <w:b/>
      <w:i/>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c12b7e"/>
    <w:rPr>
      <w:rFonts w:ascii="Times New Roman" w:hAnsi="Times New Roman" w:eastAsia="" w:cs="" w:cstheme="majorBidi" w:eastAsiaTheme="majorEastAsia"/>
      <w:b/>
      <w:sz w:val="26"/>
      <w:szCs w:val="32"/>
    </w:rPr>
  </w:style>
  <w:style w:type="character" w:styleId="Heading2Char" w:customStyle="1">
    <w:name w:val="Heading 2 Char"/>
    <w:basedOn w:val="DefaultParagraphFont"/>
    <w:link w:val="Heading2"/>
    <w:uiPriority w:val="9"/>
    <w:semiHidden/>
    <w:qFormat/>
    <w:rsid w:val="00c12b7e"/>
    <w:rPr>
      <w:rFonts w:ascii="Times New Roman" w:hAnsi="Times New Roman" w:eastAsia="" w:cs="" w:cstheme="majorBidi" w:eastAsiaTheme="majorEastAsia"/>
      <w:b/>
      <w:sz w:val="26"/>
      <w:szCs w:val="26"/>
    </w:rPr>
  </w:style>
  <w:style w:type="character" w:styleId="Heading3Char" w:customStyle="1">
    <w:name w:val="Heading 3 Char"/>
    <w:basedOn w:val="DefaultParagraphFont"/>
    <w:link w:val="Heading3"/>
    <w:uiPriority w:val="9"/>
    <w:qFormat/>
    <w:rsid w:val="00c12b7e"/>
    <w:rPr>
      <w:rFonts w:ascii="Times New Roman" w:hAnsi="Times New Roman" w:eastAsia="" w:cs="" w:cstheme="majorBidi" w:eastAsiaTheme="majorEastAsia"/>
      <w:b/>
      <w:i/>
      <w:sz w:val="26"/>
      <w:szCs w:val="24"/>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Spacing">
    <w:name w:val="No Spacing"/>
    <w:autoRedefine/>
    <w:uiPriority w:val="1"/>
    <w:qFormat/>
    <w:rsid w:val="00c12b7e"/>
    <w:pPr>
      <w:widowControl/>
      <w:bidi w:val="0"/>
      <w:spacing w:lineRule="auto" w:line="240" w:before="0" w:after="0"/>
      <w:jc w:val="both"/>
    </w:pPr>
    <w:rPr>
      <w:rFonts w:ascii="Times New Roman" w:hAnsi="Times New Roman" w:eastAsia="Calibri" w:cs="" w:cstheme="minorBidi" w:eastAsiaTheme="minorHAnsi"/>
      <w:color w:val="auto"/>
      <w:kern w:val="0"/>
      <w:sz w:val="26"/>
      <w:szCs w:val="22"/>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LibreOffice/26.2.4.2$Linux_X86_64 LibreOffice_project/620$Build-2</Application>
  <AppVersion>15.0000</AppVersion>
  <Pages>3</Pages>
  <Words>1601</Words>
  <Characters>5779</Characters>
  <CharactersWithSpaces>7346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2026-09-16T00:17:00Z</dcterms:created>
  <dc:creator>Ung Thi Minh Hieu</dc:creator>
  <dc:description/>
  <dc:language>en-US</dc:language>
  <cp:lastModifiedBy/>
  <dcterms:modified xsi:type="dcterms:W3CDTF">2026-10-10T08:55:06Z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