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b4nub83v2r8" w:id="0"/>
      <w:bookmarkEnd w:id="0"/>
      <w:r w:rsidDel="00000000" w:rsidR="00000000" w:rsidRPr="00000000">
        <w:rPr>
          <w:b w:val="1"/>
          <w:bCs w:val="1"/>
          <w:sz w:val="46"/>
          <w:szCs w:val="46"/>
          <w:rtl w:val="0"/>
        </w:rPr>
        <w:t xml:space="preserve">Comparaison Prompt engineering</w:t>
      </w:r>
    </w:p>
    <w:p w:rsidR="00000000" w:rsidDel="00000000" w:rsidP="00000000" w:rsidRDefault="00000000" w:rsidRPr="00000000" w14:paraId="00000002">
      <w:pPr>
        <w:spacing w:after="240" w:before="240" w:lineRule="auto"/>
        <w:rPr>
          <w:i w:val="1"/>
          <w:iCs w:val="1"/>
        </w:rPr>
      </w:pPr>
      <w:r w:rsidDel="00000000" w:rsidR="00000000" w:rsidRPr="00000000">
        <w:rPr>
          <w:rtl w:val="0"/>
        </w:rPr>
        <w:t xml:space="preserve">Few-shot prompting : Articles : </w:t>
      </w:r>
      <w:r w:rsidDel="00000000" w:rsidR="00000000" w:rsidRPr="00000000">
        <w:rPr>
          <w:i w:val="1"/>
          <w:iCs w:val="1"/>
          <w:rtl w:val="0"/>
        </w:rPr>
        <w:t xml:space="preserve">AUTOMATIC CHAIN OF THOUGHT PROMPTING IN LARGE LANGUAGE MODELS (Zhuosheng Zhang et al., 2022)</w:t>
      </w:r>
    </w:p>
    <w:p w:rsidR="00000000" w:rsidDel="00000000" w:rsidP="00000000" w:rsidRDefault="00000000" w:rsidRPr="00000000" w14:paraId="00000003">
      <w:pPr>
        <w:spacing w:after="240" w:before="240" w:lineRule="auto"/>
        <w:rPr/>
      </w:pPr>
      <w:r w:rsidDel="00000000" w:rsidR="00000000" w:rsidRPr="00000000">
        <w:rPr>
          <w:rtl w:val="0"/>
        </w:rPr>
        <w:t xml:space="preserve">Le principe du few-shot prompting est de fournir au LLM différents exemple pour guider sa réponse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Chain-of-Thought prompting</w:t>
      </w:r>
      <w:r w:rsidDel="00000000" w:rsidR="00000000" w:rsidRPr="00000000">
        <w:rPr>
          <w:rtl w:val="0"/>
        </w:rPr>
        <w:t xml:space="preserve"> : Le Chain-of-Thought prompting consiste à demander au LLM de penser étape par étape pour qu’il puisse développer son raisonnement. Il existe plusieurs sortes de CoT prompting, le plus simple étant le Zero-Shot-CoT, on vient juste demander au LLM de penser étape par étape. Ensuite, nous avons le Manual-CoT, on va également demander au LLM de penser étape par étape mais cette fois-ci en lui donnant un exemple par exemple avec la réponse et le chemin de pensée. Enfin, la méthode de CoT la plus puissante est l’Auto-CoT. Pour un ensemble de questions, avec un algorithme de clustering, on regroupe les questions similaires entre elles avec de l’embedding. Puis à partir de ces clusters, on va fournir à un LLM une question par cluster. Enfin le modèle va générer un raisonnement étape par étape pour répondre aux questions du même cluster</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ReAct prompting </w:t>
      </w:r>
      <w:r w:rsidDel="00000000" w:rsidR="00000000" w:rsidRPr="00000000">
        <w:rPr>
          <w:rtl w:val="0"/>
        </w:rPr>
        <w:t xml:space="preserve">: Article REACT : SYNERGIZING REASONING AND ACTING IN LANGUAGE MODELS (Shunyu Yao et al., 2023)</w:t>
      </w:r>
    </w:p>
    <w:p w:rsidR="00000000" w:rsidDel="00000000" w:rsidP="00000000" w:rsidRDefault="00000000" w:rsidRPr="00000000" w14:paraId="00000008">
      <w:pPr>
        <w:spacing w:after="240" w:before="240" w:lineRule="auto"/>
        <w:rPr/>
      </w:pPr>
      <w:r w:rsidDel="00000000" w:rsidR="00000000" w:rsidRPr="00000000">
        <w:rPr>
          <w:rtl w:val="0"/>
        </w:rPr>
        <w:t xml:space="preserve">Le ReAct prompting consite à combiner le raisonnement avec l’action et l’observation, c'est-à dire que le modèle va recevoir une observation de l'environnement actuel, puis il va générer une pensée basée sur le contexte (ce qui a été dit avant et l’observation). Enfin le modèle génère une action à partir de l’environnement externe (les documents retrouvés, une source de connaissance), ensuite l’environnement génère une autre observation à partir de cette action</w:t>
      </w:r>
    </w:p>
    <w:p w:rsidR="00000000" w:rsidDel="00000000" w:rsidP="00000000" w:rsidRDefault="00000000" w:rsidRPr="00000000" w14:paraId="00000009">
      <w:pPr>
        <w:spacing w:after="240" w:before="240" w:lineRule="auto"/>
        <w:rPr/>
      </w:pPr>
      <w:r w:rsidDel="00000000" w:rsidR="00000000" w:rsidRPr="00000000">
        <w:rPr>
          <w:rtl w:val="0"/>
        </w:rPr>
        <w:t xml:space="preserve">Cette méthode permet de synergiser les méthodes basées sur l’action (Act-Only) et les méthodes basées uniquement sur le raisonnement interne. Lorsque ReAct est affiné avec des données (fine tuning), elle surpasse toutes les méthodes de prompting, (Act, CoT…)</w:t>
      </w:r>
    </w:p>
    <w:p w:rsidR="00000000" w:rsidDel="00000000" w:rsidP="00000000" w:rsidRDefault="00000000" w:rsidRPr="00000000" w14:paraId="0000000A">
      <w:pPr>
        <w:spacing w:after="240" w:before="240" w:lineRule="auto"/>
        <w:rPr/>
      </w:pPr>
      <w:r w:rsidDel="00000000" w:rsidR="00000000" w:rsidRPr="00000000">
        <w:rPr>
          <w:rtl w:val="0"/>
        </w:rPr>
        <w:t xml:space="preserve">Dans cet article leur benchmark est fait sur HotpotQA, et en comparant avec des méthodes classiques comme CoT, les chercheurs ont remarqués un taux d’hallucination bien inférieur (14% contre 6% pour ReAct pour les faux positifs)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i w:val="1"/>
          <w:iCs w:val="1"/>
        </w:rPr>
      </w:pPr>
      <w:r w:rsidDel="00000000" w:rsidR="00000000" w:rsidRPr="00000000">
        <w:rPr>
          <w:b w:val="1"/>
          <w:bCs w:val="1"/>
          <w:rtl w:val="0"/>
        </w:rPr>
        <w:t xml:space="preserve">Superposition prompting</w:t>
      </w:r>
      <w:r w:rsidDel="00000000" w:rsidR="00000000" w:rsidRPr="00000000">
        <w:rPr>
          <w:rtl w:val="0"/>
        </w:rPr>
        <w:t xml:space="preserve"> : Article : </w:t>
      </w:r>
      <w:r w:rsidDel="00000000" w:rsidR="00000000" w:rsidRPr="00000000">
        <w:rPr>
          <w:i w:val="1"/>
          <w:iCs w:val="1"/>
          <w:rtl w:val="0"/>
        </w:rPr>
        <w:t xml:space="preserve">Superposition Prompting: Improving and Accelerating Retrieval-Augmented Generation (Thomas Merth, Qichen Fu, Mohammad Rastegari, Mahyar Najibi, 2024)</w:t>
      </w:r>
    </w:p>
    <w:p w:rsidR="00000000" w:rsidDel="00000000" w:rsidP="00000000" w:rsidRDefault="00000000" w:rsidRPr="00000000" w14:paraId="0000000F">
      <w:pPr>
        <w:spacing w:after="240" w:before="240" w:lineRule="auto"/>
        <w:rPr/>
      </w:pPr>
      <w:r w:rsidDel="00000000" w:rsidR="00000000" w:rsidRPr="00000000">
        <w:rPr>
          <w:rtl w:val="0"/>
        </w:rPr>
        <w:t xml:space="preserve">Le superposition prompting est une méthodologie développée pour améliorer et accélérer le RAG. Avec un prompt donné et une question donnée, on va exécuter en parallèle ces requêtes avec les différents documents retrouvés. Pour cela, on va représenter le prompt par une structure de graphe (ForkJoin)</w:t>
      </w:r>
    </w:p>
    <w:p w:rsidR="00000000" w:rsidDel="00000000" w:rsidP="00000000" w:rsidRDefault="00000000" w:rsidRPr="00000000" w14:paraId="00000010">
      <w:pPr>
        <w:spacing w:after="240" w:before="240" w:lineRule="auto"/>
        <w:rPr/>
      </w:pPr>
      <w:r w:rsidDel="00000000" w:rsidR="00000000" w:rsidRPr="00000000">
        <w:rPr>
          <w:rtl w:val="0"/>
        </w:rPr>
        <w:t xml:space="preserve">Remplace l’approche naïve qui consiste à intégrer tous les documents au contexte pour obtenir une longue séquence et ensuite répondre à la question à partir de ce contexte.</w:t>
      </w:r>
    </w:p>
    <w:p w:rsidR="00000000" w:rsidDel="00000000" w:rsidP="00000000" w:rsidRDefault="00000000" w:rsidRPr="00000000" w14:paraId="00000011">
      <w:pPr>
        <w:spacing w:after="240" w:before="240" w:lineRule="auto"/>
        <w:rPr/>
      </w:pPr>
      <w:r w:rsidDel="00000000" w:rsidR="00000000" w:rsidRPr="00000000">
        <w:rPr>
          <w:rtl w:val="0"/>
        </w:rPr>
        <w:t xml:space="preserve">Cette méthode évalue la pertinence des différents chemins de ce graphe (contexte, question) en y attribuant un score, ensuite il écarte les chemins non pertinentes et enfin il concatène les chemins pertinents</w:t>
      </w:r>
    </w:p>
    <w:p w:rsidR="00000000" w:rsidDel="00000000" w:rsidP="00000000" w:rsidRDefault="00000000" w:rsidRPr="00000000" w14:paraId="00000012">
      <w:pPr>
        <w:spacing w:after="240" w:before="240" w:lineRule="auto"/>
        <w:rPr/>
      </w:pPr>
      <w:r w:rsidDel="00000000" w:rsidR="00000000" w:rsidRPr="00000000">
        <w:rPr>
          <w:rtl w:val="0"/>
        </w:rPr>
        <w:t xml:space="preserve">Utilise le cache KV (Key/Value) : représentation interne des tokens, permet de stocker en cache les paires clés valeurs. Permet une amélioration de la complexité temporelle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ygfxt9m38ivd" w:id="1"/>
      <w:bookmarkEnd w:id="1"/>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jse0e9ofytqh" w:id="2"/>
      <w:bookmarkEnd w:id="2"/>
      <w:r w:rsidDel="00000000" w:rsidR="00000000" w:rsidRPr="00000000">
        <w:rPr>
          <w:rtl w:val="0"/>
        </w:rPr>
      </w:r>
    </w:p>
    <w:p w:rsidR="00000000" w:rsidDel="00000000" w:rsidP="00000000" w:rsidRDefault="00000000" w:rsidRPr="00000000" w14:paraId="0000002A">
      <w:pPr>
        <w:pStyle w:val="Heading2"/>
        <w:rPr/>
      </w:pPr>
      <w:bookmarkStart w:colFirst="0" w:colLast="0" w:name="_tjz4z8k62b1n" w:id="3"/>
      <w:bookmarkEnd w:id="3"/>
      <w:r w:rsidDel="00000000" w:rsidR="00000000" w:rsidRPr="00000000">
        <w:rPr>
          <w:rtl w:val="0"/>
        </w:rPr>
        <w:t xml:space="preserve">Tableau comparatif</w:t>
      </w:r>
    </w:p>
    <w:tbl>
      <w:tblPr>
        <w:tblStyle w:val="Table1"/>
        <w:tblpPr w:leftFromText="180" w:rightFromText="180" w:topFromText="180" w:bottomFromText="180" w:vertAnchor="text" w:horzAnchor="text" w:tblpX="-1050" w:tblpY="0"/>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0"/>
        <w:gridCol w:w="3915"/>
        <w:gridCol w:w="2580"/>
        <w:gridCol w:w="2535"/>
        <w:tblGridChange w:id="0">
          <w:tblGrid>
            <w:gridCol w:w="2070"/>
            <w:gridCol w:w="3915"/>
            <w:gridCol w:w="2580"/>
            <w:gridCol w:w="2535"/>
          </w:tblGrid>
        </w:tblGridChange>
      </w:tblGrid>
      <w:tr>
        <w:trPr>
          <w:cantSplit w:val="0"/>
          <w:trHeight w:val="515" w:hRule="atLeast"/>
          <w:tblHeader w:val="0"/>
        </w:trPr>
        <w:tc>
          <w:tcPr/>
          <w:p w:rsidR="00000000" w:rsidDel="00000000" w:rsidP="00000000" w:rsidRDefault="00000000" w:rsidRPr="00000000" w14:paraId="0000002B">
            <w:pPr>
              <w:jc w:val="center"/>
              <w:rPr/>
            </w:pPr>
            <w:r w:rsidDel="00000000" w:rsidR="00000000" w:rsidRPr="00000000">
              <w:rPr>
                <w:b w:val="1"/>
                <w:bCs w:val="1"/>
                <w:rtl w:val="0"/>
              </w:rPr>
              <w:t xml:space="preserve">Méthode</w:t>
            </w:r>
            <w:r w:rsidDel="00000000" w:rsidR="00000000" w:rsidRPr="00000000">
              <w:rPr>
                <w:rtl w:val="0"/>
              </w:rPr>
            </w:r>
          </w:p>
        </w:tc>
        <w:tc>
          <w:tcPr/>
          <w:p w:rsidR="00000000" w:rsidDel="00000000" w:rsidP="00000000" w:rsidRDefault="00000000" w:rsidRPr="00000000" w14:paraId="0000002C">
            <w:pPr>
              <w:jc w:val="center"/>
              <w:rPr/>
            </w:pPr>
            <w:r w:rsidDel="00000000" w:rsidR="00000000" w:rsidRPr="00000000">
              <w:rPr>
                <w:b w:val="1"/>
                <w:bCs w:val="1"/>
                <w:rtl w:val="0"/>
              </w:rPr>
              <w:t xml:space="preserve">Principe</w:t>
            </w:r>
            <w:r w:rsidDel="00000000" w:rsidR="00000000" w:rsidRPr="00000000">
              <w:rPr>
                <w:rtl w:val="0"/>
              </w:rPr>
            </w:r>
          </w:p>
        </w:tc>
        <w:tc>
          <w:tcPr/>
          <w:p w:rsidR="00000000" w:rsidDel="00000000" w:rsidP="00000000" w:rsidRDefault="00000000" w:rsidRPr="00000000" w14:paraId="0000002D">
            <w:pPr>
              <w:jc w:val="center"/>
              <w:rPr/>
            </w:pPr>
            <w:r w:rsidDel="00000000" w:rsidR="00000000" w:rsidRPr="00000000">
              <w:rPr>
                <w:b w:val="1"/>
                <w:bCs w:val="1"/>
                <w:rtl w:val="0"/>
              </w:rPr>
              <w:t xml:space="preserve">Avantages</w:t>
            </w:r>
            <w:r w:rsidDel="00000000" w:rsidR="00000000" w:rsidRPr="00000000">
              <w:rPr>
                <w:rtl w:val="0"/>
              </w:rPr>
            </w:r>
          </w:p>
        </w:tc>
        <w:tc>
          <w:tcPr/>
          <w:p w:rsidR="00000000" w:rsidDel="00000000" w:rsidP="00000000" w:rsidRDefault="00000000" w:rsidRPr="00000000" w14:paraId="0000002E">
            <w:pPr>
              <w:jc w:val="center"/>
              <w:rPr/>
            </w:pPr>
            <w:r w:rsidDel="00000000" w:rsidR="00000000" w:rsidRPr="00000000">
              <w:rPr>
                <w:b w:val="1"/>
                <w:bCs w:val="1"/>
                <w:rtl w:val="0"/>
              </w:rPr>
              <w:t xml:space="preserve">Limites</w:t>
            </w:r>
            <w:r w:rsidDel="00000000" w:rsidR="00000000" w:rsidRPr="00000000">
              <w:rPr>
                <w:rtl w:val="0"/>
              </w:rPr>
            </w:r>
          </w:p>
        </w:tc>
      </w:tr>
      <w:tr>
        <w:trPr>
          <w:cantSplit w:val="0"/>
          <w:trHeight w:val="1385" w:hRule="atLeast"/>
          <w:tblHeader w:val="0"/>
        </w:trPr>
        <w:tc>
          <w:tcPr/>
          <w:p w:rsidR="00000000" w:rsidDel="00000000" w:rsidP="00000000" w:rsidRDefault="00000000" w:rsidRPr="00000000" w14:paraId="0000002F">
            <w:pPr>
              <w:rPr/>
            </w:pPr>
            <w:r w:rsidDel="00000000" w:rsidR="00000000" w:rsidRPr="00000000">
              <w:rPr>
                <w:b w:val="1"/>
                <w:bCs w:val="1"/>
                <w:rtl w:val="0"/>
              </w:rPr>
              <w:t xml:space="preserve">Few-shot Prompting</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Fournir quelques exemples dans le prompt pour guider la réponse du LLM.</w:t>
            </w:r>
          </w:p>
        </w:tc>
        <w:tc>
          <w:tcPr/>
          <w:p w:rsidR="00000000" w:rsidDel="00000000" w:rsidP="00000000" w:rsidRDefault="00000000" w:rsidRPr="00000000" w14:paraId="00000031">
            <w:pPr>
              <w:rPr/>
            </w:pPr>
            <w:r w:rsidDel="00000000" w:rsidR="00000000" w:rsidRPr="00000000">
              <w:rPr>
                <w:rtl w:val="0"/>
              </w:rPr>
              <w:t xml:space="preserve">Simple à mettre en œuvre, améliore la précision sans fine-tuning.</w:t>
            </w:r>
          </w:p>
        </w:tc>
        <w:tc>
          <w:tcPr/>
          <w:p w:rsidR="00000000" w:rsidDel="00000000" w:rsidP="00000000" w:rsidRDefault="00000000" w:rsidRPr="00000000" w14:paraId="00000032">
            <w:pPr>
              <w:rPr/>
            </w:pPr>
            <w:r w:rsidDel="00000000" w:rsidR="00000000" w:rsidRPr="00000000">
              <w:rPr>
                <w:rtl w:val="0"/>
              </w:rPr>
              <w:t xml:space="preserve">Sensible à la sélection et l’ordre des exemples. Peut ne pas généraliser.</w:t>
            </w:r>
          </w:p>
        </w:tc>
      </w:tr>
      <w:tr>
        <w:trPr>
          <w:cantSplit w:val="0"/>
          <w:trHeight w:val="3110" w:hRule="atLeast"/>
          <w:tblHeader w:val="0"/>
        </w:trPr>
        <w:tc>
          <w:tcPr/>
          <w:p w:rsidR="00000000" w:rsidDel="00000000" w:rsidP="00000000" w:rsidRDefault="00000000" w:rsidRPr="00000000" w14:paraId="00000033">
            <w:pPr>
              <w:rPr/>
            </w:pPr>
            <w:r w:rsidDel="00000000" w:rsidR="00000000" w:rsidRPr="00000000">
              <w:rPr>
                <w:b w:val="1"/>
                <w:bCs w:val="1"/>
                <w:rtl w:val="0"/>
              </w:rPr>
              <w:t xml:space="preserve">Chain-of-Thought (CoT)</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Forcer le modèle à raisonner étape par étape. Plusieurs variantes :</w:t>
            </w:r>
          </w:p>
          <w:p w:rsidR="00000000" w:rsidDel="00000000" w:rsidP="00000000" w:rsidRDefault="00000000" w:rsidRPr="00000000" w14:paraId="00000035">
            <w:pPr>
              <w:rPr/>
            </w:pPr>
            <w:r w:rsidDel="00000000" w:rsidR="00000000" w:rsidRPr="00000000">
              <w:rPr>
                <w:rtl w:val="0"/>
              </w:rPr>
              <w:t xml:space="preserve">• </w:t>
            </w:r>
            <w:r w:rsidDel="00000000" w:rsidR="00000000" w:rsidRPr="00000000">
              <w:rPr>
                <w:i w:val="1"/>
                <w:iCs w:val="1"/>
                <w:rtl w:val="0"/>
              </w:rPr>
              <w:t xml:space="preserve">Zero-Shot-CoT</w:t>
            </w:r>
            <w:r w:rsidDel="00000000" w:rsidR="00000000" w:rsidRPr="00000000">
              <w:rPr>
                <w:rtl w:val="0"/>
              </w:rPr>
              <w:t xml:space="preserve"> : juste demander "pense étape par étape"</w:t>
            </w:r>
          </w:p>
          <w:p w:rsidR="00000000" w:rsidDel="00000000" w:rsidP="00000000" w:rsidRDefault="00000000" w:rsidRPr="00000000" w14:paraId="00000036">
            <w:pPr>
              <w:rPr/>
            </w:pPr>
            <w:r w:rsidDel="00000000" w:rsidR="00000000" w:rsidRPr="00000000">
              <w:rPr>
                <w:rtl w:val="0"/>
              </w:rPr>
              <w:t xml:space="preserve">• </w:t>
            </w:r>
            <w:r w:rsidDel="00000000" w:rsidR="00000000" w:rsidRPr="00000000">
              <w:rPr>
                <w:i w:val="1"/>
                <w:iCs w:val="1"/>
                <w:rtl w:val="0"/>
              </w:rPr>
              <w:t xml:space="preserve">Manual-CoT</w:t>
            </w:r>
            <w:r w:rsidDel="00000000" w:rsidR="00000000" w:rsidRPr="00000000">
              <w:rPr>
                <w:rtl w:val="0"/>
              </w:rPr>
              <w:t xml:space="preserve"> : inclure un exemple avec raisonnement détaillé</w:t>
            </w:r>
          </w:p>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i w:val="1"/>
                <w:iCs w:val="1"/>
                <w:rtl w:val="0"/>
              </w:rPr>
              <w:t xml:space="preserve">Auto-CoT</w:t>
            </w:r>
            <w:r w:rsidDel="00000000" w:rsidR="00000000" w:rsidRPr="00000000">
              <w:rPr>
                <w:rtl w:val="0"/>
              </w:rPr>
              <w:t xml:space="preserve"> : regrouper les questions par similarité (embedding + clustering), générer une réponse CoT par cluster.</w:t>
            </w:r>
          </w:p>
        </w:tc>
        <w:tc>
          <w:tcPr/>
          <w:p w:rsidR="00000000" w:rsidDel="00000000" w:rsidP="00000000" w:rsidRDefault="00000000" w:rsidRPr="00000000" w14:paraId="00000038">
            <w:pPr>
              <w:rPr/>
            </w:pPr>
            <w:r w:rsidDel="00000000" w:rsidR="00000000" w:rsidRPr="00000000">
              <w:rPr>
                <w:rtl w:val="0"/>
              </w:rPr>
              <w:t xml:space="preserve">Améliore la qualité des réponses en complexité croissante. Auto-CoT = scalable.</w:t>
            </w:r>
          </w:p>
        </w:tc>
        <w:tc>
          <w:tcPr/>
          <w:p w:rsidR="00000000" w:rsidDel="00000000" w:rsidP="00000000" w:rsidRDefault="00000000" w:rsidRPr="00000000" w14:paraId="00000039">
            <w:pPr>
              <w:rPr/>
            </w:pPr>
            <w:r w:rsidDel="00000000" w:rsidR="00000000" w:rsidRPr="00000000">
              <w:rPr>
                <w:rtl w:val="0"/>
              </w:rPr>
              <w:t xml:space="preserve">Peut être coûteux à générer (Auto-CoT). Zero-Shot-CoT sensible au wording.</w:t>
            </w:r>
          </w:p>
        </w:tc>
      </w:tr>
      <w:tr>
        <w:trPr>
          <w:cantSplit w:val="0"/>
          <w:trHeight w:val="2240" w:hRule="atLeast"/>
          <w:tblHeader w:val="0"/>
        </w:trPr>
        <w:tc>
          <w:tcPr/>
          <w:p w:rsidR="00000000" w:rsidDel="00000000" w:rsidP="00000000" w:rsidRDefault="00000000" w:rsidRPr="00000000" w14:paraId="0000003A">
            <w:pPr>
              <w:rPr/>
            </w:pPr>
            <w:r w:rsidDel="00000000" w:rsidR="00000000" w:rsidRPr="00000000">
              <w:rPr>
                <w:b w:val="1"/>
                <w:bCs w:val="1"/>
                <w:rtl w:val="0"/>
              </w:rPr>
              <w:t xml:space="preserve">ReAct</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Synergie entre Raisonnement et Action. Le LLM observe l’environnement, raisonne, puis agit (ex : requête sur documents), observe à nouveau, etc.</w:t>
            </w:r>
          </w:p>
        </w:tc>
        <w:tc>
          <w:tcPr/>
          <w:p w:rsidR="00000000" w:rsidDel="00000000" w:rsidP="00000000" w:rsidRDefault="00000000" w:rsidRPr="00000000" w14:paraId="0000003C">
            <w:pPr>
              <w:rPr/>
            </w:pPr>
            <w:r w:rsidDel="00000000" w:rsidR="00000000" w:rsidRPr="00000000">
              <w:rPr>
                <w:rtl w:val="0"/>
              </w:rPr>
              <w:t xml:space="preserve">Réduit les hallucinations. Efficace pour les QA sur documents. Très performant sur benchmarks.</w:t>
            </w:r>
          </w:p>
        </w:tc>
        <w:tc>
          <w:tcPr/>
          <w:p w:rsidR="00000000" w:rsidDel="00000000" w:rsidP="00000000" w:rsidRDefault="00000000" w:rsidRPr="00000000" w14:paraId="0000003D">
            <w:pPr>
              <w:rPr/>
            </w:pPr>
            <w:r w:rsidDel="00000000" w:rsidR="00000000" w:rsidRPr="00000000">
              <w:rPr>
                <w:rtl w:val="0"/>
              </w:rPr>
              <w:t xml:space="preserve">Plus complexe à implémenter. Nécessite gestion dynamique de l’environnement (plugins ou API).</w:t>
            </w:r>
          </w:p>
        </w:tc>
      </w:tr>
      <w:tr>
        <w:trPr>
          <w:cantSplit w:val="0"/>
          <w:trHeight w:val="1955" w:hRule="atLeast"/>
          <w:tblHeader w:val="0"/>
        </w:trPr>
        <w:tc>
          <w:tcPr/>
          <w:p w:rsidR="00000000" w:rsidDel="00000000" w:rsidP="00000000" w:rsidRDefault="00000000" w:rsidRPr="00000000" w14:paraId="0000003E">
            <w:pPr>
              <w:rPr/>
            </w:pPr>
            <w:r w:rsidDel="00000000" w:rsidR="00000000" w:rsidRPr="00000000">
              <w:rPr>
                <w:b w:val="1"/>
                <w:bCs w:val="1"/>
                <w:rtl w:val="0"/>
              </w:rPr>
              <w:t xml:space="preserve">Superposition Prompting</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Accélère le RAG en représentant prompt/question sous forme de graphe ForkJoin. Évalue les chemins pertinents, les concatènes, et utilise le cache KV (Key/Value).</w:t>
            </w:r>
          </w:p>
        </w:tc>
        <w:tc>
          <w:tcPr/>
          <w:p w:rsidR="00000000" w:rsidDel="00000000" w:rsidP="00000000" w:rsidRDefault="00000000" w:rsidRPr="00000000" w14:paraId="00000040">
            <w:pPr>
              <w:rPr/>
            </w:pPr>
            <w:r w:rsidDel="00000000" w:rsidR="00000000" w:rsidRPr="00000000">
              <w:rPr>
                <w:rtl w:val="0"/>
              </w:rPr>
              <w:t xml:space="preserve">Réduction de la latence. Meilleure pertinence des réponses. Scalable.</w:t>
            </w:r>
          </w:p>
        </w:tc>
        <w:tc>
          <w:tcPr/>
          <w:p w:rsidR="00000000" w:rsidDel="00000000" w:rsidP="00000000" w:rsidRDefault="00000000" w:rsidRPr="00000000" w14:paraId="00000041">
            <w:pPr>
              <w:rPr/>
            </w:pPr>
            <w:r w:rsidDel="00000000" w:rsidR="00000000" w:rsidRPr="00000000">
              <w:rPr>
                <w:rtl w:val="0"/>
              </w:rPr>
              <w:t xml:space="preserve">Approche récente, encore expérimentale. Nécessite structuration fine du graphe.</w:t>
            </w:r>
          </w:p>
        </w:tc>
      </w:tr>
    </w:tbl>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