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vsk0wt44yzrf" w:id="0"/>
      <w:bookmarkEnd w:id="0"/>
      <w:r w:rsidDel="00000000" w:rsidR="00000000" w:rsidRPr="00000000">
        <w:rPr>
          <w:rtl w:val="0"/>
        </w:rPr>
        <w:t xml:space="preserve">Justification prompting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rtl w:val="0"/>
        </w:rPr>
        <w:t xml:space="preserve">Nous avons fait le choix pour le </w:t>
      </w:r>
      <w:r w:rsidDel="00000000" w:rsidR="00000000" w:rsidRPr="00000000">
        <w:rPr>
          <w:b w:val="1"/>
          <w:bCs w:val="1"/>
          <w:rtl w:val="0"/>
        </w:rPr>
        <w:t xml:space="preserve">prompting,</w:t>
      </w:r>
      <w:r w:rsidDel="00000000" w:rsidR="00000000" w:rsidRPr="00000000">
        <w:rPr>
          <w:rtl w:val="0"/>
        </w:rPr>
        <w:t xml:space="preserve"> d’utiliser le </w:t>
      </w:r>
      <w:r w:rsidDel="00000000" w:rsidR="00000000" w:rsidRPr="00000000">
        <w:rPr>
          <w:b w:val="1"/>
          <w:bCs w:val="1"/>
          <w:rtl w:val="0"/>
        </w:rPr>
        <w:t xml:space="preserve">ReAct prompting</w:t>
      </w:r>
      <w:r w:rsidDel="00000000" w:rsidR="00000000" w:rsidRPr="00000000">
        <w:rPr>
          <w:rtl w:val="0"/>
        </w:rPr>
        <w:t xml:space="preserve">, une technologie de prompt présentée et mis en avant dans l’article </w:t>
      </w:r>
      <w:r w:rsidDel="00000000" w:rsidR="00000000" w:rsidRPr="00000000">
        <w:rPr>
          <w:i w:val="1"/>
          <w:iCs w:val="1"/>
          <w:rtl w:val="0"/>
        </w:rPr>
        <w:t xml:space="preserve">SYNERGIZING REASONING AND ACTING IN LANGUAGE MODELS (Shunyu Yao et al., 2023).</w:t>
      </w:r>
      <w:r w:rsidDel="00000000" w:rsidR="00000000" w:rsidRPr="00000000">
        <w:rPr>
          <w:rtl w:val="0"/>
        </w:rPr>
        <w:t xml:space="preserve"> Cette méthode de prompting consiste à combiner le raisonnement avec des décisions interactives. Concrètement, pour les taches de réponse à des questions sur des documents, le ReAct prompting est meilleur que le Chain-of-Thought (CoT) prompting qui lui consiste uniquement à faire en sorte que le LLM raisonne étape par étape en le guidant dans sa démarche. Sur le Benchmarck HotpotQA, bien que le CoT obtient un score légèrement supérieur sur des tâches de QA en mode “prompting” (29.4 contre 27.4), le ReAct prompting permet de minimiser les hallucinations avec un taux de faux positifs bien inférieurs qu’avec le CoT. Il s’agit d’un point très important qui nous a influencé dans notre démarche puisque toute hallucination pourrait biaiser nos résultats.</w:t>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Mise en oeuvre: </w:t>
      </w:r>
      <w:r w:rsidDel="00000000" w:rsidR="00000000" w:rsidRPr="00000000">
        <w:rPr>
          <w:rtl w:val="0"/>
        </w:rPr>
        <w:t xml:space="preserve">Nous avons choisi de faire en sorte d’obtenir une sortie normalisée au format JSON afin de récupérer les informations importantes facilement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Il serait envisageable de faire du superposition prompting, voir </w:t>
      </w:r>
      <w:hyperlink r:id="rId6">
        <w:r w:rsidDel="00000000" w:rsidR="00000000" w:rsidRPr="00000000">
          <w:rPr>
            <w:color w:val="1155cc"/>
            <w:u w:val="single"/>
            <w:rtl w:val="0"/>
          </w:rPr>
          <w:t xml:space="preserve">Comparaison prompt engineering</w:t>
        </w:r>
      </w:hyperlink>
      <w:r w:rsidDel="00000000" w:rsidR="00000000" w:rsidRPr="00000000">
        <w:rPr>
          <w:rtl w:val="0"/>
        </w:rPr>
        <w:t xml:space="preserve">, même si niveau temps d'exécution ce ne sera surement pas plus rapide puisque l’analyse des protocoles utilise déjà du multi-traitement, cela permettrait d’obtenir des résultats moins sujets aux hallucinations.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Q2_ED40_Lr0t5x8lOBEjDdLDkSmVjgOcymsmzxNoc_s/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