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677DF" w14:textId="77777777" w:rsidR="001501B8" w:rsidRPr="001501B8" w:rsidRDefault="001501B8" w:rsidP="0034459D">
      <w:pPr>
        <w:spacing w:before="240" w:after="120" w:line="25" w:lineRule="atLeast"/>
        <w:ind w:firstLine="720"/>
        <w:jc w:val="center"/>
        <w:rPr>
          <w:rFonts w:ascii="Noto Sans" w:hAnsi="Noto Sans" w:cs="Noto Sans"/>
          <w:b/>
          <w:snapToGrid w:val="0"/>
          <w:sz w:val="28"/>
          <w:szCs w:val="28"/>
          <w:lang w:val="en-GB" w:eastAsia="de-CH"/>
        </w:rPr>
      </w:pPr>
      <w:bookmarkStart w:id="0" w:name="_GoBack"/>
      <w:bookmarkEnd w:id="0"/>
      <w:r w:rsidRPr="001501B8">
        <w:rPr>
          <w:rFonts w:ascii="Noto Sans" w:hAnsi="Noto Sans" w:cs="Noto Sans"/>
          <w:b/>
          <w:snapToGrid w:val="0"/>
          <w:sz w:val="28"/>
          <w:szCs w:val="28"/>
          <w:lang w:val="en-GB" w:eastAsia="de-CH"/>
        </w:rPr>
        <w:t>1 Problem outline and background information</w:t>
      </w:r>
    </w:p>
    <w:p w14:paraId="216677E0" w14:textId="77777777"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One of the most notable trends of the past couple of years in the equity trading is the growth of the closing auction volumes. This is largely driven by the increase in passive investing.  In the course of past 3 years, the closing auction has grown from accounting for roughly 15% of the total daily volume to contributing to as much as 25% of the daily trading activity.</w:t>
      </w:r>
    </w:p>
    <w:p w14:paraId="216677E1" w14:textId="77777777"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 xml:space="preserve">The end-of-day auction is operated by primary exchanges with LSE running its auction for the UK listed stocks, </w:t>
      </w:r>
      <w:proofErr w:type="spellStart"/>
      <w:r w:rsidRPr="001501B8">
        <w:rPr>
          <w:rFonts w:ascii="Noto Sans" w:eastAsia="Times New Roman" w:hAnsi="Noto Sans" w:cs="Times New Roman"/>
          <w:sz w:val="20"/>
          <w:szCs w:val="24"/>
          <w:lang w:val="en-GB" w:eastAsia="de-CH"/>
        </w:rPr>
        <w:t>Xetra</w:t>
      </w:r>
      <w:proofErr w:type="spellEnd"/>
      <w:r w:rsidRPr="001501B8">
        <w:rPr>
          <w:rFonts w:ascii="Noto Sans" w:eastAsia="Times New Roman" w:hAnsi="Noto Sans" w:cs="Times New Roman"/>
          <w:sz w:val="20"/>
          <w:szCs w:val="24"/>
          <w:lang w:val="en-GB" w:eastAsia="de-CH"/>
        </w:rPr>
        <w:t xml:space="preserve"> for the stocks listed on their exchange and SIX for the stocks that </w:t>
      </w:r>
      <w:proofErr w:type="spellStart"/>
      <w:r w:rsidRPr="001501B8">
        <w:rPr>
          <w:rFonts w:ascii="Noto Sans" w:eastAsia="Times New Roman" w:hAnsi="Noto Sans" w:cs="Times New Roman"/>
          <w:sz w:val="20"/>
          <w:szCs w:val="24"/>
          <w:lang w:val="en-GB" w:eastAsia="de-CH"/>
        </w:rPr>
        <w:t>IPOed</w:t>
      </w:r>
      <w:proofErr w:type="spellEnd"/>
      <w:r w:rsidRPr="001501B8">
        <w:rPr>
          <w:rFonts w:ascii="Noto Sans" w:eastAsia="Times New Roman" w:hAnsi="Noto Sans" w:cs="Times New Roman"/>
          <w:sz w:val="20"/>
          <w:szCs w:val="24"/>
          <w:lang w:val="en-GB" w:eastAsia="de-CH"/>
        </w:rPr>
        <w:t xml:space="preserve"> on their platform</w:t>
      </w:r>
      <w:r w:rsidR="00AF2FD9">
        <w:rPr>
          <w:rFonts w:ascii="Noto Sans" w:eastAsia="Times New Roman" w:hAnsi="Noto Sans" w:cs="Times New Roman"/>
          <w:sz w:val="20"/>
          <w:szCs w:val="24"/>
          <w:lang w:val="en-GB" w:eastAsia="de-CH"/>
        </w:rPr>
        <w:t>, mainly large Swiss issuers</w:t>
      </w:r>
      <w:r w:rsidRPr="001501B8">
        <w:rPr>
          <w:rFonts w:ascii="Noto Sans" w:eastAsia="Times New Roman" w:hAnsi="Noto Sans" w:cs="Times New Roman"/>
          <w:sz w:val="20"/>
          <w:szCs w:val="24"/>
          <w:lang w:val="en-GB" w:eastAsia="de-CH"/>
        </w:rPr>
        <w:t>. In contrast to continuous trading where there is competition and fragmentation, the closing auction is a single price forming event, operated by primary exchanges, often at a premium trading fee.</w:t>
      </w:r>
    </w:p>
    <w:p w14:paraId="216677E2" w14:textId="77777777"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 xml:space="preserve">With the growth of the auction, there has been additional pressures in the industry to find alternatives. The biggest challenge is how to compete in the closing auction when it works best as a centralized process, meaning when all the buyers and sellers participate in one single auction for a specific stock to ensure the best price discovery. That closing price serves as an official benchmark to many fund managers tracking indices, for ETF NAV calculations and for portfolio valuations. Therefore, it is very </w:t>
      </w:r>
      <w:r w:rsidR="00AF2FD9">
        <w:rPr>
          <w:rFonts w:ascii="Noto Sans" w:eastAsia="Times New Roman" w:hAnsi="Noto Sans" w:cs="Times New Roman"/>
          <w:sz w:val="20"/>
          <w:szCs w:val="24"/>
          <w:lang w:val="en-GB" w:eastAsia="de-CH"/>
        </w:rPr>
        <w:t xml:space="preserve">challenging </w:t>
      </w:r>
      <w:r w:rsidRPr="001501B8">
        <w:rPr>
          <w:rFonts w:ascii="Noto Sans" w:eastAsia="Times New Roman" w:hAnsi="Noto Sans" w:cs="Times New Roman"/>
          <w:sz w:val="20"/>
          <w:szCs w:val="24"/>
          <w:lang w:val="en-GB" w:eastAsia="de-CH"/>
        </w:rPr>
        <w:t xml:space="preserve">for competitors to offer an alternative closing auction in parallel to the </w:t>
      </w:r>
      <w:r w:rsidR="00AF2FD9">
        <w:rPr>
          <w:rFonts w:ascii="Noto Sans" w:eastAsia="Times New Roman" w:hAnsi="Noto Sans" w:cs="Times New Roman"/>
          <w:sz w:val="20"/>
          <w:szCs w:val="24"/>
          <w:lang w:val="en-GB" w:eastAsia="de-CH"/>
        </w:rPr>
        <w:t>existing</w:t>
      </w:r>
      <w:r w:rsidRPr="001501B8">
        <w:rPr>
          <w:rFonts w:ascii="Noto Sans" w:eastAsia="Times New Roman" w:hAnsi="Noto Sans" w:cs="Times New Roman"/>
          <w:sz w:val="20"/>
          <w:szCs w:val="24"/>
          <w:lang w:val="en-GB" w:eastAsia="de-CH"/>
        </w:rPr>
        <w:t xml:space="preserve"> end-of-day auction because that alternative would result in a different price which is not an official benchmark.</w:t>
      </w:r>
    </w:p>
    <w:p w14:paraId="216677E3" w14:textId="77777777"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 xml:space="preserve">Therefore, instead of creating competing auction events, </w:t>
      </w:r>
      <w:proofErr w:type="spellStart"/>
      <w:r w:rsidRPr="001501B8">
        <w:rPr>
          <w:rFonts w:ascii="Noto Sans" w:eastAsia="Times New Roman" w:hAnsi="Noto Sans" w:cs="Times New Roman"/>
          <w:sz w:val="20"/>
          <w:szCs w:val="24"/>
          <w:lang w:val="en-GB" w:eastAsia="de-CH"/>
        </w:rPr>
        <w:t>Aquis</w:t>
      </w:r>
      <w:proofErr w:type="spellEnd"/>
      <w:r w:rsidRPr="001501B8">
        <w:rPr>
          <w:rFonts w:ascii="Noto Sans" w:eastAsia="Times New Roman" w:hAnsi="Noto Sans" w:cs="Times New Roman"/>
          <w:sz w:val="20"/>
          <w:szCs w:val="24"/>
          <w:lang w:val="en-GB" w:eastAsia="de-CH"/>
        </w:rPr>
        <w:t xml:space="preserve">, CBOE, Turquoise some banks focused on offering matching of closing auction orders away from the closing auction but at the closing price. For example, </w:t>
      </w:r>
      <w:proofErr w:type="spellStart"/>
      <w:r w:rsidRPr="001501B8">
        <w:rPr>
          <w:rFonts w:ascii="Noto Sans" w:eastAsia="Times New Roman" w:hAnsi="Noto Sans" w:cs="Times New Roman"/>
          <w:sz w:val="20"/>
          <w:szCs w:val="24"/>
          <w:lang w:val="en-GB" w:eastAsia="de-CH"/>
        </w:rPr>
        <w:t>Aquis</w:t>
      </w:r>
      <w:proofErr w:type="spellEnd"/>
      <w:r w:rsidRPr="001501B8">
        <w:rPr>
          <w:rFonts w:ascii="Noto Sans" w:eastAsia="Times New Roman" w:hAnsi="Noto Sans" w:cs="Times New Roman"/>
          <w:sz w:val="20"/>
          <w:szCs w:val="24"/>
          <w:lang w:val="en-GB" w:eastAsia="de-CH"/>
        </w:rPr>
        <w:t xml:space="preserve"> offers participants ability to cross market orders. Participants can submit buy and sell market orders, once there is a match between buy and sell market orders for the closing auction, </w:t>
      </w:r>
      <w:proofErr w:type="spellStart"/>
      <w:r w:rsidRPr="001501B8">
        <w:rPr>
          <w:rFonts w:ascii="Noto Sans" w:eastAsia="Times New Roman" w:hAnsi="Noto Sans" w:cs="Times New Roman"/>
          <w:sz w:val="20"/>
          <w:szCs w:val="24"/>
          <w:lang w:val="en-GB" w:eastAsia="de-CH"/>
        </w:rPr>
        <w:t>Aquis</w:t>
      </w:r>
      <w:proofErr w:type="spellEnd"/>
      <w:r w:rsidRPr="001501B8">
        <w:rPr>
          <w:rFonts w:ascii="Noto Sans" w:eastAsia="Times New Roman" w:hAnsi="Noto Sans" w:cs="Times New Roman"/>
          <w:sz w:val="20"/>
          <w:szCs w:val="24"/>
          <w:lang w:val="en-GB" w:eastAsia="de-CH"/>
        </w:rPr>
        <w:t xml:space="preserve"> locks these orders and after the closing auction on the primary exchange concludes, </w:t>
      </w:r>
      <w:proofErr w:type="spellStart"/>
      <w:r w:rsidRPr="001501B8">
        <w:rPr>
          <w:rFonts w:ascii="Noto Sans" w:eastAsia="Times New Roman" w:hAnsi="Noto Sans" w:cs="Times New Roman"/>
          <w:sz w:val="20"/>
          <w:szCs w:val="24"/>
          <w:lang w:val="en-GB" w:eastAsia="de-CH"/>
        </w:rPr>
        <w:t>Aquis</w:t>
      </w:r>
      <w:proofErr w:type="spellEnd"/>
      <w:r w:rsidRPr="001501B8">
        <w:rPr>
          <w:rFonts w:ascii="Noto Sans" w:eastAsia="Times New Roman" w:hAnsi="Noto Sans" w:cs="Times New Roman"/>
          <w:sz w:val="20"/>
          <w:szCs w:val="24"/>
          <w:lang w:val="en-GB" w:eastAsia="de-CH"/>
        </w:rPr>
        <w:t xml:space="preserve"> matches the locked orders at that primary closing auction price. Other venues and banks offer similar services with varying levels of sophistication.</w:t>
      </w:r>
    </w:p>
    <w:p w14:paraId="216677E4" w14:textId="77777777" w:rsidR="001501B8" w:rsidRPr="001501B8" w:rsidRDefault="001501B8" w:rsidP="00BA1019">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One thing that these offerings have in common – they take liquidity away from the closing auction</w:t>
      </w:r>
      <w:r w:rsidR="00AF2FD9">
        <w:rPr>
          <w:rFonts w:ascii="Noto Sans" w:eastAsia="Times New Roman" w:hAnsi="Noto Sans" w:cs="Times New Roman"/>
          <w:sz w:val="20"/>
          <w:szCs w:val="24"/>
          <w:lang w:val="en-GB" w:eastAsia="de-CH"/>
        </w:rPr>
        <w:t xml:space="preserve"> of the primary market</w:t>
      </w:r>
      <w:r w:rsidRPr="001501B8">
        <w:rPr>
          <w:rFonts w:ascii="Noto Sans" w:eastAsia="Times New Roman" w:hAnsi="Noto Sans" w:cs="Times New Roman"/>
          <w:sz w:val="20"/>
          <w:szCs w:val="24"/>
          <w:lang w:val="en-GB" w:eastAsia="de-CH"/>
        </w:rPr>
        <w:t xml:space="preserve">. With more and more trades happening through alternative closing auction matching mechanisms, a higher portion of closing auction orders will be drained from the primary markets. It is clear that these competitive services can save trading fees to participants (for SIX that can be approximately 1bps). Question is, what are the costs associated with draining liquidity from the closing auction? We are interested in analysing the costs for market participants </w:t>
      </w:r>
      <w:proofErr w:type="gramStart"/>
      <w:r w:rsidRPr="001501B8">
        <w:rPr>
          <w:rFonts w:ascii="Noto Sans" w:eastAsia="Times New Roman" w:hAnsi="Noto Sans" w:cs="Times New Roman"/>
          <w:sz w:val="20"/>
          <w:szCs w:val="24"/>
          <w:lang w:val="en-GB" w:eastAsia="de-CH"/>
        </w:rPr>
        <w:t>if  alternative</w:t>
      </w:r>
      <w:proofErr w:type="gramEnd"/>
      <w:r w:rsidRPr="001501B8">
        <w:rPr>
          <w:rFonts w:ascii="Noto Sans" w:eastAsia="Times New Roman" w:hAnsi="Noto Sans" w:cs="Times New Roman"/>
          <w:sz w:val="20"/>
          <w:szCs w:val="24"/>
          <w:lang w:val="en-GB" w:eastAsia="de-CH"/>
        </w:rPr>
        <w:t xml:space="preserve"> closing mechanisms were to attract 5%, 10%, 25%, etc. of the end-of-day liquidity.</w:t>
      </w:r>
    </w:p>
    <w:p w14:paraId="216677E5" w14:textId="77777777" w:rsidR="001501B8" w:rsidRDefault="001501B8" w:rsidP="00BA1019">
      <w:pPr>
        <w:spacing w:before="240" w:after="120" w:line="25" w:lineRule="atLeast"/>
        <w:jc w:val="center"/>
        <w:rPr>
          <w:rFonts w:ascii="Noto Sans" w:hAnsi="Noto Sans" w:cs="Noto Sans"/>
          <w:b/>
          <w:snapToGrid w:val="0"/>
          <w:sz w:val="28"/>
          <w:szCs w:val="28"/>
          <w:lang w:val="en-GB" w:eastAsia="de-CH"/>
        </w:rPr>
      </w:pPr>
      <w:r w:rsidRPr="001501B8">
        <w:rPr>
          <w:rFonts w:ascii="Noto Sans" w:hAnsi="Noto Sans" w:cs="Noto Sans"/>
          <w:b/>
          <w:snapToGrid w:val="0"/>
          <w:sz w:val="28"/>
          <w:szCs w:val="28"/>
          <w:lang w:val="en-GB" w:eastAsia="de-CH"/>
        </w:rPr>
        <w:t>2 Proposed research design and methods</w:t>
      </w:r>
    </w:p>
    <w:p w14:paraId="216677E6" w14:textId="77777777" w:rsidR="00AF4CEA" w:rsidRPr="00AF4CEA" w:rsidRDefault="00AF4CEA" w:rsidP="00AF4CEA">
      <w:pPr>
        <w:spacing w:before="240" w:after="120" w:line="25" w:lineRule="atLeast"/>
        <w:rPr>
          <w:rFonts w:ascii="Noto Sans" w:eastAsia="Times New Roman" w:hAnsi="Noto Sans" w:cs="Noto Sans"/>
          <w:sz w:val="20"/>
          <w:szCs w:val="20"/>
          <w:lang w:val="en-GB" w:eastAsia="de-CH"/>
        </w:rPr>
      </w:pPr>
      <w:r>
        <w:rPr>
          <w:rFonts w:ascii="Noto Sans" w:eastAsia="Times New Roman" w:hAnsi="Noto Sans" w:cs="Noto Sans"/>
          <w:sz w:val="20"/>
          <w:szCs w:val="20"/>
          <w:lang w:val="en-GB" w:eastAsia="de-CH"/>
        </w:rPr>
        <w:lastRenderedPageBreak/>
        <w:t xml:space="preserve">This section gives some first ideas how we could </w:t>
      </w:r>
      <w:r w:rsidR="00E002F3">
        <w:rPr>
          <w:rFonts w:ascii="Noto Sans" w:eastAsia="Times New Roman" w:hAnsi="Noto Sans" w:cs="Noto Sans"/>
          <w:sz w:val="20"/>
          <w:szCs w:val="20"/>
          <w:lang w:val="en-GB" w:eastAsia="de-CH"/>
        </w:rPr>
        <w:t>design</w:t>
      </w:r>
      <w:r>
        <w:rPr>
          <w:rFonts w:ascii="Noto Sans" w:eastAsia="Times New Roman" w:hAnsi="Noto Sans" w:cs="Noto Sans"/>
          <w:sz w:val="20"/>
          <w:szCs w:val="20"/>
          <w:lang w:val="en-GB" w:eastAsia="de-CH"/>
        </w:rPr>
        <w:t xml:space="preserve"> our research agenda around closing auctions</w:t>
      </w:r>
      <w:r w:rsidR="00A151BE">
        <w:rPr>
          <w:rFonts w:ascii="Noto Sans" w:eastAsia="Times New Roman" w:hAnsi="Noto Sans" w:cs="Noto Sans"/>
          <w:sz w:val="20"/>
          <w:szCs w:val="20"/>
          <w:lang w:val="en-GB" w:eastAsia="de-CH"/>
        </w:rPr>
        <w:t xml:space="preserve"> and serves as a motivation and</w:t>
      </w:r>
      <w:r w:rsidR="00A151BE" w:rsidRPr="00A151BE">
        <w:rPr>
          <w:rFonts w:ascii="Noto Sans" w:eastAsia="Times New Roman" w:hAnsi="Noto Sans" w:cs="Noto Sans"/>
          <w:sz w:val="20"/>
          <w:szCs w:val="20"/>
          <w:lang w:val="en-GB" w:eastAsia="de-CH"/>
        </w:rPr>
        <w:t xml:space="preserve"> </w:t>
      </w:r>
      <w:r w:rsidR="00A151BE">
        <w:rPr>
          <w:rFonts w:ascii="Noto Sans" w:eastAsia="Times New Roman" w:hAnsi="Noto Sans" w:cs="Noto Sans"/>
          <w:sz w:val="20"/>
          <w:szCs w:val="20"/>
          <w:lang w:val="en-GB" w:eastAsia="de-CH"/>
        </w:rPr>
        <w:t>basis for discussion</w:t>
      </w:r>
      <w:r>
        <w:rPr>
          <w:rFonts w:ascii="Noto Sans" w:eastAsia="Times New Roman" w:hAnsi="Noto Sans" w:cs="Noto Sans"/>
          <w:sz w:val="20"/>
          <w:szCs w:val="20"/>
          <w:lang w:val="en-GB" w:eastAsia="de-CH"/>
        </w:rPr>
        <w:t>. The researchers are encouraged to deviate from the proposed methodology if appropriate and develop their own empirical strategies. We are curious about any insights on the price discovery around the close.</w:t>
      </w:r>
    </w:p>
    <w:p w14:paraId="216677E7" w14:textId="77777777" w:rsidR="001501B8" w:rsidRPr="001501B8" w:rsidRDefault="001501B8" w:rsidP="00BA1019">
      <w:pPr>
        <w:spacing w:before="240" w:after="120" w:line="25" w:lineRule="atLeast"/>
        <w:jc w:val="center"/>
        <w:rPr>
          <w:rFonts w:ascii="Noto Sans" w:hAnsi="Noto Sans" w:cs="Noto Sans"/>
          <w:b/>
          <w:snapToGrid w:val="0"/>
          <w:szCs w:val="28"/>
          <w:lang w:val="en-GB" w:eastAsia="de-CH"/>
        </w:rPr>
      </w:pPr>
      <w:r w:rsidRPr="001501B8">
        <w:rPr>
          <w:rFonts w:ascii="Noto Sans" w:hAnsi="Noto Sans" w:cs="Noto Sans"/>
          <w:b/>
          <w:snapToGrid w:val="0"/>
          <w:szCs w:val="28"/>
          <w:lang w:val="en-GB" w:eastAsia="de-CH"/>
        </w:rPr>
        <w:t xml:space="preserve">2.1 </w:t>
      </w:r>
      <w:r>
        <w:rPr>
          <w:rFonts w:ascii="Noto Sans" w:hAnsi="Noto Sans" w:cs="Noto Sans"/>
          <w:b/>
          <w:snapToGrid w:val="0"/>
          <w:szCs w:val="28"/>
          <w:lang w:val="en-GB" w:eastAsia="de-CH"/>
        </w:rPr>
        <w:t>Data</w:t>
      </w:r>
    </w:p>
    <w:p w14:paraId="216677E8" w14:textId="77777777"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 xml:space="preserve">The data sample </w:t>
      </w:r>
      <w:r w:rsidR="004A7EE9">
        <w:rPr>
          <w:rFonts w:ascii="Noto Sans" w:eastAsia="Times New Roman" w:hAnsi="Noto Sans" w:cs="Noto Sans"/>
          <w:sz w:val="20"/>
          <w:szCs w:val="20"/>
          <w:lang w:val="en-GB" w:eastAsia="de-CH"/>
        </w:rPr>
        <w:t xml:space="preserve">focus on </w:t>
      </w:r>
      <w:r w:rsidRPr="001501B8">
        <w:rPr>
          <w:rFonts w:ascii="Noto Sans" w:eastAsia="Times New Roman" w:hAnsi="Noto Sans" w:cs="Noto Sans"/>
          <w:sz w:val="20"/>
          <w:szCs w:val="20"/>
          <w:lang w:val="en-GB" w:eastAsia="de-CH"/>
        </w:rPr>
        <w:t xml:space="preserve">Swiss equities, namely Blue Chips and Mid/Small Caps, </w:t>
      </w:r>
      <w:r w:rsidR="00ED217A">
        <w:rPr>
          <w:rFonts w:ascii="Noto Sans" w:eastAsia="Times New Roman" w:hAnsi="Noto Sans" w:cs="Noto Sans"/>
          <w:sz w:val="20"/>
          <w:szCs w:val="20"/>
          <w:lang w:val="en-GB" w:eastAsia="de-CH"/>
        </w:rPr>
        <w:t xml:space="preserve">traded on SIX (XVTX and XSWX) </w:t>
      </w:r>
      <w:r w:rsidRPr="001501B8">
        <w:rPr>
          <w:rFonts w:ascii="Noto Sans" w:eastAsia="Times New Roman" w:hAnsi="Noto Sans" w:cs="Noto Sans"/>
          <w:sz w:val="20"/>
          <w:szCs w:val="20"/>
          <w:lang w:val="en-GB" w:eastAsia="de-CH"/>
        </w:rPr>
        <w:t>from 01.01.2019 to 31.08.2019.</w:t>
      </w:r>
    </w:p>
    <w:p w14:paraId="216677E9" w14:textId="77777777" w:rsidR="001501B8" w:rsidRPr="001501B8" w:rsidRDefault="001501B8" w:rsidP="00BA1019">
      <w:pPr>
        <w:spacing w:before="240" w:after="120" w:line="25" w:lineRule="atLeast"/>
        <w:jc w:val="center"/>
        <w:rPr>
          <w:rFonts w:ascii="Noto Sans" w:hAnsi="Noto Sans" w:cs="Noto Sans"/>
          <w:b/>
          <w:snapToGrid w:val="0"/>
          <w:szCs w:val="28"/>
          <w:lang w:val="en-GB" w:eastAsia="de-CH"/>
        </w:rPr>
      </w:pPr>
      <w:r w:rsidRPr="001501B8">
        <w:rPr>
          <w:rFonts w:ascii="Noto Sans" w:hAnsi="Noto Sans" w:cs="Noto Sans"/>
          <w:b/>
          <w:snapToGrid w:val="0"/>
          <w:szCs w:val="28"/>
          <w:lang w:val="en-GB" w:eastAsia="de-CH"/>
        </w:rPr>
        <w:t>2.2 Methodology</w:t>
      </w:r>
    </w:p>
    <w:p w14:paraId="216677EA" w14:textId="77777777" w:rsid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 xml:space="preserve">The research methodology comprises </w:t>
      </w:r>
      <w:r w:rsidR="00D61A35">
        <w:rPr>
          <w:rFonts w:ascii="Noto Sans" w:eastAsia="Times New Roman" w:hAnsi="Noto Sans" w:cs="Noto Sans"/>
          <w:sz w:val="20"/>
          <w:szCs w:val="20"/>
          <w:lang w:val="en-GB" w:eastAsia="de-CH"/>
        </w:rPr>
        <w:t>three approaches to highlight the importance of the closing auction as an important price forming event</w:t>
      </w:r>
      <w:r w:rsidRPr="001501B8">
        <w:rPr>
          <w:rFonts w:ascii="Noto Sans" w:eastAsia="Times New Roman" w:hAnsi="Noto Sans" w:cs="Noto Sans"/>
          <w:sz w:val="20"/>
          <w:szCs w:val="20"/>
          <w:lang w:val="en-GB" w:eastAsia="de-CH"/>
        </w:rPr>
        <w:t>.</w:t>
      </w:r>
      <w:r w:rsidR="009750A9">
        <w:rPr>
          <w:rFonts w:ascii="Noto Sans" w:eastAsia="Times New Roman" w:hAnsi="Noto Sans" w:cs="Noto Sans"/>
          <w:sz w:val="20"/>
          <w:szCs w:val="20"/>
          <w:lang w:val="en-GB" w:eastAsia="de-CH"/>
        </w:rPr>
        <w:t xml:space="preserve"> The first approach shows how orders directly contribute to price formation in the closing auction. The second approach shows how orders contribute to price discovery</w:t>
      </w:r>
      <w:r w:rsidR="00D61A35">
        <w:rPr>
          <w:rFonts w:ascii="Noto Sans" w:eastAsia="Times New Roman" w:hAnsi="Noto Sans" w:cs="Noto Sans"/>
          <w:sz w:val="20"/>
          <w:szCs w:val="20"/>
          <w:lang w:val="en-GB" w:eastAsia="de-CH"/>
        </w:rPr>
        <w:t>. The third approach gives insights how orders interact in the closing auction phase on a centralized market suggesting tha</w:t>
      </w:r>
      <w:r w:rsidR="00C86DA0">
        <w:rPr>
          <w:rFonts w:ascii="Noto Sans" w:eastAsia="Times New Roman" w:hAnsi="Noto Sans" w:cs="Noto Sans"/>
          <w:sz w:val="20"/>
          <w:szCs w:val="20"/>
          <w:lang w:val="en-GB" w:eastAsia="de-CH"/>
        </w:rPr>
        <w:t>t</w:t>
      </w:r>
      <w:r w:rsidR="00D61A35">
        <w:rPr>
          <w:rFonts w:ascii="Noto Sans" w:eastAsia="Times New Roman" w:hAnsi="Noto Sans" w:cs="Noto Sans"/>
          <w:sz w:val="20"/>
          <w:szCs w:val="20"/>
          <w:lang w:val="en-GB" w:eastAsia="de-CH"/>
        </w:rPr>
        <w:t xml:space="preserve"> all order submissions, modifications and cancellations help to discover the closing auction price.</w:t>
      </w:r>
    </w:p>
    <w:p w14:paraId="216677EB" w14:textId="77777777" w:rsidR="00ED217A" w:rsidRPr="001501B8" w:rsidRDefault="00ED217A" w:rsidP="00ED217A">
      <w:pPr>
        <w:spacing w:before="240" w:after="120" w:line="25" w:lineRule="atLeast"/>
        <w:jc w:val="center"/>
        <w:rPr>
          <w:rFonts w:ascii="Noto Sans" w:hAnsi="Noto Sans" w:cs="Noto Sans"/>
          <w:b/>
          <w:snapToGrid w:val="0"/>
          <w:sz w:val="20"/>
          <w:szCs w:val="28"/>
          <w:lang w:val="en-GB" w:eastAsia="de-CH"/>
        </w:rPr>
      </w:pPr>
      <w:r>
        <w:rPr>
          <w:rFonts w:ascii="Noto Sans" w:hAnsi="Noto Sans" w:cs="Noto Sans"/>
          <w:b/>
          <w:snapToGrid w:val="0"/>
          <w:sz w:val="20"/>
          <w:szCs w:val="28"/>
          <w:lang w:val="en-GB" w:eastAsia="de-CH"/>
        </w:rPr>
        <w:t>2.2.1</w:t>
      </w:r>
      <w:r w:rsidRPr="001501B8">
        <w:rPr>
          <w:rFonts w:ascii="Noto Sans" w:hAnsi="Noto Sans" w:cs="Noto Sans"/>
          <w:b/>
          <w:snapToGrid w:val="0"/>
          <w:sz w:val="20"/>
          <w:szCs w:val="28"/>
          <w:lang w:val="en-GB" w:eastAsia="de-CH"/>
        </w:rPr>
        <w:t xml:space="preserve"> Closing auction price sensitivity</w:t>
      </w:r>
      <w:r w:rsidR="003D5747">
        <w:rPr>
          <w:rFonts w:ascii="Noto Sans" w:hAnsi="Noto Sans" w:cs="Noto Sans"/>
          <w:b/>
          <w:snapToGrid w:val="0"/>
          <w:sz w:val="20"/>
          <w:szCs w:val="28"/>
          <w:lang w:val="en-GB" w:eastAsia="de-CH"/>
        </w:rPr>
        <w:t xml:space="preserve"> at the uncross</w:t>
      </w:r>
    </w:p>
    <w:p w14:paraId="216677EC" w14:textId="77777777" w:rsidR="00ED217A" w:rsidRPr="001501B8" w:rsidRDefault="00ED217A" w:rsidP="00ED217A">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What happens if liquidity migrates away from the closing auction? In our simulation, we compute the theoretical uncross price if some liquidi</w:t>
      </w:r>
      <w:r>
        <w:rPr>
          <w:rFonts w:ascii="Noto Sans" w:eastAsia="Times New Roman" w:hAnsi="Noto Sans" w:cs="Times New Roman"/>
          <w:sz w:val="20"/>
          <w:szCs w:val="24"/>
          <w:lang w:val="en-GB" w:eastAsia="de-CH"/>
        </w:rPr>
        <w:t>ty does not participate in the closing auction</w:t>
      </w:r>
      <w:r w:rsidRPr="001501B8">
        <w:rPr>
          <w:rFonts w:ascii="Noto Sans" w:eastAsia="Times New Roman" w:hAnsi="Noto Sans" w:cs="Times New Roman"/>
          <w:sz w:val="20"/>
          <w:szCs w:val="24"/>
          <w:lang w:val="en-GB" w:eastAsia="de-CH"/>
        </w:rPr>
        <w:t>.</w:t>
      </w:r>
    </w:p>
    <w:p w14:paraId="216677ED" w14:textId="77777777" w:rsidR="00ED217A" w:rsidRPr="001501B8" w:rsidRDefault="00ED217A" w:rsidP="00ED217A">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Methodically, we take a snapshot of the order book just before the auction uncross and compute the theoretical uncross price under the following scenarios</w:t>
      </w:r>
    </w:p>
    <w:p w14:paraId="216677EE" w14:textId="77777777" w:rsidR="00ED217A" w:rsidRPr="00C30CFD"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 xml:space="preserve">Remove </w:t>
      </w:r>
      <w:r>
        <w:rPr>
          <w:rFonts w:ascii="Noto Sans" w:eastAsia="Times New Roman" w:hAnsi="Noto Sans" w:cs="Noto Sans"/>
          <w:sz w:val="20"/>
          <w:szCs w:val="20"/>
          <w:lang w:val="en-GB" w:eastAsia="de-CH"/>
        </w:rPr>
        <w:t>x</w:t>
      </w:r>
      <w:r w:rsidRPr="001501B8">
        <w:rPr>
          <w:rFonts w:ascii="Noto Sans" w:eastAsia="Times New Roman" w:hAnsi="Noto Sans" w:cs="Noto Sans"/>
          <w:sz w:val="20"/>
          <w:szCs w:val="20"/>
          <w:lang w:val="en-GB" w:eastAsia="de-CH"/>
        </w:rPr>
        <w:t xml:space="preserve">% of the buy volume from price formation for </w:t>
      </w:r>
      <m:oMath>
        <m:r>
          <w:rPr>
            <w:rFonts w:ascii="Cambria Math" w:eastAsia="Times New Roman" w:hAnsi="Cambria Math" w:cs="Noto Sans"/>
            <w:sz w:val="20"/>
            <w:szCs w:val="20"/>
            <w:lang w:val="en-GB" w:eastAsia="de-CH"/>
          </w:rPr>
          <m:t>x</m:t>
        </m:r>
        <m:r>
          <m:rPr>
            <m:nor/>
          </m:rPr>
          <w:rPr>
            <w:rFonts w:ascii="Cambria Math" w:eastAsia="Times New Roman" w:hAnsi="Cambria Math" w:cs="Noto Sans"/>
            <w:sz w:val="20"/>
            <w:szCs w:val="20"/>
            <w:lang w:val="en-GB" w:eastAsia="de-CH"/>
          </w:rPr>
          <m:t>=</m:t>
        </m:r>
        <m:d>
          <m:dPr>
            <m:begChr m:val="{"/>
            <m:endChr m:val="}"/>
            <m:ctrlPr>
              <w:rPr>
                <w:rFonts w:ascii="Cambria Math" w:eastAsia="Times New Roman" w:hAnsi="Cambria Math" w:cs="Noto Sans"/>
                <w:i/>
                <w:sz w:val="20"/>
                <w:szCs w:val="20"/>
                <w:lang w:val="en-GB" w:eastAsia="de-CH"/>
              </w:rPr>
            </m:ctrlPr>
          </m:dPr>
          <m:e>
            <m:r>
              <w:rPr>
                <w:rFonts w:ascii="Cambria Math" w:eastAsia="Times New Roman" w:hAnsi="Cambria Math" w:cs="Noto Sans"/>
                <w:sz w:val="20"/>
                <w:szCs w:val="20"/>
                <w:lang w:val="en-GB" w:eastAsia="de-CH"/>
              </w:rPr>
              <m:t>5, 10,15,20</m:t>
            </m:r>
          </m:e>
        </m:d>
      </m:oMath>
    </w:p>
    <w:p w14:paraId="216677EF" w14:textId="77777777" w:rsidR="00ED217A" w:rsidRPr="00C30CFD"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C30CFD">
        <w:rPr>
          <w:rFonts w:ascii="Noto Sans" w:eastAsia="Times New Roman" w:hAnsi="Noto Sans" w:cs="Noto Sans"/>
          <w:sz w:val="20"/>
          <w:szCs w:val="20"/>
          <w:lang w:val="en-GB" w:eastAsia="de-CH"/>
        </w:rPr>
        <w:t xml:space="preserve">Remove x% of the sell volume from price formation for </w:t>
      </w:r>
      <m:oMath>
        <m:r>
          <w:rPr>
            <w:rFonts w:ascii="Cambria Math" w:eastAsia="Times New Roman" w:hAnsi="Cambria Math" w:cs="Noto Sans"/>
            <w:sz w:val="20"/>
            <w:szCs w:val="20"/>
            <w:lang w:val="en-GB" w:eastAsia="de-CH"/>
          </w:rPr>
          <m:t>x</m:t>
        </m:r>
        <m:r>
          <m:rPr>
            <m:nor/>
          </m:rPr>
          <w:rPr>
            <w:rFonts w:ascii="Cambria Math" w:eastAsia="Times New Roman" w:hAnsi="Cambria Math" w:cs="Noto Sans"/>
            <w:sz w:val="20"/>
            <w:szCs w:val="20"/>
            <w:lang w:val="en-GB" w:eastAsia="de-CH"/>
          </w:rPr>
          <m:t>=</m:t>
        </m:r>
        <m:d>
          <m:dPr>
            <m:begChr m:val="{"/>
            <m:endChr m:val="}"/>
            <m:ctrlPr>
              <w:rPr>
                <w:rFonts w:ascii="Cambria Math" w:eastAsia="Times New Roman" w:hAnsi="Cambria Math" w:cs="Noto Sans"/>
                <w:i/>
                <w:sz w:val="20"/>
                <w:szCs w:val="20"/>
                <w:lang w:val="en-GB" w:eastAsia="de-CH"/>
              </w:rPr>
            </m:ctrlPr>
          </m:dPr>
          <m:e>
            <m:r>
              <w:rPr>
                <w:rFonts w:ascii="Cambria Math" w:eastAsia="Times New Roman" w:hAnsi="Cambria Math" w:cs="Noto Sans"/>
                <w:sz w:val="20"/>
                <w:szCs w:val="20"/>
                <w:lang w:val="en-GB" w:eastAsia="de-CH"/>
              </w:rPr>
              <m:t>5, 10,15,20</m:t>
            </m:r>
          </m:e>
        </m:d>
      </m:oMath>
    </w:p>
    <w:p w14:paraId="216677F0" w14:textId="77777777" w:rsidR="00ED217A" w:rsidRPr="00C30CFD"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C30CFD">
        <w:rPr>
          <w:rFonts w:ascii="Noto Sans" w:eastAsia="Times New Roman" w:hAnsi="Noto Sans" w:cs="Noto Sans"/>
          <w:sz w:val="20"/>
          <w:szCs w:val="20"/>
          <w:lang w:val="en-GB" w:eastAsia="de-CH"/>
        </w:rPr>
        <w:t xml:space="preserve">Remove x% of the buy and sell volume from the price formation for </w:t>
      </w:r>
      <m:oMath>
        <m:r>
          <w:rPr>
            <w:rFonts w:ascii="Cambria Math" w:eastAsia="Times New Roman" w:hAnsi="Cambria Math" w:cs="Noto Sans"/>
            <w:sz w:val="20"/>
            <w:szCs w:val="20"/>
            <w:lang w:val="en-GB" w:eastAsia="de-CH"/>
          </w:rPr>
          <m:t>x</m:t>
        </m:r>
        <m:r>
          <m:rPr>
            <m:nor/>
          </m:rPr>
          <w:rPr>
            <w:rFonts w:ascii="Cambria Math" w:eastAsia="Times New Roman" w:hAnsi="Cambria Math" w:cs="Noto Sans"/>
            <w:sz w:val="20"/>
            <w:szCs w:val="20"/>
            <w:lang w:val="en-GB" w:eastAsia="de-CH"/>
          </w:rPr>
          <m:t>=</m:t>
        </m:r>
        <m:d>
          <m:dPr>
            <m:begChr m:val="{"/>
            <m:endChr m:val="}"/>
            <m:ctrlPr>
              <w:rPr>
                <w:rFonts w:ascii="Cambria Math" w:eastAsia="Times New Roman" w:hAnsi="Cambria Math" w:cs="Noto Sans"/>
                <w:i/>
                <w:sz w:val="20"/>
                <w:szCs w:val="20"/>
                <w:lang w:val="en-GB" w:eastAsia="de-CH"/>
              </w:rPr>
            </m:ctrlPr>
          </m:dPr>
          <m:e>
            <m:r>
              <w:rPr>
                <w:rFonts w:ascii="Cambria Math" w:eastAsia="Times New Roman" w:hAnsi="Cambria Math" w:cs="Noto Sans"/>
                <w:sz w:val="20"/>
                <w:szCs w:val="20"/>
                <w:lang w:val="en-GB" w:eastAsia="de-CH"/>
              </w:rPr>
              <m:t>5, 10,15,20</m:t>
            </m:r>
          </m:e>
        </m:d>
      </m:oMath>
    </w:p>
    <w:p w14:paraId="216677F1" w14:textId="77777777" w:rsidR="00ED217A"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C30CFD">
        <w:rPr>
          <w:rFonts w:ascii="Noto Sans" w:eastAsia="Times New Roman" w:hAnsi="Noto Sans" w:cs="Noto Sans"/>
          <w:sz w:val="20"/>
          <w:szCs w:val="20"/>
          <w:lang w:val="en-GB" w:eastAsia="de-CH"/>
        </w:rPr>
        <w:t>Remove all market orders from price formation</w:t>
      </w:r>
    </w:p>
    <w:p w14:paraId="216677F2" w14:textId="77777777" w:rsidR="00ED217A" w:rsidRPr="00C30CFD" w:rsidRDefault="00ED217A" w:rsidP="00ED217A">
      <w:pPr>
        <w:pStyle w:val="ListParagraph"/>
        <w:numPr>
          <w:ilvl w:val="0"/>
          <w:numId w:val="3"/>
        </w:numPr>
        <w:spacing w:before="120" w:after="120" w:line="25" w:lineRule="atLeast"/>
        <w:ind w:left="714" w:hanging="357"/>
        <w:contextualSpacing w:val="0"/>
        <w:jc w:val="both"/>
        <w:rPr>
          <w:rFonts w:ascii="Noto Sans" w:eastAsia="Times New Roman" w:hAnsi="Noto Sans" w:cs="Noto Sans"/>
          <w:sz w:val="20"/>
          <w:szCs w:val="20"/>
          <w:lang w:val="en-GB" w:eastAsia="de-CH"/>
        </w:rPr>
      </w:pPr>
      <w:r w:rsidRPr="00C30CFD">
        <w:rPr>
          <w:rFonts w:ascii="Noto Sans" w:eastAsia="Times New Roman" w:hAnsi="Noto Sans" w:cs="Noto Sans"/>
          <w:sz w:val="20"/>
          <w:szCs w:val="20"/>
          <w:lang w:val="en-GB" w:eastAsia="de-CH"/>
        </w:rPr>
        <w:t>Remove all market orders resting during the complete auction phase in the limit order book</w:t>
      </w:r>
      <w:r w:rsidR="003D5747">
        <w:rPr>
          <w:rFonts w:ascii="Noto Sans" w:eastAsia="Times New Roman" w:hAnsi="Noto Sans" w:cs="Noto Sans"/>
          <w:sz w:val="20"/>
          <w:szCs w:val="20"/>
          <w:lang w:val="en-GB" w:eastAsia="de-CH"/>
        </w:rPr>
        <w:t xml:space="preserve"> from price formation</w:t>
      </w:r>
      <w:r>
        <w:rPr>
          <w:rFonts w:ascii="Noto Sans" w:eastAsia="Times New Roman" w:hAnsi="Noto Sans" w:cs="Noto Sans"/>
          <w:sz w:val="20"/>
          <w:szCs w:val="20"/>
          <w:lang w:val="en-GB" w:eastAsia="de-CH"/>
        </w:rPr>
        <w:t>, i.e. market orders submitted with validity at-the-close during the trading day and activated at the start of the auction phase</w:t>
      </w:r>
    </w:p>
    <w:p w14:paraId="216677F3" w14:textId="77777777" w:rsidR="00ED217A" w:rsidRDefault="00ED217A" w:rsidP="00ED217A">
      <w:pPr>
        <w:spacing w:before="120" w:after="120" w:line="25" w:lineRule="atLeast"/>
        <w:jc w:val="both"/>
        <w:rPr>
          <w:rFonts w:ascii="Noto Sans" w:eastAsia="Times New Roman" w:hAnsi="Noto Sans" w:cs="Times New Roman"/>
          <w:sz w:val="20"/>
          <w:szCs w:val="24"/>
          <w:lang w:val="en-GB" w:eastAsia="de-CH"/>
        </w:rPr>
      </w:pPr>
      <w:r w:rsidRPr="001501B8">
        <w:rPr>
          <w:rFonts w:ascii="Noto Sans" w:eastAsia="Times New Roman" w:hAnsi="Noto Sans" w:cs="Times New Roman"/>
          <w:sz w:val="20"/>
          <w:szCs w:val="24"/>
          <w:lang w:val="en-GB" w:eastAsia="de-CH"/>
        </w:rPr>
        <w:t>This theoretical uncross price and corresponding auction turnover gets compared against the actual closing price and auction turnover.</w:t>
      </w:r>
      <w:r>
        <w:rPr>
          <w:rFonts w:ascii="Noto Sans" w:eastAsia="Times New Roman" w:hAnsi="Noto Sans" w:cs="Times New Roman"/>
          <w:sz w:val="20"/>
          <w:szCs w:val="24"/>
          <w:lang w:val="en-GB" w:eastAsia="de-CH"/>
        </w:rPr>
        <w:t xml:space="preserve"> Statistics of interest are the following</w:t>
      </w:r>
    </w:p>
    <w:p w14:paraId="216677F4" w14:textId="77777777" w:rsidR="003D5747" w:rsidRDefault="003D5747" w:rsidP="00ED217A">
      <w:pPr>
        <w:pStyle w:val="ListParagraph"/>
        <w:numPr>
          <w:ilvl w:val="0"/>
          <w:numId w:val="4"/>
        </w:numPr>
        <w:spacing w:before="120" w:after="120" w:line="25" w:lineRule="atLeast"/>
        <w:contextualSpacing w:val="0"/>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t>How often is the theoretical uncross price different to the closing price for each scenario?</w:t>
      </w:r>
    </w:p>
    <w:p w14:paraId="216677F5" w14:textId="77777777" w:rsidR="00ED217A" w:rsidRPr="00C30CFD" w:rsidRDefault="00ED217A" w:rsidP="00ED217A">
      <w:pPr>
        <w:pStyle w:val="ListParagraph"/>
        <w:numPr>
          <w:ilvl w:val="0"/>
          <w:numId w:val="4"/>
        </w:numPr>
        <w:spacing w:before="120" w:after="120" w:line="25" w:lineRule="atLeast"/>
        <w:contextualSpacing w:val="0"/>
        <w:jc w:val="both"/>
        <w:rPr>
          <w:rFonts w:ascii="Noto Sans" w:eastAsia="Times New Roman" w:hAnsi="Noto Sans" w:cs="Times New Roman"/>
          <w:sz w:val="20"/>
          <w:szCs w:val="24"/>
          <w:lang w:val="en-GB" w:eastAsia="de-CH"/>
        </w:rPr>
      </w:pPr>
      <w:r w:rsidRPr="00C30CFD">
        <w:rPr>
          <w:rFonts w:ascii="Noto Sans" w:eastAsia="Times New Roman" w:hAnsi="Noto Sans" w:cs="Times New Roman"/>
          <w:sz w:val="20"/>
          <w:szCs w:val="24"/>
          <w:lang w:val="en-GB" w:eastAsia="de-CH"/>
        </w:rPr>
        <w:t xml:space="preserve">How much turnover would have </w:t>
      </w:r>
      <w:r>
        <w:rPr>
          <w:rFonts w:ascii="Noto Sans" w:eastAsia="Times New Roman" w:hAnsi="Noto Sans" w:cs="Times New Roman"/>
          <w:sz w:val="20"/>
          <w:szCs w:val="24"/>
          <w:lang w:val="en-GB" w:eastAsia="de-CH"/>
        </w:rPr>
        <w:t xml:space="preserve">been </w:t>
      </w:r>
      <w:r w:rsidRPr="00C30CFD">
        <w:rPr>
          <w:rFonts w:ascii="Noto Sans" w:eastAsia="Times New Roman" w:hAnsi="Noto Sans" w:cs="Times New Roman"/>
          <w:sz w:val="20"/>
          <w:szCs w:val="24"/>
          <w:lang w:val="en-GB" w:eastAsia="de-CH"/>
        </w:rPr>
        <w:t>traded at a different price</w:t>
      </w:r>
      <w:r>
        <w:rPr>
          <w:rFonts w:ascii="Noto Sans" w:eastAsia="Times New Roman" w:hAnsi="Noto Sans" w:cs="Times New Roman"/>
          <w:sz w:val="20"/>
          <w:szCs w:val="24"/>
          <w:lang w:val="en-GB" w:eastAsia="de-CH"/>
        </w:rPr>
        <w:t xml:space="preserve"> </w:t>
      </w:r>
      <w:r w:rsidR="00A523D9">
        <w:rPr>
          <w:rFonts w:ascii="Noto Sans" w:eastAsia="Times New Roman" w:hAnsi="Noto Sans" w:cs="Times New Roman"/>
          <w:sz w:val="20"/>
          <w:szCs w:val="24"/>
          <w:lang w:val="en-GB" w:eastAsia="de-CH"/>
        </w:rPr>
        <w:t>for each scenario</w:t>
      </w:r>
      <w:r>
        <w:rPr>
          <w:rFonts w:ascii="Noto Sans" w:eastAsia="Times New Roman" w:hAnsi="Noto Sans" w:cs="Times New Roman"/>
          <w:sz w:val="20"/>
          <w:szCs w:val="24"/>
          <w:lang w:val="en-GB" w:eastAsia="de-CH"/>
        </w:rPr>
        <w:t>?</w:t>
      </w:r>
    </w:p>
    <w:p w14:paraId="216677F6" w14:textId="77777777" w:rsidR="00ED217A" w:rsidRDefault="00ED217A" w:rsidP="00BA1019">
      <w:pPr>
        <w:pStyle w:val="ListParagraph"/>
        <w:numPr>
          <w:ilvl w:val="0"/>
          <w:numId w:val="4"/>
        </w:numPr>
        <w:spacing w:before="120" w:after="120" w:line="25" w:lineRule="atLeast"/>
        <w:contextualSpacing w:val="0"/>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lastRenderedPageBreak/>
        <w:t xml:space="preserve">What is the difference between the turnover executed at </w:t>
      </w:r>
      <w:r w:rsidR="00A523D9">
        <w:rPr>
          <w:rFonts w:ascii="Noto Sans" w:eastAsia="Times New Roman" w:hAnsi="Noto Sans" w:cs="Times New Roman"/>
          <w:sz w:val="20"/>
          <w:szCs w:val="24"/>
          <w:lang w:val="en-GB" w:eastAsia="de-CH"/>
        </w:rPr>
        <w:t xml:space="preserve">the official </w:t>
      </w:r>
      <w:r>
        <w:rPr>
          <w:rFonts w:ascii="Noto Sans" w:eastAsia="Times New Roman" w:hAnsi="Noto Sans" w:cs="Times New Roman"/>
          <w:sz w:val="20"/>
          <w:szCs w:val="24"/>
          <w:lang w:val="en-GB" w:eastAsia="de-CH"/>
        </w:rPr>
        <w:t xml:space="preserve">closing price and the theoretical uncross price </w:t>
      </w:r>
      <w:r w:rsidR="00A523D9">
        <w:rPr>
          <w:rFonts w:ascii="Noto Sans" w:eastAsia="Times New Roman" w:hAnsi="Noto Sans" w:cs="Times New Roman"/>
          <w:sz w:val="20"/>
          <w:szCs w:val="24"/>
          <w:lang w:val="en-GB" w:eastAsia="de-CH"/>
        </w:rPr>
        <w:t>for each</w:t>
      </w:r>
      <w:r>
        <w:rPr>
          <w:rFonts w:ascii="Noto Sans" w:eastAsia="Times New Roman" w:hAnsi="Noto Sans" w:cs="Times New Roman"/>
          <w:sz w:val="20"/>
          <w:szCs w:val="24"/>
          <w:lang w:val="en-GB" w:eastAsia="de-CH"/>
        </w:rPr>
        <w:t xml:space="preserve"> scenario?</w:t>
      </w:r>
      <w:r w:rsidR="00056449">
        <w:rPr>
          <w:rFonts w:ascii="Noto Sans" w:eastAsia="Times New Roman" w:hAnsi="Noto Sans" w:cs="Times New Roman"/>
          <w:sz w:val="20"/>
          <w:szCs w:val="24"/>
          <w:lang w:val="en-GB" w:eastAsia="de-CH"/>
        </w:rPr>
        <w:t xml:space="preserve"> Does the price impact outweigh the costs incurred by the auction trading fees? </w:t>
      </w:r>
      <w:proofErr w:type="gramStart"/>
      <w:r w:rsidR="00056449">
        <w:rPr>
          <w:rFonts w:ascii="Noto Sans" w:eastAsia="Times New Roman" w:hAnsi="Noto Sans" w:cs="Times New Roman"/>
          <w:sz w:val="20"/>
          <w:szCs w:val="24"/>
          <w:lang w:val="en-GB" w:eastAsia="de-CH"/>
        </w:rPr>
        <w:t>Specifically</w:t>
      </w:r>
      <w:proofErr w:type="gramEnd"/>
      <w:r w:rsidR="00056449">
        <w:rPr>
          <w:rFonts w:ascii="Noto Sans" w:eastAsia="Times New Roman" w:hAnsi="Noto Sans" w:cs="Times New Roman"/>
          <w:sz w:val="20"/>
          <w:szCs w:val="24"/>
          <w:lang w:val="en-GB" w:eastAsia="de-CH"/>
        </w:rPr>
        <w:t xml:space="preserve"> what is the average price impact in basis points of each scenario?</w:t>
      </w:r>
    </w:p>
    <w:p w14:paraId="216677F7" w14:textId="77777777" w:rsidR="001501B8" w:rsidRPr="001501B8" w:rsidRDefault="001501B8" w:rsidP="00BA1019">
      <w:pPr>
        <w:spacing w:before="240" w:after="120" w:line="25" w:lineRule="atLeast"/>
        <w:jc w:val="center"/>
        <w:rPr>
          <w:rFonts w:ascii="Noto Sans" w:hAnsi="Noto Sans" w:cs="Noto Sans"/>
          <w:b/>
          <w:snapToGrid w:val="0"/>
          <w:sz w:val="20"/>
          <w:szCs w:val="28"/>
          <w:lang w:val="en-GB" w:eastAsia="de-CH"/>
        </w:rPr>
      </w:pPr>
      <w:r w:rsidRPr="001501B8">
        <w:rPr>
          <w:rFonts w:ascii="Noto Sans" w:hAnsi="Noto Sans" w:cs="Noto Sans"/>
          <w:b/>
          <w:snapToGrid w:val="0"/>
          <w:sz w:val="20"/>
          <w:szCs w:val="28"/>
          <w:lang w:val="en-GB" w:eastAsia="de-CH"/>
        </w:rPr>
        <w:t>2.2.</w:t>
      </w:r>
      <w:r w:rsidR="00ED217A">
        <w:rPr>
          <w:rFonts w:ascii="Noto Sans" w:hAnsi="Noto Sans" w:cs="Noto Sans"/>
          <w:b/>
          <w:snapToGrid w:val="0"/>
          <w:sz w:val="20"/>
          <w:szCs w:val="28"/>
          <w:lang w:val="en-GB" w:eastAsia="de-CH"/>
        </w:rPr>
        <w:t>2</w:t>
      </w:r>
      <w:r w:rsidRPr="001501B8">
        <w:rPr>
          <w:rFonts w:ascii="Noto Sans" w:hAnsi="Noto Sans" w:cs="Noto Sans"/>
          <w:b/>
          <w:snapToGrid w:val="0"/>
          <w:sz w:val="20"/>
          <w:szCs w:val="28"/>
          <w:lang w:val="en-GB" w:eastAsia="de-CH"/>
        </w:rPr>
        <w:t xml:space="preserve"> Price discovery around close</w:t>
      </w:r>
    </w:p>
    <w:p w14:paraId="216677F8" w14:textId="77777777"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 xml:space="preserve">We first compute summary statistics of the auction price dislocation, defined as the change between the closing price and the midpoint price recorded just before the end of continuous trading aka start of </w:t>
      </w:r>
      <w:r w:rsidR="00ED217A">
        <w:rPr>
          <w:rFonts w:ascii="Noto Sans" w:eastAsia="Times New Roman" w:hAnsi="Noto Sans" w:cs="Noto Sans"/>
          <w:sz w:val="20"/>
          <w:szCs w:val="20"/>
          <w:lang w:val="en-GB" w:eastAsia="de-CH"/>
        </w:rPr>
        <w:t xml:space="preserve">the </w:t>
      </w:r>
      <w:r w:rsidRPr="001501B8">
        <w:rPr>
          <w:rFonts w:ascii="Noto Sans" w:eastAsia="Times New Roman" w:hAnsi="Noto Sans" w:cs="Noto Sans"/>
          <w:sz w:val="20"/>
          <w:szCs w:val="20"/>
          <w:lang w:val="en-GB" w:eastAsia="de-CH"/>
        </w:rPr>
        <w:t>closing auction phase. We standardize this measure by (a) the midpoint price and (b) the spread computed both just before the end of continuous trading, respectively.</w:t>
      </w:r>
    </w:p>
    <w:p w14:paraId="216677F9" w14:textId="77777777"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Mathematically, we compute the auction price dislocation</w:t>
      </w:r>
      <w:r w:rsidR="00ED217A">
        <w:rPr>
          <w:rFonts w:ascii="Noto Sans" w:eastAsia="Times New Roman" w:hAnsi="Noto Sans" w:cs="Noto Sans"/>
          <w:sz w:val="20"/>
          <w:szCs w:val="20"/>
          <w:lang w:val="en-GB" w:eastAsia="de-CH"/>
        </w:rPr>
        <w:t xml:space="preserve"> as</w:t>
      </w:r>
    </w:p>
    <w:p w14:paraId="216677FA" w14:textId="77777777"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(1a)</w:t>
      </w:r>
      <m:oMath>
        <m:f>
          <m:fPr>
            <m:ctrlPr>
              <w:rPr>
                <w:rFonts w:ascii="Cambria Math" w:eastAsia="Times New Roman" w:hAnsi="Cambria Math" w:cs="Noto Sans"/>
                <w:i/>
                <w:sz w:val="20"/>
                <w:szCs w:val="20"/>
                <w:lang w:val="en-GB" w:eastAsia="de-CH"/>
              </w:rPr>
            </m:ctrlPr>
          </m:fPr>
          <m:num>
            <m:sSub>
              <m:sSubPr>
                <m:ctrlPr>
                  <w:rPr>
                    <w:rFonts w:ascii="Cambria Math" w:eastAsia="Times New Roman" w:hAnsi="Cambria Math" w:cs="Noto Sans"/>
                    <w:i/>
                    <w:sz w:val="20"/>
                    <w:szCs w:val="20"/>
                    <w:lang w:val="en-GB" w:eastAsia="de-CH"/>
                  </w:rPr>
                </m:ctrlPr>
              </m:sSubPr>
              <m:e>
                <w:proofErr w:type="spellStart"/>
                <m:r>
                  <m:rPr>
                    <m:nor/>
                  </m:rPr>
                  <w:rPr>
                    <w:rFonts w:ascii="Cambria Math" w:eastAsia="Times New Roman" w:hAnsi="Cambria Math" w:cs="Noto Sans"/>
                    <w:sz w:val="20"/>
                    <w:szCs w:val="20"/>
                    <w:lang w:val="en-GB" w:eastAsia="de-CH"/>
                  </w:rPr>
                  <m:t>close_price</m:t>
                </m:r>
                <w:proofErr w:type="spellEnd"/>
              </m:e>
              <m:sub>
                <m:r>
                  <w:rPr>
                    <w:rFonts w:ascii="Cambria Math" w:eastAsia="Times New Roman" w:hAnsi="Cambria Math" w:cs="Noto Sans"/>
                    <w:sz w:val="20"/>
                    <w:szCs w:val="20"/>
                    <w:lang w:val="en-GB" w:eastAsia="de-CH"/>
                  </w:rPr>
                  <m:t>t</m:t>
                </m:r>
              </m:sub>
            </m:sSub>
            <m:r>
              <w:rPr>
                <w:rFonts w:ascii="Cambria Math" w:eastAsia="Times New Roman" w:hAnsi="Cambria Math" w:cs="Noto Sans"/>
                <w:sz w:val="20"/>
                <w:szCs w:val="20"/>
                <w:lang w:val="en-GB" w:eastAsia="de-CH"/>
              </w:rPr>
              <m:t>-</m:t>
            </m:r>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mid_price</m:t>
                </m:r>
              </m:e>
              <m:sub>
                <m:r>
                  <w:rPr>
                    <w:rFonts w:ascii="Cambria Math" w:eastAsia="Times New Roman" w:hAnsi="Cambria Math" w:cs="Noto Sans"/>
                    <w:sz w:val="20"/>
                    <w:szCs w:val="20"/>
                    <w:lang w:val="en-GB" w:eastAsia="de-CH"/>
                  </w:rPr>
                  <m:t>t-1</m:t>
                </m:r>
              </m:sub>
            </m:sSub>
          </m:num>
          <m:den>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mid_price</m:t>
                </m:r>
              </m:e>
              <m:sub>
                <m:r>
                  <w:rPr>
                    <w:rFonts w:ascii="Cambria Math" w:eastAsia="Times New Roman" w:hAnsi="Cambria Math" w:cs="Noto Sans"/>
                    <w:sz w:val="20"/>
                    <w:szCs w:val="20"/>
                    <w:lang w:val="en-GB" w:eastAsia="de-CH"/>
                  </w:rPr>
                  <m:t>t-1</m:t>
                </m:r>
              </m:sub>
            </m:sSub>
          </m:den>
        </m:f>
      </m:oMath>
    </w:p>
    <w:p w14:paraId="216677FB" w14:textId="77777777"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(1b)</w:t>
      </w:r>
      <m:oMath>
        <m:f>
          <m:fPr>
            <m:ctrlPr>
              <w:rPr>
                <w:rFonts w:ascii="Cambria Math" w:eastAsia="Times New Roman" w:hAnsi="Cambria Math" w:cs="Noto Sans"/>
                <w:i/>
                <w:sz w:val="20"/>
                <w:szCs w:val="20"/>
                <w:lang w:val="en-GB" w:eastAsia="de-CH"/>
              </w:rPr>
            </m:ctrlPr>
          </m:fPr>
          <m:num>
            <m:sSub>
              <m:sSubPr>
                <m:ctrlPr>
                  <w:rPr>
                    <w:rFonts w:ascii="Cambria Math" w:eastAsia="Times New Roman" w:hAnsi="Cambria Math" w:cs="Noto Sans"/>
                    <w:i/>
                    <w:sz w:val="20"/>
                    <w:szCs w:val="20"/>
                    <w:lang w:val="en-GB" w:eastAsia="de-CH"/>
                  </w:rPr>
                </m:ctrlPr>
              </m:sSubPr>
              <m:e>
                <w:proofErr w:type="spellStart"/>
                <m:r>
                  <m:rPr>
                    <m:nor/>
                  </m:rPr>
                  <w:rPr>
                    <w:rFonts w:ascii="Cambria Math" w:eastAsia="Times New Roman" w:hAnsi="Cambria Math" w:cs="Noto Sans"/>
                    <w:sz w:val="20"/>
                    <w:szCs w:val="20"/>
                    <w:lang w:val="en-GB" w:eastAsia="de-CH"/>
                  </w:rPr>
                  <m:t>close_price</m:t>
                </m:r>
                <w:proofErr w:type="spellEnd"/>
              </m:e>
              <m:sub>
                <m:r>
                  <w:rPr>
                    <w:rFonts w:ascii="Cambria Math" w:eastAsia="Times New Roman" w:hAnsi="Cambria Math" w:cs="Noto Sans"/>
                    <w:sz w:val="20"/>
                    <w:szCs w:val="20"/>
                    <w:lang w:val="en-GB" w:eastAsia="de-CH"/>
                  </w:rPr>
                  <m:t>t</m:t>
                </m:r>
              </m:sub>
            </m:sSub>
            <m:r>
              <w:rPr>
                <w:rFonts w:ascii="Cambria Math" w:eastAsia="Times New Roman" w:hAnsi="Cambria Math" w:cs="Noto Sans"/>
                <w:sz w:val="20"/>
                <w:szCs w:val="20"/>
                <w:lang w:val="en-GB" w:eastAsia="de-CH"/>
              </w:rPr>
              <m:t>-</m:t>
            </m:r>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mid_price</m:t>
                </m:r>
              </m:e>
              <m:sub>
                <m:r>
                  <w:rPr>
                    <w:rFonts w:ascii="Cambria Math" w:eastAsia="Times New Roman" w:hAnsi="Cambria Math" w:cs="Noto Sans"/>
                    <w:sz w:val="20"/>
                    <w:szCs w:val="20"/>
                    <w:lang w:val="en-GB" w:eastAsia="de-CH"/>
                  </w:rPr>
                  <m:t>t-1</m:t>
                </m:r>
              </m:sub>
            </m:sSub>
          </m:num>
          <m:den>
            <m:sSub>
              <m:sSubPr>
                <m:ctrlPr>
                  <w:rPr>
                    <w:rFonts w:ascii="Cambria Math" w:eastAsia="Times New Roman" w:hAnsi="Cambria Math" w:cs="Noto Sans"/>
                    <w:i/>
                    <w:sz w:val="20"/>
                    <w:szCs w:val="20"/>
                    <w:lang w:val="en-GB" w:eastAsia="de-CH"/>
                  </w:rPr>
                </m:ctrlPr>
              </m:sSubPr>
              <m:e>
                <m:r>
                  <m:rPr>
                    <m:nor/>
                  </m:rPr>
                  <w:rPr>
                    <w:rFonts w:ascii="Cambria Math" w:eastAsia="Times New Roman" w:hAnsi="Cambria Math" w:cs="Noto Sans"/>
                    <w:sz w:val="20"/>
                    <w:szCs w:val="20"/>
                    <w:lang w:val="en-GB" w:eastAsia="de-CH"/>
                  </w:rPr>
                  <m:t>spread</m:t>
                </m:r>
              </m:e>
              <m:sub>
                <m:r>
                  <w:rPr>
                    <w:rFonts w:ascii="Cambria Math" w:eastAsia="Times New Roman" w:hAnsi="Cambria Math" w:cs="Noto Sans"/>
                    <w:sz w:val="20"/>
                    <w:szCs w:val="20"/>
                    <w:lang w:val="en-GB" w:eastAsia="de-CH"/>
                  </w:rPr>
                  <m:t>t-1</m:t>
                </m:r>
              </m:sub>
            </m:sSub>
          </m:den>
        </m:f>
      </m:oMath>
    </w:p>
    <w:p w14:paraId="216677FC" w14:textId="77777777" w:rsidR="001501B8" w:rsidRPr="001501B8" w:rsidRDefault="00ED217A" w:rsidP="00BA1019">
      <w:pPr>
        <w:spacing w:before="120" w:after="120" w:line="25" w:lineRule="atLeast"/>
        <w:jc w:val="both"/>
        <w:rPr>
          <w:rFonts w:ascii="Noto Sans" w:eastAsia="Times New Roman" w:hAnsi="Noto Sans" w:cs="Noto Sans"/>
          <w:sz w:val="20"/>
          <w:szCs w:val="20"/>
          <w:lang w:val="en-GB" w:eastAsia="de-CH"/>
        </w:rPr>
      </w:pPr>
      <w:r>
        <w:rPr>
          <w:rFonts w:ascii="Noto Sans" w:eastAsia="Times New Roman" w:hAnsi="Noto Sans" w:cs="Noto Sans"/>
          <w:sz w:val="20"/>
          <w:szCs w:val="20"/>
          <w:lang w:val="en-GB" w:eastAsia="de-CH"/>
        </w:rPr>
        <w:t>w</w:t>
      </w:r>
      <w:r w:rsidR="001501B8" w:rsidRPr="001501B8">
        <w:rPr>
          <w:rFonts w:ascii="Noto Sans" w:eastAsia="Times New Roman" w:hAnsi="Noto Sans" w:cs="Noto Sans"/>
          <w:sz w:val="20"/>
          <w:szCs w:val="20"/>
          <w:lang w:val="en-GB" w:eastAsia="de-CH"/>
        </w:rPr>
        <w:t>here</w:t>
      </w:r>
      <w:r>
        <w:rPr>
          <w:rFonts w:ascii="Noto Sans" w:eastAsia="Times New Roman" w:hAnsi="Noto Sans" w:cs="Noto Sans"/>
          <w:sz w:val="20"/>
          <w:szCs w:val="20"/>
          <w:lang w:val="en-GB" w:eastAsia="de-CH"/>
        </w:rPr>
        <w:t xml:space="preserve"> </w:t>
      </w:r>
      <m:oMath>
        <m:sSub>
          <m:sSubPr>
            <m:ctrlPr>
              <w:rPr>
                <w:rFonts w:ascii="Cambria Math" w:eastAsia="Times New Roman" w:hAnsi="Cambria Math" w:cs="Noto Sans"/>
                <w:i/>
                <w:sz w:val="20"/>
                <w:szCs w:val="20"/>
                <w:lang w:val="en-GB" w:eastAsia="de-CH"/>
              </w:rPr>
            </m:ctrlPr>
          </m:sSubPr>
          <m:e>
            <w:proofErr w:type="spellStart"/>
            <m:r>
              <m:rPr>
                <m:nor/>
              </m:rPr>
              <w:rPr>
                <w:rFonts w:ascii="Cambria Math" w:eastAsia="Times New Roman" w:hAnsi="Cambria Math" w:cs="Noto Sans"/>
                <w:sz w:val="20"/>
                <w:szCs w:val="20"/>
                <w:lang w:val="en-GB" w:eastAsia="de-CH"/>
              </w:rPr>
              <m:t>close_price</m:t>
            </m:r>
            <w:proofErr w:type="spellEnd"/>
          </m:e>
          <m:sub>
            <m:r>
              <w:rPr>
                <w:rFonts w:ascii="Cambria Math" w:eastAsia="Times New Roman" w:hAnsi="Cambria Math" w:cs="Noto Sans"/>
                <w:sz w:val="20"/>
                <w:szCs w:val="20"/>
                <w:lang w:val="en-GB" w:eastAsia="de-CH"/>
              </w:rPr>
              <m:t>t</m:t>
            </m:r>
          </m:sub>
        </m:sSub>
      </m:oMath>
      <w:r>
        <w:rPr>
          <w:rFonts w:ascii="Noto Sans" w:eastAsia="Times New Roman" w:hAnsi="Noto Sans" w:cs="Noto Sans"/>
          <w:sz w:val="20"/>
          <w:szCs w:val="20"/>
          <w:lang w:val="en-GB" w:eastAsia="de-CH"/>
        </w:rPr>
        <w:t>corresponds to the official closing price of the exchange and</w:t>
      </w:r>
      <w:r w:rsidR="001501B8" w:rsidRPr="001501B8">
        <w:rPr>
          <w:rFonts w:ascii="Noto Sans" w:eastAsia="Times New Roman" w:hAnsi="Noto Sans" w:cs="Noto Sans"/>
          <w:sz w:val="20"/>
          <w:szCs w:val="20"/>
          <w:lang w:val="en-GB" w:eastAsia="de-CH"/>
        </w:rPr>
        <w:t xml:space="preserve"> </w:t>
      </w:r>
      <m:oMath>
        <m:sSub>
          <m:sSubPr>
            <m:ctrlPr>
              <w:rPr>
                <w:rFonts w:ascii="Cambria Math" w:eastAsia="Times New Roman" w:hAnsi="Cambria Math" w:cs="Noto Sans"/>
                <w:i/>
                <w:sz w:val="20"/>
                <w:szCs w:val="20"/>
                <w:lang w:val="en-GB" w:eastAsia="de-CH"/>
              </w:rPr>
            </m:ctrlPr>
          </m:sSubPr>
          <m:e>
            <w:proofErr w:type="spellStart"/>
            <m:r>
              <m:rPr>
                <m:nor/>
              </m:rPr>
              <w:rPr>
                <w:rFonts w:ascii="Cambria Math" w:eastAsia="Times New Roman" w:hAnsi="Cambria Math" w:cs="Noto Sans"/>
                <w:sz w:val="20"/>
                <w:szCs w:val="20"/>
                <w:lang w:val="en-GB" w:eastAsia="de-CH"/>
              </w:rPr>
              <m:t>mid_price</m:t>
            </m:r>
            <w:proofErr w:type="spellEnd"/>
          </m:e>
          <m:sub>
            <m:r>
              <w:rPr>
                <w:rFonts w:ascii="Cambria Math" w:eastAsia="Times New Roman" w:hAnsi="Cambria Math" w:cs="Noto Sans"/>
                <w:sz w:val="20"/>
                <w:szCs w:val="20"/>
                <w:lang w:val="en-GB" w:eastAsia="de-CH"/>
              </w:rPr>
              <m:t>t-1</m:t>
            </m:r>
          </m:sub>
        </m:sSub>
      </m:oMath>
      <w:r w:rsidR="001501B8" w:rsidRPr="001501B8">
        <w:rPr>
          <w:rFonts w:ascii="Noto Sans" w:eastAsia="Times New Roman" w:hAnsi="Noto Sans" w:cs="Noto Sans"/>
          <w:sz w:val="20"/>
          <w:szCs w:val="20"/>
          <w:lang w:val="en-GB" w:eastAsia="de-CH"/>
        </w:rPr>
        <w:t xml:space="preserve"> corresponds to the midpoint price observed just before the start of the auction</w:t>
      </w:r>
      <w:r>
        <w:rPr>
          <w:rFonts w:ascii="Noto Sans" w:eastAsia="Times New Roman" w:hAnsi="Noto Sans" w:cs="Noto Sans"/>
          <w:sz w:val="20"/>
          <w:szCs w:val="20"/>
          <w:lang w:val="en-GB" w:eastAsia="de-CH"/>
        </w:rPr>
        <w:t xml:space="preserve"> phase</w:t>
      </w:r>
      <w:r w:rsidR="001501B8" w:rsidRPr="001501B8">
        <w:rPr>
          <w:rFonts w:ascii="Noto Sans" w:eastAsia="Times New Roman" w:hAnsi="Noto Sans" w:cs="Noto Sans"/>
          <w:sz w:val="20"/>
          <w:szCs w:val="20"/>
          <w:lang w:val="en-GB" w:eastAsia="de-CH"/>
        </w:rPr>
        <w:t>, which starts with the activation of at-the-close orders.</w:t>
      </w:r>
      <w:r>
        <w:rPr>
          <w:rFonts w:ascii="Noto Sans" w:eastAsia="Times New Roman" w:hAnsi="Noto Sans" w:cs="Noto Sans"/>
          <w:sz w:val="20"/>
          <w:szCs w:val="20"/>
          <w:lang w:val="en-GB" w:eastAsia="de-CH"/>
        </w:rPr>
        <w:t xml:space="preserve"> </w:t>
      </w:r>
      <w:r w:rsidRPr="00ED217A">
        <w:rPr>
          <w:rFonts w:ascii="Noto Sans" w:eastAsia="Times New Roman" w:hAnsi="Noto Sans" w:cs="Noto Sans"/>
          <w:sz w:val="20"/>
          <w:szCs w:val="20"/>
          <w:lang w:val="en-GB" w:eastAsia="de-CH"/>
        </w:rPr>
        <w:t xml:space="preserve">Stated differently, at-the-close orders do not contribute to the formation of the </w:t>
      </w:r>
      <m:oMath>
        <m:sSub>
          <m:sSubPr>
            <m:ctrlPr>
              <w:rPr>
                <w:rFonts w:ascii="Cambria Math" w:eastAsia="Times New Roman" w:hAnsi="Cambria Math" w:cs="Noto Sans"/>
                <w:sz w:val="20"/>
                <w:szCs w:val="20"/>
                <w:lang w:val="en-GB" w:eastAsia="de-CH"/>
              </w:rPr>
            </m:ctrlPr>
          </m:sSubPr>
          <m:e>
            <w:proofErr w:type="spellStart"/>
            <m:r>
              <m:rPr>
                <m:nor/>
              </m:rPr>
              <w:rPr>
                <w:rFonts w:ascii="Noto Sans" w:eastAsia="Times New Roman" w:hAnsi="Noto Sans" w:cs="Noto Sans"/>
                <w:sz w:val="20"/>
                <w:szCs w:val="20"/>
                <w:lang w:val="en-GB" w:eastAsia="de-CH"/>
              </w:rPr>
              <m:t>mid_price</m:t>
            </m:r>
            <w:proofErr w:type="spellEnd"/>
          </m:e>
          <m:sub>
            <m:r>
              <m:rPr>
                <m:sty m:val="p"/>
              </m:rPr>
              <w:rPr>
                <w:rFonts w:ascii="Cambria Math" w:eastAsia="Times New Roman" w:hAnsi="Cambria Math" w:cs="Noto Sans"/>
                <w:sz w:val="20"/>
                <w:szCs w:val="20"/>
                <w:lang w:val="en-GB" w:eastAsia="de-CH"/>
              </w:rPr>
              <m:t>t-1</m:t>
            </m:r>
          </m:sub>
        </m:sSub>
      </m:oMath>
      <w:r w:rsidRPr="00ED217A">
        <w:rPr>
          <w:rFonts w:ascii="Noto Sans" w:eastAsia="Times New Roman" w:hAnsi="Noto Sans" w:cs="Noto Sans"/>
          <w:sz w:val="20"/>
          <w:szCs w:val="20"/>
          <w:lang w:val="en-GB" w:eastAsia="de-CH"/>
        </w:rPr>
        <w:t>.</w:t>
      </w:r>
    </w:p>
    <w:p w14:paraId="216677FD" w14:textId="77777777"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The auction price dislocation measures the price change during the closing auction phase.</w:t>
      </w:r>
    </w:p>
    <w:p w14:paraId="216677FE" w14:textId="77777777"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What drives price discovery in the auction phase? To estimate the extent of price discovery, we estimate a panel regression of auction price dislocation on the following explanatory variables</w:t>
      </w:r>
    </w:p>
    <w:p w14:paraId="216677FF" w14:textId="77777777"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(2)</w:t>
      </w:r>
      <w:r w:rsidRPr="001501B8">
        <w:rPr>
          <w:rFonts w:ascii="Noto Sans" w:eastAsia="Times New Roman" w:hAnsi="Noto Sans" w:cs="Noto Sans"/>
          <w:sz w:val="20"/>
          <w:szCs w:val="20"/>
          <w:lang w:val="en-GB" w:eastAsia="de-CH"/>
        </w:rPr>
        <w:tab/>
        <w:t xml:space="preserve">Volume order imbalance at the midpoint price </w:t>
      </w:r>
      <w:r w:rsidR="00ED217A">
        <w:rPr>
          <w:rFonts w:ascii="Noto Sans" w:eastAsia="Times New Roman" w:hAnsi="Noto Sans" w:cs="Noto Sans"/>
          <w:sz w:val="20"/>
          <w:szCs w:val="20"/>
          <w:lang w:val="en-GB" w:eastAsia="de-CH"/>
        </w:rPr>
        <w:t xml:space="preserve">just after the </w:t>
      </w:r>
      <w:r w:rsidRPr="001501B8">
        <w:rPr>
          <w:rFonts w:ascii="Noto Sans" w:eastAsia="Times New Roman" w:hAnsi="Noto Sans" w:cs="Noto Sans"/>
          <w:sz w:val="20"/>
          <w:szCs w:val="20"/>
          <w:lang w:val="en-GB" w:eastAsia="de-CH"/>
        </w:rPr>
        <w:t xml:space="preserve">start of the closing auction, where imbalance is computed as </w:t>
      </w:r>
      <m:oMath>
        <m:f>
          <m:fPr>
            <m:ctrlPr>
              <w:rPr>
                <w:rFonts w:ascii="Cambria Math" w:eastAsia="Times New Roman" w:hAnsi="Cambria Math" w:cs="Noto Sans"/>
                <w:sz w:val="20"/>
                <w:szCs w:val="20"/>
                <w:lang w:val="en-GB" w:eastAsia="de-CH"/>
              </w:rPr>
            </m:ctrlPr>
          </m:fPr>
          <m:num>
            <w:proofErr w:type="spellStart"/>
            <m:r>
              <m:rPr>
                <m:nor/>
              </m:rPr>
              <w:rPr>
                <w:rFonts w:ascii="Noto Sans" w:eastAsia="Times New Roman" w:hAnsi="Noto Sans" w:cs="Noto Sans"/>
                <w:sz w:val="20"/>
                <w:szCs w:val="20"/>
                <w:lang w:val="en-GB" w:eastAsia="de-CH"/>
              </w:rPr>
              <m:t>bid_volume</m:t>
            </m:r>
            <w:proofErr w:type="spellEnd"/>
            <m:r>
              <m:rPr>
                <m:nor/>
              </m:rPr>
              <w:rPr>
                <w:rFonts w:ascii="Cambria Math" w:eastAsia="Times New Roman" w:hAnsi="Noto Sans" w:cs="Noto Sans"/>
                <w:sz w:val="20"/>
                <w:szCs w:val="20"/>
                <w:lang w:val="en-GB" w:eastAsia="de-CH"/>
              </w:rPr>
              <m:t xml:space="preserve"> </m:t>
            </m:r>
            <m:r>
              <m:rPr>
                <m:sty m:val="p"/>
              </m:rPr>
              <w:rPr>
                <w:rFonts w:ascii="Cambria Math" w:eastAsia="Times New Roman" w:hAnsi="Cambria Math" w:cs="Noto Sans"/>
                <w:sz w:val="20"/>
                <w:szCs w:val="20"/>
                <w:lang w:val="en-GB" w:eastAsia="de-CH"/>
              </w:rPr>
              <m:t>-</m:t>
            </m:r>
            <m:r>
              <m:rPr>
                <m:nor/>
              </m:rPr>
              <w:rPr>
                <w:rFonts w:ascii="Noto Sans" w:eastAsia="Times New Roman" w:hAnsi="Noto Sans" w:cs="Noto Sans"/>
                <w:sz w:val="20"/>
                <w:szCs w:val="20"/>
                <w:lang w:val="en-GB" w:eastAsia="de-CH"/>
              </w:rPr>
              <m:t>ask_volume</m:t>
            </m:r>
            <m:r>
              <m:rPr>
                <m:nor/>
              </m:rPr>
              <w:rPr>
                <w:rFonts w:ascii="Cambria Math" w:eastAsia="Times New Roman" w:hAnsi="Noto Sans" w:cs="Noto Sans"/>
                <w:sz w:val="20"/>
                <w:szCs w:val="20"/>
                <w:lang w:val="en-GB" w:eastAsia="de-CH"/>
              </w:rPr>
              <m:t xml:space="preserve"> </m:t>
            </m:r>
          </m:num>
          <m:den>
            <w:proofErr w:type="spellStart"/>
            <m:r>
              <m:rPr>
                <m:nor/>
              </m:rPr>
              <w:rPr>
                <w:rFonts w:ascii="Noto Sans" w:eastAsia="Times New Roman" w:hAnsi="Noto Sans" w:cs="Noto Sans"/>
                <w:sz w:val="20"/>
                <w:szCs w:val="20"/>
                <w:lang w:val="en-GB" w:eastAsia="de-CH"/>
              </w:rPr>
              <m:t>bid_volume</m:t>
            </m:r>
            <w:proofErr w:type="spellEnd"/>
            <m:r>
              <m:rPr>
                <m:nor/>
              </m:rPr>
              <w:rPr>
                <w:rFonts w:ascii="Cambria Math" w:eastAsia="Times New Roman" w:hAnsi="Noto Sans" w:cs="Noto Sans"/>
                <w:sz w:val="20"/>
                <w:szCs w:val="20"/>
                <w:lang w:val="en-GB" w:eastAsia="de-CH"/>
              </w:rPr>
              <m:t xml:space="preserve"> </m:t>
            </m:r>
            <m:r>
              <m:rPr>
                <m:sty m:val="p"/>
              </m:rPr>
              <w:rPr>
                <w:rFonts w:ascii="Cambria Math" w:eastAsia="Times New Roman" w:hAnsi="Cambria Math" w:cs="Noto Sans"/>
                <w:sz w:val="20"/>
                <w:szCs w:val="20"/>
                <w:lang w:val="en-GB" w:eastAsia="de-CH"/>
              </w:rPr>
              <m:t>+</m:t>
            </m:r>
            <m:r>
              <m:rPr>
                <m:nor/>
              </m:rPr>
              <w:rPr>
                <w:rFonts w:ascii="Noto Sans" w:eastAsia="Times New Roman" w:hAnsi="Noto Sans" w:cs="Noto Sans"/>
                <w:sz w:val="20"/>
                <w:szCs w:val="20"/>
                <w:lang w:val="en-GB" w:eastAsia="de-CH"/>
              </w:rPr>
              <m:t>ask_volume</m:t>
            </m:r>
            <m:r>
              <m:rPr>
                <m:nor/>
              </m:rPr>
              <w:rPr>
                <w:rFonts w:ascii="Cambria Math" w:eastAsia="Times New Roman" w:hAnsi="Noto Sans" w:cs="Noto Sans"/>
                <w:sz w:val="20"/>
                <w:szCs w:val="20"/>
                <w:lang w:val="en-GB" w:eastAsia="de-CH"/>
              </w:rPr>
              <m:t xml:space="preserve"> </m:t>
            </m:r>
          </m:den>
        </m:f>
      </m:oMath>
    </w:p>
    <w:p w14:paraId="21667800" w14:textId="77777777"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(3)</w:t>
      </w:r>
      <w:r w:rsidRPr="001501B8">
        <w:rPr>
          <w:rFonts w:ascii="Noto Sans" w:eastAsia="Times New Roman" w:hAnsi="Noto Sans" w:cs="Noto Sans"/>
          <w:sz w:val="20"/>
          <w:szCs w:val="20"/>
          <w:lang w:val="en-GB" w:eastAsia="de-CH"/>
        </w:rPr>
        <w:tab/>
        <w:t xml:space="preserve">Closing auction turnover share computed as the ratio </w:t>
      </w:r>
      <w:r w:rsidR="00ED217A">
        <w:rPr>
          <w:rFonts w:ascii="Noto Sans" w:eastAsia="Times New Roman" w:hAnsi="Noto Sans" w:cs="Noto Sans"/>
          <w:sz w:val="20"/>
          <w:szCs w:val="20"/>
          <w:lang w:val="en-GB" w:eastAsia="de-CH"/>
        </w:rPr>
        <w:t>of</w:t>
      </w:r>
      <w:r w:rsidRPr="001501B8">
        <w:rPr>
          <w:rFonts w:ascii="Noto Sans" w:eastAsia="Times New Roman" w:hAnsi="Noto Sans" w:cs="Noto Sans"/>
          <w:sz w:val="20"/>
          <w:szCs w:val="20"/>
          <w:lang w:val="en-GB" w:eastAsia="de-CH"/>
        </w:rPr>
        <w:t xml:space="preserve"> closing auction turnover divided by total turnover at SIX.</w:t>
      </w:r>
    </w:p>
    <w:p w14:paraId="21667801" w14:textId="77777777"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(4)</w:t>
      </w:r>
      <w:r w:rsidRPr="001501B8">
        <w:rPr>
          <w:rFonts w:ascii="Noto Sans" w:eastAsia="Times New Roman" w:hAnsi="Noto Sans" w:cs="Noto Sans"/>
          <w:sz w:val="20"/>
          <w:szCs w:val="20"/>
          <w:lang w:val="en-GB" w:eastAsia="de-CH"/>
        </w:rPr>
        <w:tab/>
        <w:t>Return during the last 15 minutes of continuous trading constructed from midpoint prices</w:t>
      </w:r>
    </w:p>
    <w:p w14:paraId="21667802" w14:textId="77777777"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(5)</w:t>
      </w:r>
      <w:r w:rsidRPr="001501B8">
        <w:rPr>
          <w:rFonts w:ascii="Noto Sans" w:eastAsia="Times New Roman" w:hAnsi="Noto Sans" w:cs="Noto Sans"/>
          <w:sz w:val="20"/>
          <w:szCs w:val="20"/>
          <w:lang w:val="en-GB" w:eastAsia="de-CH"/>
        </w:rPr>
        <w:tab/>
        <w:t>Stock-fixed effect</w:t>
      </w:r>
    </w:p>
    <w:p w14:paraId="21667803" w14:textId="77777777"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(6)</w:t>
      </w:r>
      <w:r w:rsidRPr="001501B8">
        <w:rPr>
          <w:rFonts w:ascii="Noto Sans" w:eastAsia="Times New Roman" w:hAnsi="Noto Sans" w:cs="Noto Sans"/>
          <w:sz w:val="20"/>
          <w:szCs w:val="20"/>
          <w:lang w:val="en-GB" w:eastAsia="de-CH"/>
        </w:rPr>
        <w:tab/>
        <w:t>Day-fixed effect</w:t>
      </w:r>
    </w:p>
    <w:p w14:paraId="21667804" w14:textId="77777777"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In a first robustness check, we replace the auction dislocation measure by the weighted price contribution (WPC) as originally proposed by Barclay and Warner (1993) and defined as</w:t>
      </w:r>
    </w:p>
    <w:p w14:paraId="21667805" w14:textId="77777777" w:rsidR="001501B8" w:rsidRPr="001501B8" w:rsidRDefault="001501B8" w:rsidP="00BA1019">
      <w:pPr>
        <w:spacing w:before="120" w:after="120" w:line="25" w:lineRule="atLeast"/>
        <w:ind w:left="714" w:hanging="357"/>
        <w:jc w:val="both"/>
        <w:rPr>
          <w:rFonts w:ascii="Noto Sans" w:eastAsia="Times New Roman" w:hAnsi="Noto Sans" w:cs="Noto Sans"/>
          <w:sz w:val="20"/>
          <w:szCs w:val="20"/>
          <w:lang w:val="pl-PL" w:eastAsia="de-CH"/>
        </w:rPr>
      </w:pPr>
      <w:r w:rsidRPr="001501B8">
        <w:rPr>
          <w:rFonts w:ascii="Noto Sans" w:eastAsia="Times New Roman" w:hAnsi="Noto Sans" w:cs="Noto Sans"/>
          <w:sz w:val="20"/>
          <w:szCs w:val="20"/>
          <w:lang w:val="pl-PL" w:eastAsia="de-CH"/>
        </w:rPr>
        <w:t>(1c)</w:t>
      </w:r>
      <m:oMath>
        <m:sSub>
          <m:sSubPr>
            <m:ctrlPr>
              <w:rPr>
                <w:rFonts w:ascii="Cambria Math" w:eastAsia="Times New Roman" w:hAnsi="Cambria Math" w:cs="Noto Sans"/>
                <w:sz w:val="20"/>
                <w:szCs w:val="20"/>
                <w:lang w:val="en-GB" w:eastAsia="de-CH"/>
              </w:rPr>
            </m:ctrlPr>
          </m:sSubPr>
          <m:e>
            <m:r>
              <m:rPr>
                <m:nor/>
              </m:rPr>
              <w:rPr>
                <w:rFonts w:ascii="Noto Sans" w:eastAsia="Times New Roman" w:hAnsi="Noto Sans" w:cs="Noto Sans"/>
                <w:sz w:val="20"/>
                <w:szCs w:val="20"/>
                <w:lang w:val="pl-PL" w:eastAsia="de-CH"/>
              </w:rPr>
              <m:t>WPC</m:t>
            </m:r>
          </m:e>
          <m:sub>
            <m:r>
              <w:rPr>
                <w:rFonts w:ascii="Cambria Math" w:eastAsia="Times New Roman" w:hAnsi="Cambria Math" w:cs="Noto Sans"/>
                <w:sz w:val="20"/>
                <w:szCs w:val="20"/>
                <w:lang w:val="en-GB" w:eastAsia="de-CH"/>
              </w:rPr>
              <m:t>s</m:t>
            </m:r>
          </m:sub>
        </m:sSub>
        <m:r>
          <m:rPr>
            <m:sty m:val="p"/>
          </m:rPr>
          <w:rPr>
            <w:rFonts w:ascii="Cambria Math" w:eastAsia="Times New Roman" w:hAnsi="Cambria Math" w:cs="Noto Sans"/>
            <w:sz w:val="20"/>
            <w:szCs w:val="20"/>
            <w:lang w:val="pl-PL" w:eastAsia="de-CH"/>
          </w:rPr>
          <m:t xml:space="preserve"> =</m:t>
        </m:r>
        <m:nary>
          <m:naryPr>
            <m:chr m:val="∑"/>
            <m:limLoc m:val="undOvr"/>
            <m:supHide m:val="1"/>
            <m:ctrlPr>
              <w:rPr>
                <w:rFonts w:ascii="Cambria Math" w:eastAsia="Times New Roman" w:hAnsi="Cambria Math" w:cs="Noto Sans"/>
                <w:sz w:val="20"/>
                <w:szCs w:val="20"/>
                <w:lang w:val="en-GB" w:eastAsia="de-CH"/>
              </w:rPr>
            </m:ctrlPr>
          </m:naryPr>
          <m:sub>
            <m:r>
              <w:rPr>
                <w:rFonts w:ascii="Cambria Math" w:eastAsia="Times New Roman" w:hAnsi="Cambria Math" w:cs="Noto Sans"/>
                <w:sz w:val="20"/>
                <w:szCs w:val="20"/>
                <w:lang w:val="en-GB" w:eastAsia="de-CH"/>
              </w:rPr>
              <m:t>t</m:t>
            </m:r>
          </m:sub>
          <m:sup/>
          <m:e>
            <m:d>
              <m:dPr>
                <m:ctrlPr>
                  <w:rPr>
                    <w:rFonts w:ascii="Cambria Math" w:eastAsia="Times New Roman" w:hAnsi="Cambria Math" w:cs="Noto Sans"/>
                    <w:sz w:val="20"/>
                    <w:szCs w:val="20"/>
                    <w:lang w:val="en-GB" w:eastAsia="de-CH"/>
                  </w:rPr>
                </m:ctrlPr>
              </m:dPr>
              <m:e>
                <m:f>
                  <m:fPr>
                    <m:ctrlPr>
                      <w:rPr>
                        <w:rFonts w:ascii="Cambria Math" w:eastAsia="Times New Roman" w:hAnsi="Cambria Math" w:cs="Noto Sans"/>
                        <w:sz w:val="20"/>
                        <w:szCs w:val="20"/>
                        <w:lang w:val="en-GB" w:eastAsia="de-CH"/>
                      </w:rPr>
                    </m:ctrlPr>
                  </m:fPr>
                  <m:num>
                    <m:d>
                      <m:dPr>
                        <m:begChr m:val="|"/>
                        <m:endChr m:val="|"/>
                        <m:ctrlPr>
                          <w:rPr>
                            <w:rFonts w:ascii="Cambria Math" w:eastAsia="Times New Roman" w:hAnsi="Cambria Math" w:cs="Noto Sans"/>
                            <w:sz w:val="20"/>
                            <w:szCs w:val="20"/>
                            <w:lang w:val="en-GB" w:eastAsia="de-CH"/>
                          </w:rPr>
                        </m:ctrlPr>
                      </m:dPr>
                      <m:e>
                        <m:sSub>
                          <m:sSubPr>
                            <m:ctrlPr>
                              <w:rPr>
                                <w:rFonts w:ascii="Cambria Math" w:eastAsia="Times New Roman" w:hAnsi="Cambria Math" w:cs="Noto Sans"/>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t</m:t>
                            </m:r>
                          </m:sub>
                        </m:sSub>
                      </m:e>
                    </m:d>
                  </m:num>
                  <m:den>
                    <m:nary>
                      <m:naryPr>
                        <m:chr m:val="∑"/>
                        <m:limLoc m:val="undOvr"/>
                        <m:supHide m:val="1"/>
                        <m:ctrlPr>
                          <w:rPr>
                            <w:rFonts w:ascii="Cambria Math" w:eastAsia="Times New Roman" w:hAnsi="Cambria Math" w:cs="Noto Sans"/>
                            <w:sz w:val="20"/>
                            <w:szCs w:val="20"/>
                            <w:lang w:val="en-GB" w:eastAsia="de-CH"/>
                          </w:rPr>
                        </m:ctrlPr>
                      </m:naryPr>
                      <m:sub>
                        <m:r>
                          <w:rPr>
                            <w:rFonts w:ascii="Cambria Math" w:eastAsia="Times New Roman" w:hAnsi="Cambria Math" w:cs="Noto Sans"/>
                            <w:sz w:val="20"/>
                            <w:szCs w:val="20"/>
                            <w:lang w:val="en-GB" w:eastAsia="de-CH"/>
                          </w:rPr>
                          <m:t>t</m:t>
                        </m:r>
                      </m:sub>
                      <m:sup/>
                      <m:e>
                        <m:sSub>
                          <m:sSubPr>
                            <m:ctrlPr>
                              <w:rPr>
                                <w:rFonts w:ascii="Cambria Math" w:eastAsia="Times New Roman" w:hAnsi="Cambria Math" w:cs="Noto Sans"/>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t</m:t>
                            </m:r>
                          </m:sub>
                        </m:sSub>
                      </m:e>
                    </m:nary>
                  </m:den>
                </m:f>
              </m:e>
            </m:d>
          </m:e>
        </m:nary>
        <m:r>
          <m:rPr>
            <m:sty m:val="p"/>
          </m:rPr>
          <w:rPr>
            <w:rFonts w:ascii="Cambria Math" w:eastAsia="Times New Roman" w:hAnsi="Cambria Math" w:cs="Noto Sans"/>
            <w:sz w:val="20"/>
            <w:szCs w:val="20"/>
            <w:lang w:val="pl-PL" w:eastAsia="de-CH"/>
          </w:rPr>
          <m:t>×</m:t>
        </m:r>
        <m:d>
          <m:dPr>
            <m:ctrlPr>
              <w:rPr>
                <w:rFonts w:ascii="Cambria Math" w:eastAsia="Times New Roman" w:hAnsi="Cambria Math" w:cs="Noto Sans"/>
                <w:sz w:val="20"/>
                <w:szCs w:val="20"/>
                <w:lang w:val="en-GB" w:eastAsia="de-CH"/>
              </w:rPr>
            </m:ctrlPr>
          </m:dPr>
          <m:e>
            <m:f>
              <m:fPr>
                <m:ctrlPr>
                  <w:rPr>
                    <w:rFonts w:ascii="Cambria Math" w:eastAsia="Times New Roman" w:hAnsi="Cambria Math" w:cs="Noto Sans"/>
                    <w:sz w:val="20"/>
                    <w:szCs w:val="20"/>
                    <w:lang w:val="en-GB" w:eastAsia="de-CH"/>
                  </w:rPr>
                </m:ctrlPr>
              </m:fPr>
              <m:num>
                <m:sSub>
                  <m:sSubPr>
                    <m:ctrlPr>
                      <w:rPr>
                        <w:rFonts w:ascii="Cambria Math" w:eastAsia="Times New Roman" w:hAnsi="Cambria Math" w:cs="Noto Sans"/>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s</m:t>
                    </m:r>
                    <m:r>
                      <m:rPr>
                        <m:sty m:val="p"/>
                      </m:rPr>
                      <w:rPr>
                        <w:rFonts w:ascii="Cambria Math" w:eastAsia="Times New Roman" w:hAnsi="Cambria Math" w:cs="Noto Sans"/>
                        <w:sz w:val="20"/>
                        <w:szCs w:val="20"/>
                        <w:lang w:val="pl-PL" w:eastAsia="de-CH"/>
                      </w:rPr>
                      <m:t>,</m:t>
                    </m:r>
                    <m:r>
                      <w:rPr>
                        <w:rFonts w:ascii="Cambria Math" w:eastAsia="Times New Roman" w:hAnsi="Cambria Math" w:cs="Noto Sans"/>
                        <w:sz w:val="20"/>
                        <w:szCs w:val="20"/>
                        <w:lang w:val="en-GB" w:eastAsia="de-CH"/>
                      </w:rPr>
                      <m:t>t</m:t>
                    </m:r>
                  </m:sub>
                </m:sSub>
              </m:num>
              <m:den>
                <m:sSub>
                  <m:sSubPr>
                    <m:ctrlPr>
                      <w:rPr>
                        <w:rFonts w:ascii="Cambria Math" w:eastAsia="Times New Roman" w:hAnsi="Cambria Math" w:cs="Noto Sans"/>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t</m:t>
                    </m:r>
                  </m:sub>
                </m:sSub>
              </m:den>
            </m:f>
          </m:e>
        </m:d>
      </m:oMath>
    </w:p>
    <w:p w14:paraId="21667806" w14:textId="77777777"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lastRenderedPageBreak/>
        <w:t xml:space="preserve">where </w:t>
      </w:r>
      <m:oMath>
        <m:sSub>
          <m:sSubPr>
            <m:ctrlPr>
              <w:rPr>
                <w:rFonts w:ascii="Cambria Math" w:eastAsia="Times New Roman" w:hAnsi="Cambria Math" w:cs="Noto Sans"/>
                <w:i/>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s,t</m:t>
            </m:r>
          </m:sub>
        </m:sSub>
      </m:oMath>
      <w:r w:rsidRPr="001501B8">
        <w:rPr>
          <w:rFonts w:ascii="Noto Sans" w:eastAsia="Times New Roman" w:hAnsi="Noto Sans" w:cs="Noto Sans"/>
          <w:sz w:val="20"/>
          <w:szCs w:val="20"/>
          <w:lang w:val="en-GB" w:eastAsia="de-CH"/>
        </w:rPr>
        <w:t xml:space="preserve"> is the return during the closing auction phase, as defined by the auction dislocation measure (1a), and </w:t>
      </w:r>
      <m:oMath>
        <m:sSub>
          <m:sSubPr>
            <m:ctrlPr>
              <w:rPr>
                <w:rFonts w:ascii="Cambria Math" w:eastAsia="Times New Roman" w:hAnsi="Cambria Math" w:cs="Noto Sans"/>
                <w:i/>
                <w:sz w:val="20"/>
                <w:szCs w:val="20"/>
                <w:lang w:val="en-GB" w:eastAsia="de-CH"/>
              </w:rPr>
            </m:ctrlPr>
          </m:sSubPr>
          <m:e>
            <m:r>
              <w:rPr>
                <w:rFonts w:ascii="Cambria Math" w:eastAsia="Times New Roman" w:hAnsi="Cambria Math" w:cs="Noto Sans"/>
                <w:sz w:val="20"/>
                <w:szCs w:val="20"/>
                <w:lang w:val="en-GB" w:eastAsia="de-CH"/>
              </w:rPr>
              <m:t>r</m:t>
            </m:r>
          </m:e>
          <m:sub>
            <m:r>
              <w:rPr>
                <w:rFonts w:ascii="Cambria Math" w:eastAsia="Times New Roman" w:hAnsi="Cambria Math" w:cs="Noto Sans"/>
                <w:sz w:val="20"/>
                <w:szCs w:val="20"/>
                <w:lang w:val="en-GB" w:eastAsia="de-CH"/>
              </w:rPr>
              <m:t>t</m:t>
            </m:r>
          </m:sub>
        </m:sSub>
      </m:oMath>
      <w:r w:rsidRPr="001501B8">
        <w:rPr>
          <w:rFonts w:ascii="Noto Sans" w:eastAsia="Times New Roman" w:hAnsi="Noto Sans" w:cs="Noto Sans"/>
          <w:sz w:val="20"/>
          <w:szCs w:val="20"/>
          <w:lang w:val="en-GB" w:eastAsia="de-CH"/>
        </w:rPr>
        <w:t xml:space="preserve"> is the intraday open-to-close return</w:t>
      </w:r>
      <w:r w:rsidR="00ED217A">
        <w:rPr>
          <w:rFonts w:ascii="Noto Sans" w:eastAsia="Times New Roman" w:hAnsi="Noto Sans" w:cs="Noto Sans"/>
          <w:sz w:val="20"/>
          <w:szCs w:val="20"/>
          <w:lang w:val="en-GB" w:eastAsia="de-CH"/>
        </w:rPr>
        <w:t xml:space="preserve"> constructed from midpoint prices</w:t>
      </w:r>
      <w:r w:rsidRPr="001501B8">
        <w:rPr>
          <w:rFonts w:ascii="Noto Sans" w:eastAsia="Times New Roman" w:hAnsi="Noto Sans" w:cs="Noto Sans"/>
          <w:sz w:val="20"/>
          <w:szCs w:val="20"/>
          <w:lang w:val="en-GB" w:eastAsia="de-CH"/>
        </w:rPr>
        <w:t>.</w:t>
      </w:r>
    </w:p>
    <w:p w14:paraId="21667807" w14:textId="77777777" w:rsidR="001501B8" w:rsidRP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In a second robustness check, we include an event-dummy for the period of non-equivalence (trading day</w:t>
      </w:r>
      <w:r w:rsidR="00ED217A">
        <w:rPr>
          <w:rFonts w:ascii="Noto Sans" w:eastAsia="Times New Roman" w:hAnsi="Noto Sans" w:cs="Noto Sans"/>
          <w:sz w:val="20"/>
          <w:szCs w:val="20"/>
          <w:lang w:val="en-GB" w:eastAsia="de-CH"/>
        </w:rPr>
        <w:t>s</w:t>
      </w:r>
      <w:r w:rsidRPr="001501B8">
        <w:rPr>
          <w:rFonts w:ascii="Noto Sans" w:eastAsia="Times New Roman" w:hAnsi="Noto Sans" w:cs="Noto Sans"/>
          <w:sz w:val="20"/>
          <w:szCs w:val="20"/>
          <w:lang w:val="en-GB" w:eastAsia="de-CH"/>
        </w:rPr>
        <w:t xml:space="preserve"> after 01.07.2019) or run </w:t>
      </w:r>
      <w:r w:rsidR="00ED217A">
        <w:rPr>
          <w:rFonts w:ascii="Noto Sans" w:eastAsia="Times New Roman" w:hAnsi="Noto Sans" w:cs="Noto Sans"/>
          <w:sz w:val="20"/>
          <w:szCs w:val="20"/>
          <w:lang w:val="en-GB" w:eastAsia="de-CH"/>
        </w:rPr>
        <w:t xml:space="preserve">separate </w:t>
      </w:r>
      <w:r w:rsidRPr="001501B8">
        <w:rPr>
          <w:rFonts w:ascii="Noto Sans" w:eastAsia="Times New Roman" w:hAnsi="Noto Sans" w:cs="Noto Sans"/>
          <w:sz w:val="20"/>
          <w:szCs w:val="20"/>
          <w:lang w:val="en-GB" w:eastAsia="de-CH"/>
        </w:rPr>
        <w:t>panel regressions for the two subsamples before and after 01.08.2019.</w:t>
      </w:r>
    </w:p>
    <w:p w14:paraId="21667808" w14:textId="77777777" w:rsidR="001501B8" w:rsidRDefault="001501B8" w:rsidP="00BA1019">
      <w:pPr>
        <w:spacing w:before="120" w:after="120" w:line="25" w:lineRule="atLeast"/>
        <w:jc w:val="both"/>
        <w:rPr>
          <w:rFonts w:ascii="Noto Sans" w:eastAsia="Times New Roman" w:hAnsi="Noto Sans" w:cs="Noto Sans"/>
          <w:sz w:val="20"/>
          <w:szCs w:val="20"/>
          <w:lang w:val="en-GB" w:eastAsia="de-CH"/>
        </w:rPr>
      </w:pPr>
      <w:r w:rsidRPr="001501B8">
        <w:rPr>
          <w:rFonts w:ascii="Noto Sans" w:eastAsia="Times New Roman" w:hAnsi="Noto Sans" w:cs="Noto Sans"/>
          <w:sz w:val="20"/>
          <w:szCs w:val="20"/>
          <w:lang w:val="en-GB" w:eastAsia="de-CH"/>
        </w:rPr>
        <w:t>We encourage the researchers to visualize results, e.g. plot auction dislocations (y-axis) against the order imbalance (x-axis)</w:t>
      </w:r>
      <w:r w:rsidR="00ED217A">
        <w:rPr>
          <w:rFonts w:ascii="Noto Sans" w:eastAsia="Times New Roman" w:hAnsi="Noto Sans" w:cs="Noto Sans"/>
          <w:sz w:val="20"/>
          <w:szCs w:val="20"/>
          <w:lang w:val="en-GB" w:eastAsia="de-CH"/>
        </w:rPr>
        <w:t>, if instructive</w:t>
      </w:r>
      <w:r w:rsidRPr="001501B8">
        <w:rPr>
          <w:rFonts w:ascii="Noto Sans" w:eastAsia="Times New Roman" w:hAnsi="Noto Sans" w:cs="Noto Sans"/>
          <w:sz w:val="20"/>
          <w:szCs w:val="20"/>
          <w:lang w:val="en-GB" w:eastAsia="de-CH"/>
        </w:rPr>
        <w:t>.</w:t>
      </w:r>
    </w:p>
    <w:p w14:paraId="21667809" w14:textId="77777777" w:rsidR="00D61A35" w:rsidRPr="001501B8" w:rsidRDefault="00D61A35" w:rsidP="00D61A35">
      <w:pPr>
        <w:spacing w:before="240" w:after="120" w:line="25" w:lineRule="atLeast"/>
        <w:jc w:val="center"/>
        <w:rPr>
          <w:rFonts w:ascii="Noto Sans" w:hAnsi="Noto Sans" w:cs="Noto Sans"/>
          <w:b/>
          <w:snapToGrid w:val="0"/>
          <w:sz w:val="20"/>
          <w:szCs w:val="28"/>
          <w:lang w:val="en-GB" w:eastAsia="de-CH"/>
        </w:rPr>
      </w:pPr>
      <w:r w:rsidRPr="001501B8">
        <w:rPr>
          <w:rFonts w:ascii="Noto Sans" w:hAnsi="Noto Sans" w:cs="Noto Sans"/>
          <w:b/>
          <w:snapToGrid w:val="0"/>
          <w:sz w:val="20"/>
          <w:szCs w:val="28"/>
          <w:lang w:val="en-GB" w:eastAsia="de-CH"/>
        </w:rPr>
        <w:t>2.2.</w:t>
      </w:r>
      <w:r>
        <w:rPr>
          <w:rFonts w:ascii="Noto Sans" w:hAnsi="Noto Sans" w:cs="Noto Sans"/>
          <w:b/>
          <w:snapToGrid w:val="0"/>
          <w:sz w:val="20"/>
          <w:szCs w:val="28"/>
          <w:lang w:val="en-GB" w:eastAsia="de-CH"/>
        </w:rPr>
        <w:t>3</w:t>
      </w:r>
      <w:r w:rsidRPr="001501B8">
        <w:rPr>
          <w:rFonts w:ascii="Noto Sans" w:hAnsi="Noto Sans" w:cs="Noto Sans"/>
          <w:b/>
          <w:snapToGrid w:val="0"/>
          <w:sz w:val="20"/>
          <w:szCs w:val="28"/>
          <w:lang w:val="en-GB" w:eastAsia="de-CH"/>
        </w:rPr>
        <w:t xml:space="preserve"> </w:t>
      </w:r>
      <w:r w:rsidR="00693B1A">
        <w:rPr>
          <w:rFonts w:ascii="Noto Sans" w:hAnsi="Noto Sans" w:cs="Noto Sans"/>
          <w:b/>
          <w:snapToGrid w:val="0"/>
          <w:sz w:val="20"/>
          <w:szCs w:val="28"/>
          <w:lang w:val="en-GB" w:eastAsia="de-CH"/>
        </w:rPr>
        <w:t xml:space="preserve">Bonus: </w:t>
      </w:r>
      <w:r w:rsidR="008D4CAB">
        <w:rPr>
          <w:rFonts w:ascii="Noto Sans" w:hAnsi="Noto Sans" w:cs="Noto Sans"/>
          <w:b/>
          <w:snapToGrid w:val="0"/>
          <w:sz w:val="20"/>
          <w:szCs w:val="28"/>
          <w:lang w:val="en-GB" w:eastAsia="de-CH"/>
        </w:rPr>
        <w:t>Zooming into p</w:t>
      </w:r>
      <w:r w:rsidRPr="001501B8">
        <w:rPr>
          <w:rFonts w:ascii="Noto Sans" w:hAnsi="Noto Sans" w:cs="Noto Sans"/>
          <w:b/>
          <w:snapToGrid w:val="0"/>
          <w:sz w:val="20"/>
          <w:szCs w:val="28"/>
          <w:lang w:val="en-GB" w:eastAsia="de-CH"/>
        </w:rPr>
        <w:t xml:space="preserve">rice discovery </w:t>
      </w:r>
      <w:r>
        <w:rPr>
          <w:rFonts w:ascii="Noto Sans" w:hAnsi="Noto Sans" w:cs="Noto Sans"/>
          <w:b/>
          <w:snapToGrid w:val="0"/>
          <w:sz w:val="20"/>
          <w:szCs w:val="28"/>
          <w:lang w:val="en-GB" w:eastAsia="de-CH"/>
        </w:rPr>
        <w:t>during auction phase</w:t>
      </w:r>
    </w:p>
    <w:p w14:paraId="2166780A" w14:textId="77777777" w:rsidR="00693B1A" w:rsidRDefault="00D61A35" w:rsidP="00BA1019">
      <w:pPr>
        <w:spacing w:before="120" w:after="120" w:line="25" w:lineRule="atLeast"/>
        <w:jc w:val="both"/>
        <w:rPr>
          <w:rFonts w:ascii="Noto Sans" w:eastAsia="Times New Roman" w:hAnsi="Noto Sans" w:cs="Noto Sans"/>
          <w:sz w:val="20"/>
          <w:szCs w:val="20"/>
          <w:lang w:val="en-GB" w:eastAsia="de-CH"/>
        </w:rPr>
      </w:pPr>
      <w:r>
        <w:rPr>
          <w:rFonts w:ascii="Noto Sans" w:eastAsia="Times New Roman" w:hAnsi="Noto Sans" w:cs="Noto Sans"/>
          <w:sz w:val="20"/>
          <w:szCs w:val="20"/>
          <w:lang w:val="en-GB" w:eastAsia="de-CH"/>
        </w:rPr>
        <w:t xml:space="preserve">How does </w:t>
      </w:r>
      <w:r w:rsidR="00693B1A">
        <w:rPr>
          <w:rFonts w:ascii="Noto Sans" w:eastAsia="Times New Roman" w:hAnsi="Noto Sans" w:cs="Noto Sans"/>
          <w:sz w:val="20"/>
          <w:szCs w:val="20"/>
          <w:lang w:val="en-GB" w:eastAsia="de-CH"/>
        </w:rPr>
        <w:t>order imbalance</w:t>
      </w:r>
      <w:r>
        <w:rPr>
          <w:rFonts w:ascii="Noto Sans" w:eastAsia="Times New Roman" w:hAnsi="Noto Sans" w:cs="Noto Sans"/>
          <w:sz w:val="20"/>
          <w:szCs w:val="20"/>
          <w:lang w:val="en-GB" w:eastAsia="de-CH"/>
        </w:rPr>
        <w:t xml:space="preserve"> </w:t>
      </w:r>
      <w:r w:rsidR="00693B1A">
        <w:rPr>
          <w:rFonts w:ascii="Noto Sans" w:eastAsia="Times New Roman" w:hAnsi="Noto Sans" w:cs="Noto Sans"/>
          <w:sz w:val="20"/>
          <w:szCs w:val="20"/>
          <w:lang w:val="en-GB" w:eastAsia="de-CH"/>
        </w:rPr>
        <w:t xml:space="preserve">and the theoretical uncross price </w:t>
      </w:r>
      <w:r>
        <w:rPr>
          <w:rFonts w:ascii="Noto Sans" w:eastAsia="Times New Roman" w:hAnsi="Noto Sans" w:cs="Noto Sans"/>
          <w:sz w:val="20"/>
          <w:szCs w:val="20"/>
          <w:lang w:val="en-GB" w:eastAsia="de-CH"/>
        </w:rPr>
        <w:t xml:space="preserve">evolve during the closing auction? Does order imbalance reverts to zero during the course of the auction? </w:t>
      </w:r>
      <w:r w:rsidR="00693B1A">
        <w:rPr>
          <w:rFonts w:ascii="Noto Sans" w:eastAsia="Times New Roman" w:hAnsi="Noto Sans" w:cs="Noto Sans"/>
          <w:sz w:val="20"/>
          <w:szCs w:val="20"/>
          <w:lang w:val="en-GB" w:eastAsia="de-CH"/>
        </w:rPr>
        <w:t xml:space="preserve">To investigate this question, we split the auction phase into 30 seconds intervals and compute the following </w:t>
      </w:r>
      <w:r w:rsidR="007F2529">
        <w:rPr>
          <w:rFonts w:ascii="Noto Sans" w:eastAsia="Times New Roman" w:hAnsi="Noto Sans" w:cs="Noto Sans"/>
          <w:sz w:val="20"/>
          <w:szCs w:val="20"/>
          <w:lang w:val="en-GB" w:eastAsia="de-CH"/>
        </w:rPr>
        <w:t>measures</w:t>
      </w:r>
      <w:r w:rsidR="00693B1A">
        <w:rPr>
          <w:rFonts w:ascii="Noto Sans" w:eastAsia="Times New Roman" w:hAnsi="Noto Sans" w:cs="Noto Sans"/>
          <w:sz w:val="20"/>
          <w:szCs w:val="20"/>
          <w:lang w:val="en-GB" w:eastAsia="de-CH"/>
        </w:rPr>
        <w:t xml:space="preserve"> </w:t>
      </w:r>
      <w:r w:rsidR="007F2529">
        <w:rPr>
          <w:rFonts w:ascii="Noto Sans" w:eastAsia="Times New Roman" w:hAnsi="Noto Sans" w:cs="Noto Sans"/>
          <w:sz w:val="20"/>
          <w:szCs w:val="20"/>
          <w:lang w:val="en-GB" w:eastAsia="de-CH"/>
        </w:rPr>
        <w:t>at the start of</w:t>
      </w:r>
      <w:r w:rsidR="00693B1A">
        <w:rPr>
          <w:rFonts w:ascii="Noto Sans" w:eastAsia="Times New Roman" w:hAnsi="Noto Sans" w:cs="Noto Sans"/>
          <w:sz w:val="20"/>
          <w:szCs w:val="20"/>
          <w:lang w:val="en-GB" w:eastAsia="de-CH"/>
        </w:rPr>
        <w:t xml:space="preserve"> each interval</w:t>
      </w:r>
      <w:r w:rsidR="007F2529">
        <w:rPr>
          <w:rFonts w:ascii="Noto Sans" w:eastAsia="Times New Roman" w:hAnsi="Noto Sans" w:cs="Noto Sans"/>
          <w:sz w:val="20"/>
          <w:szCs w:val="20"/>
          <w:lang w:val="en-GB" w:eastAsia="de-CH"/>
        </w:rPr>
        <w:t xml:space="preserve"> and at the closing auction</w:t>
      </w:r>
    </w:p>
    <w:p w14:paraId="2166780B" w14:textId="77777777" w:rsidR="00693B1A" w:rsidRDefault="00693B1A" w:rsidP="00693B1A">
      <w:pPr>
        <w:pStyle w:val="ListParagraph"/>
        <w:numPr>
          <w:ilvl w:val="0"/>
          <w:numId w:val="5"/>
        </w:numPr>
        <w:spacing w:before="120" w:after="120" w:line="25" w:lineRule="atLeast"/>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t>T</w:t>
      </w:r>
      <w:r w:rsidRPr="00693B1A">
        <w:rPr>
          <w:rFonts w:ascii="Noto Sans" w:eastAsia="Times New Roman" w:hAnsi="Noto Sans" w:cs="Times New Roman"/>
          <w:sz w:val="20"/>
          <w:szCs w:val="24"/>
          <w:lang w:val="en-GB" w:eastAsia="de-CH"/>
        </w:rPr>
        <w:t>heoretical uncross price</w:t>
      </w:r>
    </w:p>
    <w:p w14:paraId="2166780C" w14:textId="77777777" w:rsidR="00693B1A" w:rsidRDefault="00693B1A" w:rsidP="00693B1A">
      <w:pPr>
        <w:pStyle w:val="ListParagraph"/>
        <w:numPr>
          <w:ilvl w:val="0"/>
          <w:numId w:val="5"/>
        </w:numPr>
        <w:spacing w:before="120" w:after="120" w:line="25" w:lineRule="atLeast"/>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t>Theoretical uncross volume (</w:t>
      </w:r>
      <w:r w:rsidRPr="00693B1A">
        <w:rPr>
          <w:rFonts w:ascii="Noto Sans" w:eastAsia="Times New Roman" w:hAnsi="Noto Sans" w:cs="Times New Roman"/>
          <w:sz w:val="20"/>
          <w:szCs w:val="24"/>
          <w:lang w:val="en-GB" w:eastAsia="de-CH"/>
        </w:rPr>
        <w:t>in CHF)</w:t>
      </w:r>
    </w:p>
    <w:p w14:paraId="2166780D" w14:textId="77777777" w:rsidR="00693B1A" w:rsidRPr="006673C2" w:rsidRDefault="00693B1A" w:rsidP="00693B1A">
      <w:pPr>
        <w:pStyle w:val="ListParagraph"/>
        <w:numPr>
          <w:ilvl w:val="0"/>
          <w:numId w:val="5"/>
        </w:numPr>
        <w:spacing w:before="120" w:after="120" w:line="25" w:lineRule="atLeast"/>
        <w:jc w:val="both"/>
        <w:rPr>
          <w:rFonts w:ascii="Noto Sans" w:eastAsia="Times New Roman" w:hAnsi="Noto Sans" w:cs="Times New Roman"/>
          <w:sz w:val="20"/>
          <w:szCs w:val="24"/>
          <w:lang w:val="en-GB" w:eastAsia="de-CH"/>
        </w:rPr>
      </w:pPr>
      <w:r w:rsidRPr="00693B1A">
        <w:rPr>
          <w:rFonts w:ascii="Noto Sans" w:eastAsia="Times New Roman" w:hAnsi="Noto Sans" w:cs="Times New Roman"/>
          <w:sz w:val="20"/>
          <w:szCs w:val="24"/>
          <w:lang w:val="en-GB" w:eastAsia="de-CH"/>
        </w:rPr>
        <w:t xml:space="preserve">Imbalance at the theoretical uncross price for each interval </w:t>
      </w:r>
      <w:r w:rsidRPr="00693B1A">
        <w:rPr>
          <w:rFonts w:ascii="Noto Sans" w:eastAsia="Times New Roman" w:hAnsi="Noto Sans" w:cs="Noto Sans"/>
          <w:sz w:val="20"/>
          <w:szCs w:val="20"/>
          <w:lang w:val="en-GB" w:eastAsia="de-CH"/>
        </w:rPr>
        <w:t xml:space="preserve">as </w:t>
      </w:r>
      <m:oMath>
        <m:f>
          <m:fPr>
            <m:ctrlPr>
              <w:rPr>
                <w:rFonts w:ascii="Cambria Math" w:eastAsia="Times New Roman" w:hAnsi="Cambria Math" w:cs="Noto Sans"/>
                <w:sz w:val="20"/>
                <w:szCs w:val="20"/>
                <w:lang w:val="en-GB" w:eastAsia="de-CH"/>
              </w:rPr>
            </m:ctrlPr>
          </m:fPr>
          <m:num>
            <w:proofErr w:type="spellStart"/>
            <m:r>
              <m:rPr>
                <m:nor/>
              </m:rPr>
              <w:rPr>
                <w:rFonts w:ascii="Noto Sans" w:eastAsia="Times New Roman" w:hAnsi="Noto Sans" w:cs="Noto Sans"/>
                <w:sz w:val="20"/>
                <w:szCs w:val="20"/>
                <w:lang w:val="en-GB" w:eastAsia="de-CH"/>
              </w:rPr>
              <m:t>bid_volume</m:t>
            </m:r>
            <w:proofErr w:type="spellEnd"/>
            <m:r>
              <m:rPr>
                <m:nor/>
              </m:rPr>
              <w:rPr>
                <w:rFonts w:ascii="Cambria Math" w:eastAsia="Times New Roman" w:hAnsi="Noto Sans" w:cs="Noto Sans"/>
                <w:sz w:val="20"/>
                <w:szCs w:val="20"/>
                <w:lang w:val="en-GB" w:eastAsia="de-CH"/>
              </w:rPr>
              <m:t xml:space="preserve"> </m:t>
            </m:r>
            <m:r>
              <m:rPr>
                <m:sty m:val="p"/>
              </m:rPr>
              <w:rPr>
                <w:rFonts w:ascii="Cambria Math" w:eastAsia="Times New Roman" w:hAnsi="Cambria Math" w:cs="Noto Sans"/>
                <w:sz w:val="20"/>
                <w:szCs w:val="20"/>
                <w:lang w:val="en-GB" w:eastAsia="de-CH"/>
              </w:rPr>
              <m:t>-</m:t>
            </m:r>
            <m:r>
              <m:rPr>
                <m:nor/>
              </m:rPr>
              <w:rPr>
                <w:rFonts w:ascii="Noto Sans" w:eastAsia="Times New Roman" w:hAnsi="Noto Sans" w:cs="Noto Sans"/>
                <w:sz w:val="20"/>
                <w:szCs w:val="20"/>
                <w:lang w:val="en-GB" w:eastAsia="de-CH"/>
              </w:rPr>
              <m:t>ask_volume</m:t>
            </m:r>
            <m:r>
              <m:rPr>
                <m:nor/>
              </m:rPr>
              <w:rPr>
                <w:rFonts w:ascii="Cambria Math" w:eastAsia="Times New Roman" w:hAnsi="Noto Sans" w:cs="Noto Sans"/>
                <w:sz w:val="20"/>
                <w:szCs w:val="20"/>
                <w:lang w:val="en-GB" w:eastAsia="de-CH"/>
              </w:rPr>
              <m:t xml:space="preserve"> </m:t>
            </m:r>
          </m:num>
          <m:den>
            <w:proofErr w:type="spellStart"/>
            <m:r>
              <m:rPr>
                <m:nor/>
              </m:rPr>
              <w:rPr>
                <w:rFonts w:ascii="Noto Sans" w:eastAsia="Times New Roman" w:hAnsi="Noto Sans" w:cs="Noto Sans"/>
                <w:sz w:val="20"/>
                <w:szCs w:val="20"/>
                <w:lang w:val="en-GB" w:eastAsia="de-CH"/>
              </w:rPr>
              <m:t>bid_volume</m:t>
            </m:r>
            <w:proofErr w:type="spellEnd"/>
            <m:r>
              <m:rPr>
                <m:nor/>
              </m:rPr>
              <w:rPr>
                <w:rFonts w:ascii="Cambria Math" w:eastAsia="Times New Roman" w:hAnsi="Noto Sans" w:cs="Noto Sans"/>
                <w:sz w:val="20"/>
                <w:szCs w:val="20"/>
                <w:lang w:val="en-GB" w:eastAsia="de-CH"/>
              </w:rPr>
              <m:t xml:space="preserve"> </m:t>
            </m:r>
            <m:r>
              <m:rPr>
                <m:sty m:val="p"/>
              </m:rPr>
              <w:rPr>
                <w:rFonts w:ascii="Cambria Math" w:eastAsia="Times New Roman" w:hAnsi="Cambria Math" w:cs="Noto Sans"/>
                <w:sz w:val="20"/>
                <w:szCs w:val="20"/>
                <w:lang w:val="en-GB" w:eastAsia="de-CH"/>
              </w:rPr>
              <m:t>+</m:t>
            </m:r>
            <m:r>
              <m:rPr>
                <m:nor/>
              </m:rPr>
              <w:rPr>
                <w:rFonts w:ascii="Noto Sans" w:eastAsia="Times New Roman" w:hAnsi="Noto Sans" w:cs="Noto Sans"/>
                <w:sz w:val="20"/>
                <w:szCs w:val="20"/>
                <w:lang w:val="en-GB" w:eastAsia="de-CH"/>
              </w:rPr>
              <m:t>ask_volume</m:t>
            </m:r>
            <m:r>
              <m:rPr>
                <m:nor/>
              </m:rPr>
              <w:rPr>
                <w:rFonts w:ascii="Cambria Math" w:eastAsia="Times New Roman" w:hAnsi="Noto Sans" w:cs="Noto Sans"/>
                <w:sz w:val="20"/>
                <w:szCs w:val="20"/>
                <w:lang w:val="en-GB" w:eastAsia="de-CH"/>
              </w:rPr>
              <m:t xml:space="preserve"> </m:t>
            </m:r>
          </m:den>
        </m:f>
      </m:oMath>
    </w:p>
    <w:p w14:paraId="2166780E" w14:textId="77777777" w:rsidR="00D61A35" w:rsidRPr="008E2DF9" w:rsidRDefault="006673C2" w:rsidP="00BA1019">
      <w:pPr>
        <w:pStyle w:val="ListParagraph"/>
        <w:numPr>
          <w:ilvl w:val="0"/>
          <w:numId w:val="5"/>
        </w:numPr>
        <w:spacing w:before="120" w:after="120" w:line="25" w:lineRule="atLeast"/>
        <w:jc w:val="both"/>
        <w:rPr>
          <w:rFonts w:ascii="Noto Sans" w:eastAsia="Times New Roman" w:hAnsi="Noto Sans" w:cs="Times New Roman"/>
          <w:sz w:val="20"/>
          <w:szCs w:val="24"/>
          <w:lang w:val="en-GB" w:eastAsia="de-CH"/>
        </w:rPr>
      </w:pPr>
      <w:r>
        <w:rPr>
          <w:rFonts w:ascii="Noto Sans" w:eastAsia="Times New Roman" w:hAnsi="Noto Sans" w:cs="Noto Sans"/>
          <w:sz w:val="20"/>
          <w:szCs w:val="20"/>
          <w:lang w:val="en-GB" w:eastAsia="de-CH"/>
        </w:rPr>
        <w:t>WPDC meas</w:t>
      </w:r>
      <w:r w:rsidR="008E2DF9">
        <w:rPr>
          <w:rFonts w:ascii="Noto Sans" w:eastAsia="Times New Roman" w:hAnsi="Noto Sans" w:cs="Noto Sans"/>
          <w:sz w:val="20"/>
          <w:szCs w:val="20"/>
          <w:lang w:val="en-GB" w:eastAsia="de-CH"/>
        </w:rPr>
        <w:t xml:space="preserve">ure, see </w:t>
      </w:r>
      <w:proofErr w:type="spellStart"/>
      <w:r>
        <w:rPr>
          <w:rFonts w:ascii="Noto Sans" w:eastAsia="Times New Roman" w:hAnsi="Noto Sans" w:cs="Noto Sans"/>
          <w:sz w:val="20"/>
          <w:szCs w:val="20"/>
          <w:lang w:val="en-GB" w:eastAsia="de-CH"/>
        </w:rPr>
        <w:t>Bellia</w:t>
      </w:r>
      <w:proofErr w:type="spellEnd"/>
      <w:r>
        <w:rPr>
          <w:rFonts w:ascii="Noto Sans" w:eastAsia="Times New Roman" w:hAnsi="Noto Sans" w:cs="Noto Sans"/>
          <w:sz w:val="20"/>
          <w:szCs w:val="20"/>
          <w:lang w:val="en-GB" w:eastAsia="de-CH"/>
        </w:rPr>
        <w:t xml:space="preserve"> et al (2017)</w:t>
      </w:r>
      <w:r w:rsidR="008E2DF9">
        <w:rPr>
          <w:rFonts w:ascii="Noto Sans" w:eastAsia="Times New Roman" w:hAnsi="Noto Sans" w:cs="Noto Sans"/>
          <w:sz w:val="20"/>
          <w:szCs w:val="20"/>
          <w:lang w:val="en-GB" w:eastAsia="de-CH"/>
        </w:rPr>
        <w:t xml:space="preserve"> as a reference</w:t>
      </w:r>
    </w:p>
    <w:p w14:paraId="2166780F" w14:textId="77777777" w:rsidR="008E2DF9" w:rsidRPr="008E2DF9" w:rsidRDefault="008E2DF9" w:rsidP="008E2DF9">
      <w:pPr>
        <w:spacing w:before="120" w:after="120" w:line="25" w:lineRule="atLeast"/>
        <w:jc w:val="both"/>
        <w:rPr>
          <w:rFonts w:ascii="Noto Sans" w:eastAsia="Times New Roman" w:hAnsi="Noto Sans" w:cs="Times New Roman"/>
          <w:sz w:val="20"/>
          <w:szCs w:val="24"/>
          <w:lang w:val="en-GB" w:eastAsia="de-CH"/>
        </w:rPr>
      </w:pPr>
      <w:r>
        <w:rPr>
          <w:rFonts w:ascii="Noto Sans" w:eastAsia="Times New Roman" w:hAnsi="Noto Sans" w:cs="Times New Roman"/>
          <w:sz w:val="20"/>
          <w:szCs w:val="24"/>
          <w:lang w:val="en-GB" w:eastAsia="de-CH"/>
        </w:rPr>
        <w:t>Visual representations show whether price discovery takes place at the start or towards the end of the auction phase.</w:t>
      </w:r>
    </w:p>
    <w:p w14:paraId="21667810" w14:textId="77777777" w:rsidR="001501B8" w:rsidRPr="001501B8" w:rsidRDefault="009E79CF" w:rsidP="009E79CF">
      <w:pPr>
        <w:spacing w:before="240" w:after="120" w:line="25" w:lineRule="atLeast"/>
        <w:jc w:val="center"/>
        <w:rPr>
          <w:rFonts w:ascii="Noto Sans" w:hAnsi="Noto Sans" w:cs="Noto Sans"/>
          <w:b/>
          <w:snapToGrid w:val="0"/>
          <w:szCs w:val="28"/>
          <w:lang w:val="en-GB" w:eastAsia="de-CH"/>
        </w:rPr>
      </w:pPr>
      <w:r w:rsidRPr="00932D0E">
        <w:rPr>
          <w:rFonts w:ascii="Noto Sans" w:hAnsi="Noto Sans" w:cs="Noto Sans"/>
          <w:b/>
          <w:snapToGrid w:val="0"/>
          <w:szCs w:val="28"/>
          <w:lang w:val="en-GB" w:eastAsia="de-CH"/>
        </w:rPr>
        <w:t>References</w:t>
      </w:r>
    </w:p>
    <w:p w14:paraId="21667811" w14:textId="77777777" w:rsidR="001E2CF9" w:rsidRPr="00C86DA0" w:rsidRDefault="001E2CF9" w:rsidP="00BA1019">
      <w:pPr>
        <w:spacing w:before="120" w:after="120" w:line="25" w:lineRule="atLeast"/>
        <w:rPr>
          <w:rFonts w:ascii="Noto Sans" w:eastAsia="Times New Roman" w:hAnsi="Noto Sans" w:cs="Noto Sans"/>
          <w:sz w:val="20"/>
          <w:szCs w:val="20"/>
          <w:lang w:eastAsia="de-CH"/>
        </w:rPr>
      </w:pPr>
      <w:r w:rsidRPr="001E2CF9">
        <w:rPr>
          <w:rFonts w:ascii="Noto Sans" w:eastAsia="Times New Roman" w:hAnsi="Noto Sans" w:cs="Noto Sans"/>
          <w:sz w:val="20"/>
          <w:szCs w:val="20"/>
          <w:lang w:val="en-GB" w:eastAsia="de-CH"/>
        </w:rPr>
        <w:t>Barclay</w:t>
      </w:r>
      <w:r>
        <w:rPr>
          <w:rFonts w:ascii="Noto Sans" w:eastAsia="Times New Roman" w:hAnsi="Noto Sans" w:cs="Noto Sans"/>
          <w:sz w:val="20"/>
          <w:szCs w:val="20"/>
          <w:lang w:val="en-GB" w:eastAsia="de-CH"/>
        </w:rPr>
        <w:t xml:space="preserve">, </w:t>
      </w:r>
      <w:r w:rsidRPr="001E2CF9">
        <w:rPr>
          <w:rFonts w:ascii="Noto Sans" w:eastAsia="Times New Roman" w:hAnsi="Noto Sans" w:cs="Noto Sans"/>
          <w:sz w:val="20"/>
          <w:szCs w:val="20"/>
          <w:lang w:val="en-GB" w:eastAsia="de-CH"/>
        </w:rPr>
        <w:t>Michael J. and Jerold B.</w:t>
      </w:r>
      <w:r>
        <w:rPr>
          <w:rFonts w:ascii="Noto Sans" w:eastAsia="Times New Roman" w:hAnsi="Noto Sans" w:cs="Noto Sans"/>
          <w:sz w:val="20"/>
          <w:szCs w:val="20"/>
          <w:lang w:val="en-GB" w:eastAsia="de-CH"/>
        </w:rPr>
        <w:t xml:space="preserve"> </w:t>
      </w:r>
      <w:r w:rsidRPr="001E2CF9">
        <w:rPr>
          <w:rFonts w:ascii="Noto Sans" w:eastAsia="Times New Roman" w:hAnsi="Noto Sans" w:cs="Noto Sans"/>
          <w:sz w:val="20"/>
          <w:szCs w:val="20"/>
          <w:lang w:val="en-GB" w:eastAsia="de-CH"/>
        </w:rPr>
        <w:t>Warner</w:t>
      </w:r>
      <w:r>
        <w:rPr>
          <w:rFonts w:ascii="Noto Sans" w:eastAsia="Times New Roman" w:hAnsi="Noto Sans" w:cs="Noto Sans"/>
          <w:sz w:val="20"/>
          <w:szCs w:val="20"/>
          <w:lang w:val="en-GB" w:eastAsia="de-CH"/>
        </w:rPr>
        <w:t xml:space="preserve"> (1993) </w:t>
      </w:r>
      <w:r w:rsidRPr="001E2CF9">
        <w:rPr>
          <w:rFonts w:ascii="Noto Sans" w:eastAsia="Times New Roman" w:hAnsi="Noto Sans" w:cs="Noto Sans"/>
          <w:sz w:val="20"/>
          <w:szCs w:val="20"/>
          <w:lang w:val="en-GB" w:eastAsia="de-CH"/>
        </w:rPr>
        <w:t>Stealth trading and volati</w:t>
      </w:r>
      <w:r>
        <w:rPr>
          <w:rFonts w:ascii="Noto Sans" w:eastAsia="Times New Roman" w:hAnsi="Noto Sans" w:cs="Noto Sans"/>
          <w:sz w:val="20"/>
          <w:szCs w:val="20"/>
          <w:lang w:val="en-GB" w:eastAsia="de-CH"/>
        </w:rPr>
        <w:t xml:space="preserve">lity: Which trades move prices? Journal of </w:t>
      </w:r>
      <w:r w:rsidRPr="00C86DA0">
        <w:rPr>
          <w:rFonts w:ascii="Noto Sans" w:eastAsia="Times New Roman" w:hAnsi="Noto Sans" w:cs="Noto Sans"/>
          <w:sz w:val="20"/>
          <w:szCs w:val="20"/>
          <w:lang w:eastAsia="de-CH"/>
        </w:rPr>
        <w:t>Financial Economics, volume 34, issue 3, pages 281-305.</w:t>
      </w:r>
    </w:p>
    <w:p w14:paraId="21667812" w14:textId="77777777" w:rsidR="001E2CF9" w:rsidRPr="001E2CF9" w:rsidRDefault="006673C2" w:rsidP="008E2DF9">
      <w:pPr>
        <w:autoSpaceDE w:val="0"/>
        <w:autoSpaceDN w:val="0"/>
        <w:adjustRightInd w:val="0"/>
        <w:spacing w:after="0" w:line="240" w:lineRule="auto"/>
        <w:rPr>
          <w:rFonts w:ascii="Noto Sans" w:eastAsia="Times New Roman" w:hAnsi="Noto Sans" w:cs="Noto Sans"/>
          <w:sz w:val="20"/>
          <w:szCs w:val="20"/>
          <w:lang w:val="en-GB" w:eastAsia="de-CH"/>
        </w:rPr>
      </w:pPr>
      <w:proofErr w:type="spellStart"/>
      <w:r w:rsidRPr="006673C2">
        <w:rPr>
          <w:rFonts w:ascii="Noto Sans" w:eastAsia="Times New Roman" w:hAnsi="Noto Sans" w:cs="Noto Sans"/>
          <w:sz w:val="20"/>
          <w:szCs w:val="20"/>
          <w:lang w:val="en-GB" w:eastAsia="de-CH"/>
        </w:rPr>
        <w:t>Bellia</w:t>
      </w:r>
      <w:proofErr w:type="spellEnd"/>
      <w:r w:rsidRPr="006673C2">
        <w:rPr>
          <w:rFonts w:ascii="Noto Sans" w:eastAsia="Times New Roman" w:hAnsi="Noto Sans" w:cs="Noto Sans"/>
          <w:sz w:val="20"/>
          <w:szCs w:val="20"/>
          <w:lang w:val="en-GB" w:eastAsia="de-CH"/>
        </w:rPr>
        <w:t xml:space="preserve">, Mario, </w:t>
      </w:r>
      <w:proofErr w:type="spellStart"/>
      <w:r w:rsidRPr="006673C2">
        <w:rPr>
          <w:rFonts w:ascii="Noto Sans" w:eastAsia="Times New Roman" w:hAnsi="Noto Sans" w:cs="Noto Sans"/>
          <w:sz w:val="20"/>
          <w:szCs w:val="20"/>
          <w:lang w:val="en-GB" w:eastAsia="de-CH"/>
        </w:rPr>
        <w:t>Loriana</w:t>
      </w:r>
      <w:proofErr w:type="spellEnd"/>
      <w:r w:rsidRPr="006673C2">
        <w:rPr>
          <w:rFonts w:ascii="Noto Sans" w:eastAsia="Times New Roman" w:hAnsi="Noto Sans" w:cs="Noto Sans"/>
          <w:sz w:val="20"/>
          <w:szCs w:val="20"/>
          <w:lang w:val="en-GB" w:eastAsia="de-CH"/>
        </w:rPr>
        <w:t xml:space="preserve"> </w:t>
      </w:r>
      <w:proofErr w:type="spellStart"/>
      <w:r w:rsidRPr="006673C2">
        <w:rPr>
          <w:rFonts w:ascii="Noto Sans" w:eastAsia="Times New Roman" w:hAnsi="Noto Sans" w:cs="Noto Sans"/>
          <w:sz w:val="20"/>
          <w:szCs w:val="20"/>
          <w:lang w:val="en-GB" w:eastAsia="de-CH"/>
        </w:rPr>
        <w:t>Pellizzon</w:t>
      </w:r>
      <w:proofErr w:type="spellEnd"/>
      <w:r w:rsidRPr="006673C2">
        <w:rPr>
          <w:rFonts w:ascii="Noto Sans" w:eastAsia="Times New Roman" w:hAnsi="Noto Sans" w:cs="Noto Sans"/>
          <w:sz w:val="20"/>
          <w:szCs w:val="20"/>
          <w:lang w:val="en-GB" w:eastAsia="de-CH"/>
        </w:rPr>
        <w:t xml:space="preserve">, Marti G. Subrahmanyam, Jun Uno and Darya </w:t>
      </w:r>
      <w:proofErr w:type="spellStart"/>
      <w:r w:rsidRPr="006673C2">
        <w:rPr>
          <w:rFonts w:ascii="Noto Sans" w:eastAsia="Times New Roman" w:hAnsi="Noto Sans" w:cs="Noto Sans"/>
          <w:sz w:val="20"/>
          <w:szCs w:val="20"/>
          <w:lang w:val="en-GB" w:eastAsia="de-CH"/>
        </w:rPr>
        <w:t>Yuferova</w:t>
      </w:r>
      <w:proofErr w:type="spellEnd"/>
      <w:r w:rsidRPr="006673C2">
        <w:rPr>
          <w:rFonts w:ascii="Noto Sans" w:eastAsia="Times New Roman" w:hAnsi="Noto Sans" w:cs="Noto Sans"/>
          <w:sz w:val="20"/>
          <w:szCs w:val="20"/>
          <w:lang w:val="en-GB" w:eastAsia="de-CH"/>
        </w:rPr>
        <w:t xml:space="preserve"> (2017) Coming Early to the Party. Working paper.</w:t>
      </w:r>
    </w:p>
    <w:sectPr w:rsidR="001E2CF9" w:rsidRPr="001E2CF9" w:rsidSect="00B05397">
      <w:headerReference w:type="default" r:id="rId8"/>
      <w:footerReference w:type="default" r:id="rId9"/>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613DF" w14:textId="77777777" w:rsidR="004539C3" w:rsidRDefault="004539C3" w:rsidP="00363FD9">
      <w:pPr>
        <w:spacing w:after="0" w:line="240" w:lineRule="auto"/>
      </w:pPr>
      <w:r>
        <w:separator/>
      </w:r>
    </w:p>
  </w:endnote>
  <w:endnote w:type="continuationSeparator" w:id="0">
    <w:p w14:paraId="2893C8FD" w14:textId="77777777" w:rsidR="004539C3" w:rsidRDefault="004539C3" w:rsidP="0036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oto Sans">
    <w:altName w:val="Mangal"/>
    <w:charset w:val="00"/>
    <w:family w:val="swiss"/>
    <w:pitch w:val="variable"/>
    <w:sig w:usb0="E00082FF" w:usb1="400078FF" w:usb2="08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oto Sans" w:hAnsi="Noto Sans" w:cs="Noto Sans"/>
        <w:sz w:val="20"/>
      </w:rPr>
      <w:id w:val="1259640438"/>
      <w:docPartObj>
        <w:docPartGallery w:val="Page Numbers (Bottom of Page)"/>
        <w:docPartUnique/>
      </w:docPartObj>
    </w:sdtPr>
    <w:sdtEndPr>
      <w:rPr>
        <w:noProof/>
      </w:rPr>
    </w:sdtEndPr>
    <w:sdtContent>
      <w:p w14:paraId="21667818" w14:textId="77777777" w:rsidR="00363FD9" w:rsidRPr="001501B8" w:rsidRDefault="001501B8" w:rsidP="001501B8">
        <w:pPr>
          <w:pStyle w:val="Footer"/>
          <w:jc w:val="center"/>
          <w:rPr>
            <w:rFonts w:ascii="Noto Sans" w:hAnsi="Noto Sans" w:cs="Noto Sans"/>
            <w:sz w:val="20"/>
          </w:rPr>
        </w:pPr>
        <w:r w:rsidRPr="001501B8">
          <w:rPr>
            <w:rFonts w:ascii="Noto Sans" w:hAnsi="Noto Sans" w:cs="Noto Sans"/>
            <w:sz w:val="20"/>
          </w:rPr>
          <w:fldChar w:fldCharType="begin"/>
        </w:r>
        <w:r w:rsidRPr="001501B8">
          <w:rPr>
            <w:rFonts w:ascii="Noto Sans" w:hAnsi="Noto Sans" w:cs="Noto Sans"/>
            <w:sz w:val="20"/>
          </w:rPr>
          <w:instrText xml:space="preserve"> PAGE   \* MERGEFORMAT </w:instrText>
        </w:r>
        <w:r w:rsidRPr="001501B8">
          <w:rPr>
            <w:rFonts w:ascii="Noto Sans" w:hAnsi="Noto Sans" w:cs="Noto Sans"/>
            <w:sz w:val="20"/>
          </w:rPr>
          <w:fldChar w:fldCharType="separate"/>
        </w:r>
        <w:r w:rsidR="00056449">
          <w:rPr>
            <w:rFonts w:ascii="Noto Sans" w:hAnsi="Noto Sans" w:cs="Noto Sans"/>
            <w:noProof/>
            <w:sz w:val="20"/>
          </w:rPr>
          <w:t>2</w:t>
        </w:r>
        <w:r w:rsidRPr="001501B8">
          <w:rPr>
            <w:rFonts w:ascii="Noto Sans" w:hAnsi="Noto Sans" w:cs="Noto Sans"/>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54E69" w14:textId="77777777" w:rsidR="004539C3" w:rsidRDefault="004539C3" w:rsidP="00363FD9">
      <w:pPr>
        <w:spacing w:after="0" w:line="240" w:lineRule="auto"/>
      </w:pPr>
      <w:r>
        <w:separator/>
      </w:r>
    </w:p>
  </w:footnote>
  <w:footnote w:type="continuationSeparator" w:id="0">
    <w:p w14:paraId="68DF368B" w14:textId="77777777" w:rsidR="004539C3" w:rsidRDefault="004539C3" w:rsidP="00363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67817" w14:textId="77777777" w:rsidR="00ED217A" w:rsidRPr="001501B8" w:rsidRDefault="001501B8">
    <w:pPr>
      <w:pStyle w:val="Header"/>
      <w:rPr>
        <w:rFonts w:ascii="Noto Sans" w:hAnsi="Noto Sans" w:cs="Noto Sans"/>
        <w:sz w:val="20"/>
      </w:rPr>
    </w:pPr>
    <w:r w:rsidRPr="001501B8">
      <w:rPr>
        <w:rFonts w:ascii="Noto Sans" w:hAnsi="Noto Sans" w:cs="Noto Sans"/>
        <w:sz w:val="20"/>
      </w:rPr>
      <w:t>Research topic: Closing auctions</w:t>
    </w:r>
    <w:r w:rsidRPr="001501B8">
      <w:rPr>
        <w:rFonts w:ascii="Noto Sans" w:hAnsi="Noto Sans" w:cs="Noto Sans"/>
        <w:sz w:val="20"/>
      </w:rPr>
      <w:tab/>
    </w:r>
    <w:r w:rsidRPr="001501B8">
      <w:rPr>
        <w:rFonts w:ascii="Noto Sans" w:hAnsi="Noto Sans" w:cs="Noto Sans"/>
        <w:sz w:val="20"/>
      </w:rPr>
      <w:tab/>
      <w:t>28 August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42235"/>
    <w:multiLevelType w:val="hybridMultilevel"/>
    <w:tmpl w:val="4CC829B4"/>
    <w:lvl w:ilvl="0" w:tplc="3F480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46D2E"/>
    <w:multiLevelType w:val="hybridMultilevel"/>
    <w:tmpl w:val="A2F03FD6"/>
    <w:lvl w:ilvl="0" w:tplc="799A7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A7494"/>
    <w:multiLevelType w:val="hybridMultilevel"/>
    <w:tmpl w:val="F2320DD6"/>
    <w:lvl w:ilvl="0" w:tplc="57FCE58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441F14ED"/>
    <w:multiLevelType w:val="hybridMultilevel"/>
    <w:tmpl w:val="DC06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3565E"/>
    <w:multiLevelType w:val="hybridMultilevel"/>
    <w:tmpl w:val="2AA418B8"/>
    <w:lvl w:ilvl="0" w:tplc="180AA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1B8"/>
    <w:rsid w:val="00056449"/>
    <w:rsid w:val="001412C0"/>
    <w:rsid w:val="001501B8"/>
    <w:rsid w:val="001E2CF9"/>
    <w:rsid w:val="002747E1"/>
    <w:rsid w:val="0034459D"/>
    <w:rsid w:val="00363FD9"/>
    <w:rsid w:val="003D5747"/>
    <w:rsid w:val="00430E1E"/>
    <w:rsid w:val="004539C3"/>
    <w:rsid w:val="004A7E6C"/>
    <w:rsid w:val="004A7EE9"/>
    <w:rsid w:val="004E781B"/>
    <w:rsid w:val="004F5B12"/>
    <w:rsid w:val="00530894"/>
    <w:rsid w:val="005442EF"/>
    <w:rsid w:val="00607CD0"/>
    <w:rsid w:val="006673C2"/>
    <w:rsid w:val="00686F47"/>
    <w:rsid w:val="00693B1A"/>
    <w:rsid w:val="007F2529"/>
    <w:rsid w:val="008D4CAB"/>
    <w:rsid w:val="008E2DF9"/>
    <w:rsid w:val="008F5BFF"/>
    <w:rsid w:val="00932D0E"/>
    <w:rsid w:val="009750A9"/>
    <w:rsid w:val="009C096B"/>
    <w:rsid w:val="009E79CF"/>
    <w:rsid w:val="00A151BE"/>
    <w:rsid w:val="00A523D9"/>
    <w:rsid w:val="00AF2FD9"/>
    <w:rsid w:val="00AF4CEA"/>
    <w:rsid w:val="00B05397"/>
    <w:rsid w:val="00BA1019"/>
    <w:rsid w:val="00C30CFD"/>
    <w:rsid w:val="00C86DA0"/>
    <w:rsid w:val="00CA5234"/>
    <w:rsid w:val="00CE12D1"/>
    <w:rsid w:val="00D61A35"/>
    <w:rsid w:val="00D80E8D"/>
    <w:rsid w:val="00DC7713"/>
    <w:rsid w:val="00E002F3"/>
    <w:rsid w:val="00ED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677DF"/>
  <w15:docId w15:val="{190DC843-590D-4C98-8329-82569C41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01B8"/>
    <w:pPr>
      <w:keepNext/>
      <w:keepLines/>
      <w:spacing w:before="480" w:after="0"/>
      <w:jc w:val="center"/>
      <w:outlineLvl w:val="0"/>
    </w:pPr>
    <w:rPr>
      <w:rFonts w:ascii="Noto Sans" w:eastAsiaTheme="majorEastAsia" w:hAnsi="Noto Sans"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FD9"/>
  </w:style>
  <w:style w:type="paragraph" w:styleId="Footer">
    <w:name w:val="footer"/>
    <w:basedOn w:val="Normal"/>
    <w:link w:val="FooterChar"/>
    <w:uiPriority w:val="99"/>
    <w:unhideWhenUsed/>
    <w:rsid w:val="00363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FD9"/>
  </w:style>
  <w:style w:type="paragraph" w:styleId="BalloonText">
    <w:name w:val="Balloon Text"/>
    <w:basedOn w:val="Normal"/>
    <w:link w:val="BalloonTextChar"/>
    <w:uiPriority w:val="99"/>
    <w:semiHidden/>
    <w:unhideWhenUsed/>
    <w:rsid w:val="00150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1B8"/>
    <w:rPr>
      <w:rFonts w:ascii="Tahoma" w:hAnsi="Tahoma" w:cs="Tahoma"/>
      <w:sz w:val="16"/>
      <w:szCs w:val="16"/>
    </w:rPr>
  </w:style>
  <w:style w:type="paragraph" w:styleId="ListParagraph">
    <w:name w:val="List Paragraph"/>
    <w:basedOn w:val="Normal"/>
    <w:uiPriority w:val="34"/>
    <w:qFormat/>
    <w:rsid w:val="001501B8"/>
    <w:pPr>
      <w:ind w:left="720"/>
      <w:contextualSpacing/>
    </w:pPr>
  </w:style>
  <w:style w:type="character" w:customStyle="1" w:styleId="Heading1Char">
    <w:name w:val="Heading 1 Char"/>
    <w:basedOn w:val="DefaultParagraphFont"/>
    <w:link w:val="Heading1"/>
    <w:uiPriority w:val="9"/>
    <w:rsid w:val="001501B8"/>
    <w:rPr>
      <w:rFonts w:ascii="Noto Sans" w:eastAsiaTheme="majorEastAsia" w:hAnsi="Noto Sans" w:cstheme="majorBidi"/>
      <w:b/>
      <w:bCs/>
      <w:sz w:val="28"/>
      <w:szCs w:val="28"/>
    </w:rPr>
  </w:style>
  <w:style w:type="paragraph" w:styleId="FootnoteText">
    <w:name w:val="footnote text"/>
    <w:basedOn w:val="Normal"/>
    <w:link w:val="FootnoteTextChar"/>
    <w:uiPriority w:val="99"/>
    <w:semiHidden/>
    <w:unhideWhenUsed/>
    <w:rsid w:val="00ED21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217A"/>
    <w:rPr>
      <w:sz w:val="20"/>
      <w:szCs w:val="20"/>
    </w:rPr>
  </w:style>
  <w:style w:type="character" w:styleId="FootnoteReference">
    <w:name w:val="footnote reference"/>
    <w:basedOn w:val="DefaultParagraphFont"/>
    <w:uiPriority w:val="99"/>
    <w:semiHidden/>
    <w:unhideWhenUsed/>
    <w:rsid w:val="00ED217A"/>
    <w:rPr>
      <w:vertAlign w:val="superscript"/>
    </w:rPr>
  </w:style>
  <w:style w:type="character" w:styleId="CommentReference">
    <w:name w:val="annotation reference"/>
    <w:basedOn w:val="DefaultParagraphFont"/>
    <w:uiPriority w:val="99"/>
    <w:semiHidden/>
    <w:unhideWhenUsed/>
    <w:rsid w:val="00AF2FD9"/>
    <w:rPr>
      <w:sz w:val="16"/>
      <w:szCs w:val="16"/>
    </w:rPr>
  </w:style>
  <w:style w:type="paragraph" w:styleId="CommentText">
    <w:name w:val="annotation text"/>
    <w:basedOn w:val="Normal"/>
    <w:link w:val="CommentTextChar"/>
    <w:uiPriority w:val="99"/>
    <w:semiHidden/>
    <w:unhideWhenUsed/>
    <w:rsid w:val="00AF2FD9"/>
    <w:pPr>
      <w:spacing w:line="240" w:lineRule="auto"/>
    </w:pPr>
    <w:rPr>
      <w:sz w:val="20"/>
      <w:szCs w:val="20"/>
    </w:rPr>
  </w:style>
  <w:style w:type="character" w:customStyle="1" w:styleId="CommentTextChar">
    <w:name w:val="Comment Text Char"/>
    <w:basedOn w:val="DefaultParagraphFont"/>
    <w:link w:val="CommentText"/>
    <w:uiPriority w:val="99"/>
    <w:semiHidden/>
    <w:rsid w:val="00AF2FD9"/>
    <w:rPr>
      <w:sz w:val="20"/>
      <w:szCs w:val="20"/>
    </w:rPr>
  </w:style>
  <w:style w:type="paragraph" w:styleId="CommentSubject">
    <w:name w:val="annotation subject"/>
    <w:basedOn w:val="CommentText"/>
    <w:next w:val="CommentText"/>
    <w:link w:val="CommentSubjectChar"/>
    <w:uiPriority w:val="99"/>
    <w:semiHidden/>
    <w:unhideWhenUsed/>
    <w:rsid w:val="00AF2FD9"/>
    <w:rPr>
      <w:b/>
      <w:bCs/>
    </w:rPr>
  </w:style>
  <w:style w:type="character" w:customStyle="1" w:styleId="CommentSubjectChar">
    <w:name w:val="Comment Subject Char"/>
    <w:basedOn w:val="CommentTextChar"/>
    <w:link w:val="CommentSubject"/>
    <w:uiPriority w:val="99"/>
    <w:semiHidden/>
    <w:rsid w:val="00AF2F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73F0A-852F-4116-876C-621E187B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SIX</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Ochsner, Fabian</dc:creator>
  <cp:lastModifiedBy>Louis Müller</cp:lastModifiedBy>
  <cp:revision>4</cp:revision>
  <dcterms:created xsi:type="dcterms:W3CDTF">2019-08-30T08:32:00Z</dcterms:created>
  <dcterms:modified xsi:type="dcterms:W3CDTF">2020-03-24T10:41:00Z</dcterms:modified>
</cp:coreProperties>
</file>