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color w:val="202122"/>
        </w:rPr>
      </w:pPr>
      <w:r w:rsidDel="00000000" w:rsidR="00000000" w:rsidRPr="00000000">
        <w:rPr>
          <w:b w:val="1"/>
          <w:rtl w:val="0"/>
        </w:rPr>
        <w:t xml:space="preserve">What i</w:t>
      </w:r>
      <w:r w:rsidDel="00000000" w:rsidR="00000000" w:rsidRPr="00000000">
        <w:rPr>
          <w:b w:val="1"/>
          <w:color w:val="202122"/>
          <w:rtl w:val="0"/>
        </w:rPr>
        <w:t xml:space="preserve">s it?</w:t>
      </w:r>
    </w:p>
    <w:p w:rsidR="00000000" w:rsidDel="00000000" w:rsidP="00000000" w:rsidRDefault="00000000" w:rsidRPr="00000000" w14:paraId="00000002">
      <w:pPr>
        <w:numPr>
          <w:ilvl w:val="0"/>
          <w:numId w:val="3"/>
        </w:numPr>
        <w:ind w:left="720" w:hanging="360"/>
        <w:rPr>
          <w:b w:val="1"/>
          <w:color w:val="202122"/>
        </w:rPr>
      </w:pPr>
      <w:r w:rsidDel="00000000" w:rsidR="00000000" w:rsidRPr="00000000">
        <w:rPr>
          <w:b w:val="1"/>
          <w:color w:val="202122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color w:val="202122"/>
          <w:rtl w:val="0"/>
        </w:rPr>
        <w:t xml:space="preserve">C</w:t>
      </w:r>
      <w:hyperlink r:id="rId6">
        <w:r w:rsidDel="00000000" w:rsidR="00000000" w:rsidRPr="00000000">
          <w:rPr>
            <w:color w:val="202122"/>
            <w:rtl w:val="0"/>
          </w:rPr>
          <w:t xml:space="preserve">omputational</w:t>
        </w:r>
      </w:hyperlink>
      <w:r w:rsidDel="00000000" w:rsidR="00000000" w:rsidRPr="00000000">
        <w:rPr>
          <w:color w:val="202122"/>
          <w:highlight w:val="white"/>
          <w:rtl w:val="0"/>
        </w:rPr>
        <w:t xml:space="preserve"> method that is used to estimate the forces between atoms within molecules and also between molecules</w:t>
      </w:r>
    </w:p>
    <w:p w:rsidR="00000000" w:rsidDel="00000000" w:rsidP="00000000" w:rsidRDefault="00000000" w:rsidRPr="00000000" w14:paraId="00000003">
      <w:pPr>
        <w:numPr>
          <w:ilvl w:val="0"/>
          <w:numId w:val="3"/>
        </w:numPr>
        <w:ind w:left="720" w:hanging="360"/>
        <w:rPr>
          <w:color w:val="202122"/>
          <w:highlight w:val="white"/>
          <w:u w:val="none"/>
        </w:rPr>
      </w:pPr>
      <w:r w:rsidDel="00000000" w:rsidR="00000000" w:rsidRPr="00000000">
        <w:rPr>
          <w:b w:val="1"/>
          <w:color w:val="202122"/>
          <w:highlight w:val="white"/>
          <w:rtl w:val="0"/>
        </w:rPr>
        <w:t xml:space="preserve">Coarse graining</w:t>
      </w:r>
      <w:r w:rsidDel="00000000" w:rsidR="00000000" w:rsidRPr="00000000">
        <w:rPr>
          <w:color w:val="202122"/>
          <w:highlight w:val="white"/>
          <w:rtl w:val="0"/>
        </w:rPr>
        <w:t xml:space="preserve"> - simplified molecular modeling </w:t>
      </w:r>
    </w:p>
    <w:p w:rsidR="00000000" w:rsidDel="00000000" w:rsidP="00000000" w:rsidRDefault="00000000" w:rsidRPr="00000000" w14:paraId="00000004">
      <w:pPr>
        <w:numPr>
          <w:ilvl w:val="1"/>
          <w:numId w:val="3"/>
        </w:numPr>
        <w:ind w:left="1440" w:hanging="360"/>
        <w:rPr>
          <w:color w:val="202122"/>
          <w:highlight w:val="white"/>
          <w:u w:val="none"/>
        </w:rPr>
      </w:pPr>
      <w:r w:rsidDel="00000000" w:rsidR="00000000" w:rsidRPr="00000000">
        <w:rPr>
          <w:color w:val="202122"/>
          <w:highlight w:val="white"/>
          <w:rtl w:val="0"/>
        </w:rPr>
        <w:t xml:space="preserve">Capture system behavior using reduced representation and degrees of freedom</w:t>
      </w:r>
    </w:p>
    <w:p w:rsidR="00000000" w:rsidDel="00000000" w:rsidP="00000000" w:rsidRDefault="00000000" w:rsidRPr="00000000" w14:paraId="00000005">
      <w:pPr>
        <w:numPr>
          <w:ilvl w:val="1"/>
          <w:numId w:val="3"/>
        </w:numPr>
        <w:ind w:left="1440" w:hanging="360"/>
        <w:rPr>
          <w:color w:val="202122"/>
          <w:highlight w:val="white"/>
          <w:u w:val="none"/>
        </w:rPr>
      </w:pPr>
      <w:r w:rsidDel="00000000" w:rsidR="00000000" w:rsidRPr="00000000">
        <w:rPr>
          <w:color w:val="202122"/>
          <w:highlight w:val="yellow"/>
          <w:rtl w:val="0"/>
        </w:rPr>
        <w:t xml:space="preserve">Super atoms/pseudoatoms</w:t>
      </w:r>
      <w:r w:rsidDel="00000000" w:rsidR="00000000" w:rsidRPr="00000000">
        <w:rPr>
          <w:rFonts w:ascii="Arial Unicode MS" w:cs="Arial Unicode MS" w:eastAsia="Arial Unicode MS" w:hAnsi="Arial Unicode MS"/>
          <w:color w:val="202122"/>
          <w:highlight w:val="white"/>
          <w:rtl w:val="0"/>
        </w:rPr>
        <w:t xml:space="preserve"> represent a number of heavy atoms → spherical elements</w:t>
      </w:r>
    </w:p>
    <w:p w:rsidR="00000000" w:rsidDel="00000000" w:rsidP="00000000" w:rsidRDefault="00000000" w:rsidRPr="00000000" w14:paraId="00000006">
      <w:pPr>
        <w:numPr>
          <w:ilvl w:val="1"/>
          <w:numId w:val="3"/>
        </w:numPr>
        <w:ind w:left="1440" w:hanging="360"/>
        <w:rPr>
          <w:color w:val="202122"/>
          <w:highlight w:val="white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02122"/>
          <w:highlight w:val="white"/>
          <w:rtl w:val="0"/>
        </w:rPr>
        <w:t xml:space="preserve">Start withdetailed model and remove irrelevant dof→ loss of robustness?</w:t>
      </w:r>
    </w:p>
    <w:p w:rsidR="00000000" w:rsidDel="00000000" w:rsidP="00000000" w:rsidRDefault="00000000" w:rsidRPr="00000000" w14:paraId="00000007">
      <w:pPr>
        <w:numPr>
          <w:ilvl w:val="1"/>
          <w:numId w:val="3"/>
        </w:numPr>
        <w:ind w:left="1440" w:hanging="360"/>
        <w:rPr>
          <w:color w:val="202122"/>
          <w:highlight w:val="white"/>
          <w:u w:val="none"/>
        </w:rPr>
      </w:pPr>
      <w:r w:rsidDel="00000000" w:rsidR="00000000" w:rsidRPr="00000000">
        <w:rPr>
          <w:color w:val="202122"/>
          <w:highlight w:val="white"/>
          <w:rtl w:val="0"/>
        </w:rPr>
        <w:t xml:space="preserve">Use top down approach - parameters optimized to reproduce thermophysical properties via equation of state</w:t>
      </w:r>
    </w:p>
    <w:p w:rsidR="00000000" w:rsidDel="00000000" w:rsidP="00000000" w:rsidRDefault="00000000" w:rsidRPr="00000000" w14:paraId="00000008">
      <w:pPr>
        <w:numPr>
          <w:ilvl w:val="2"/>
          <w:numId w:val="3"/>
        </w:numPr>
        <w:ind w:left="2160" w:hanging="360"/>
        <w:rPr>
          <w:color w:val="202122"/>
          <w:highlight w:val="white"/>
          <w:u w:val="none"/>
        </w:rPr>
      </w:pPr>
      <w:r w:rsidDel="00000000" w:rsidR="00000000" w:rsidRPr="00000000">
        <w:rPr>
          <w:color w:val="202122"/>
          <w:highlight w:val="yellow"/>
          <w:rtl w:val="0"/>
        </w:rPr>
        <w:t xml:space="preserve">MARTINI </w:t>
      </w:r>
      <w:r w:rsidDel="00000000" w:rsidR="00000000" w:rsidRPr="00000000">
        <w:rPr>
          <w:color w:val="202122"/>
          <w:highlight w:val="white"/>
          <w:rtl w:val="0"/>
        </w:rPr>
        <w:t xml:space="preserve">model most efficient</w:t>
      </w:r>
    </w:p>
    <w:p w:rsidR="00000000" w:rsidDel="00000000" w:rsidP="00000000" w:rsidRDefault="00000000" w:rsidRPr="00000000" w14:paraId="00000009">
      <w:pPr>
        <w:numPr>
          <w:ilvl w:val="3"/>
          <w:numId w:val="3"/>
        </w:numPr>
        <w:ind w:left="2880" w:hanging="360"/>
        <w:rPr>
          <w:color w:val="202122"/>
          <w:highlight w:val="white"/>
        </w:rPr>
      </w:pPr>
      <w:r w:rsidDel="00000000" w:rsidR="00000000" w:rsidRPr="00000000">
        <w:rPr>
          <w:color w:val="333333"/>
          <w:highlight w:val="yellow"/>
          <w:rtl w:val="0"/>
        </w:rPr>
        <w:t xml:space="preserve">F</w:t>
      </w:r>
      <w:r w:rsidDel="00000000" w:rsidR="00000000" w:rsidRPr="00000000">
        <w:rPr>
          <w:color w:val="333333"/>
          <w:highlight w:val="yellow"/>
          <w:rtl w:val="0"/>
        </w:rPr>
        <w:t xml:space="preserve">our-to-one mapping</w:t>
      </w:r>
      <w:r w:rsidDel="00000000" w:rsidR="00000000" w:rsidRPr="00000000">
        <w:rPr>
          <w:rFonts w:ascii="Arial Unicode MS" w:cs="Arial Unicode MS" w:eastAsia="Arial Unicode MS" w:hAnsi="Arial Unicode MS"/>
          <w:color w:val="333333"/>
          <w:highlight w:val="white"/>
          <w:rtl w:val="0"/>
        </w:rPr>
        <w:t xml:space="preserve">, i.e. on average four heavy atoms and associated hydrogens are represented by a single interaction center → 4 types of centers: polar, np, apolar, charged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1"/>
          <w:numId w:val="3"/>
        </w:numPr>
        <w:ind w:left="1440" w:hanging="360"/>
        <w:rPr>
          <w:color w:val="202122"/>
          <w:highlight w:val="white"/>
          <w:u w:val="none"/>
        </w:rPr>
      </w:pPr>
      <w:r w:rsidDel="00000000" w:rsidR="00000000" w:rsidRPr="00000000">
        <w:rPr>
          <w:color w:val="202122"/>
          <w:sz w:val="21"/>
          <w:szCs w:val="21"/>
          <w:highlight w:val="white"/>
        </w:rPr>
        <w:drawing>
          <wp:inline distB="114300" distT="114300" distL="114300" distR="114300">
            <wp:extent cx="3317176" cy="1504424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17176" cy="15044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1"/>
          <w:numId w:val="3"/>
        </w:numPr>
        <w:ind w:left="1440" w:hanging="360"/>
        <w:rPr>
          <w:color w:val="202122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02122"/>
          <w:sz w:val="21"/>
          <w:szCs w:val="21"/>
          <w:highlight w:val="white"/>
          <w:rtl w:val="0"/>
        </w:rPr>
        <w:t xml:space="preserve">Two steps: mapping beads from AA scale to reduce complexity → then, define interactions</w:t>
      </w:r>
    </w:p>
    <w:p w:rsidR="00000000" w:rsidDel="00000000" w:rsidP="00000000" w:rsidRDefault="00000000" w:rsidRPr="00000000" w14:paraId="0000000C">
      <w:pPr>
        <w:numPr>
          <w:ilvl w:val="1"/>
          <w:numId w:val="3"/>
        </w:numPr>
        <w:ind w:left="1440" w:hanging="360"/>
        <w:rPr>
          <w:color w:val="202122"/>
          <w:sz w:val="21"/>
          <w:szCs w:val="21"/>
          <w:highlight w:val="white"/>
          <w:u w:val="none"/>
        </w:rPr>
      </w:pPr>
      <w:r w:rsidDel="00000000" w:rsidR="00000000" w:rsidRPr="00000000">
        <w:rPr>
          <w:color w:val="202122"/>
          <w:sz w:val="21"/>
          <w:szCs w:val="21"/>
          <w:highlight w:val="white"/>
          <w:rtl w:val="0"/>
        </w:rPr>
        <w:t xml:space="preserve">Bottom up approach: AA simulation to derive force fields and interactions </w:t>
      </w:r>
    </w:p>
    <w:p w:rsidR="00000000" w:rsidDel="00000000" w:rsidP="00000000" w:rsidRDefault="00000000" w:rsidRPr="00000000" w14:paraId="0000000D">
      <w:pPr>
        <w:rPr>
          <w:b w:val="1"/>
          <w:color w:val="202122"/>
          <w:sz w:val="21"/>
          <w:szCs w:val="21"/>
          <w:highlight w:val="white"/>
        </w:rPr>
      </w:pPr>
      <w:r w:rsidDel="00000000" w:rsidR="00000000" w:rsidRPr="00000000">
        <w:rPr>
          <w:b w:val="1"/>
          <w:color w:val="202122"/>
          <w:sz w:val="21"/>
          <w:szCs w:val="21"/>
          <w:highlight w:val="white"/>
          <w:rtl w:val="0"/>
        </w:rPr>
        <w:t xml:space="preserve">Why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rPr>
          <w:color w:val="202122"/>
          <w:highlight w:val="white"/>
        </w:rPr>
      </w:pPr>
      <w:r w:rsidDel="00000000" w:rsidR="00000000" w:rsidRPr="00000000">
        <w:rPr>
          <w:color w:val="202122"/>
          <w:highlight w:val="white"/>
          <w:rtl w:val="0"/>
        </w:rPr>
        <w:t xml:space="preserve">Reconstruction of modeled structures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rPr>
          <w:color w:val="202122"/>
          <w:highlight w:val="white"/>
          <w:u w:val="none"/>
        </w:rPr>
      </w:pPr>
      <w:r w:rsidDel="00000000" w:rsidR="00000000" w:rsidRPr="00000000">
        <w:rPr>
          <w:color w:val="202122"/>
          <w:highlight w:val="white"/>
          <w:rtl w:val="0"/>
        </w:rPr>
        <w:t xml:space="preserve">Reduce computational cost and chemical space complexity while still being accurate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  <w:rPr>
          <w:color w:val="202122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2"/>
          <w:highlight w:val="white"/>
          <w:rtl w:val="0"/>
        </w:rPr>
        <w:t xml:space="preserve">Computationally more effective and enable simulations of much longer time-scales and/or larger sizes of the systems studied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  <w:rPr>
          <w:rFonts w:ascii="Roboto" w:cs="Roboto" w:eastAsia="Roboto" w:hAnsi="Roboto"/>
          <w:color w:val="202122"/>
          <w:highlight w:val="white"/>
        </w:rPr>
      </w:pPr>
      <w:r w:rsidDel="00000000" w:rsidR="00000000" w:rsidRPr="00000000">
        <w:rPr>
          <w:color w:val="333333"/>
          <w:highlight w:val="white"/>
          <w:rtl w:val="0"/>
        </w:rPr>
        <w:t xml:space="preserve">In order to study the large size of polymer chains and the associated slow relaxation processes, a reduction of the degrees of freedom has proven absolutely necessary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  <w:color w:val="202122"/>
          <w:highlight w:val="white"/>
        </w:rPr>
      </w:pPr>
      <w:r w:rsidDel="00000000" w:rsidR="00000000" w:rsidRPr="00000000">
        <w:rPr>
          <w:b w:val="1"/>
          <w:color w:val="202122"/>
          <w:highlight w:val="white"/>
          <w:rtl w:val="0"/>
        </w:rPr>
        <w:t xml:space="preserve">Uses</w:t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ind w:left="720" w:hanging="360"/>
        <w:rPr>
          <w:color w:val="202122"/>
          <w:highlight w:val="white"/>
        </w:rPr>
      </w:pPr>
      <w:r w:rsidDel="00000000" w:rsidR="00000000" w:rsidRPr="00000000">
        <w:rPr>
          <w:color w:val="202122"/>
          <w:highlight w:val="white"/>
          <w:rtl w:val="0"/>
        </w:rPr>
        <w:t xml:space="preserve">Studying protein folding mechanisms based generalized protein-like models or simulations of real proteins</w:t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ind w:left="720" w:hanging="360"/>
        <w:rPr>
          <w:color w:val="202122"/>
          <w:highlight w:val="white"/>
        </w:rPr>
      </w:pPr>
      <w:r w:rsidDel="00000000" w:rsidR="00000000" w:rsidRPr="00000000">
        <w:rPr>
          <w:color w:val="202122"/>
          <w:highlight w:val="white"/>
          <w:rtl w:val="0"/>
        </w:rPr>
        <w:t xml:space="preserve">Predict protein structures</w:t>
      </w:r>
    </w:p>
    <w:p w:rsidR="00000000" w:rsidDel="00000000" w:rsidP="00000000" w:rsidRDefault="00000000" w:rsidRPr="00000000" w14:paraId="00000015">
      <w:pPr>
        <w:rPr>
          <w:color w:val="2021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color w:val="202122"/>
          <w:highlight w:val="white"/>
        </w:rPr>
      </w:pPr>
      <w:r w:rsidDel="00000000" w:rsidR="00000000" w:rsidRPr="00000000">
        <w:rPr>
          <w:color w:val="202122"/>
          <w:highlight w:val="white"/>
        </w:rPr>
        <w:drawing>
          <wp:inline distB="114300" distT="114300" distL="114300" distR="114300">
            <wp:extent cx="1995840" cy="1738313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95840" cy="1738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color w:val="202122"/>
          <w:highlight w:val="white"/>
        </w:rPr>
      </w:pPr>
      <w:r w:rsidDel="00000000" w:rsidR="00000000" w:rsidRPr="00000000">
        <w:rPr>
          <w:color w:val="202122"/>
          <w:highlight w:val="white"/>
        </w:rPr>
        <w:drawing>
          <wp:inline distB="114300" distT="114300" distL="114300" distR="114300">
            <wp:extent cx="5943600" cy="38989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color w:val="2021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color w:val="202122"/>
          <w:highlight w:val="white"/>
        </w:rPr>
      </w:pPr>
      <w:hyperlink r:id="rId10">
        <w:r w:rsidDel="00000000" w:rsidR="00000000" w:rsidRPr="00000000">
          <w:rPr>
            <w:color w:val="1155cc"/>
            <w:highlight w:val="white"/>
            <w:u w:val="single"/>
            <w:rtl w:val="0"/>
          </w:rPr>
          <w:t xml:space="preserve">https://www.sciencedirect.com/science/article/pii/S0378381215300297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color w:val="202122"/>
          <w:highlight w:val="white"/>
        </w:rPr>
      </w:pPr>
      <w:hyperlink r:id="rId11">
        <w:r w:rsidDel="00000000" w:rsidR="00000000" w:rsidRPr="00000000">
          <w:rPr>
            <w:color w:val="1155cc"/>
            <w:highlight w:val="white"/>
            <w:u w:val="single"/>
            <w:rtl w:val="0"/>
          </w:rPr>
          <w:t xml:space="preserve">https://pubs.acs.org/doi/10.1021/acs.chemrev.6b00163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firstLine="0"/>
        <w:rPr>
          <w:rFonts w:ascii="Roboto" w:cs="Roboto" w:eastAsia="Roboto" w:hAnsi="Roboto"/>
          <w:color w:val="202122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2"/>
          <w:highlight w:val="white"/>
          <w:rtl w:val="0"/>
        </w:rPr>
        <w:t xml:space="preserve">http://cgmartini.nl/index.php/martini</w:t>
      </w:r>
    </w:p>
    <w:p w:rsidR="00000000" w:rsidDel="00000000" w:rsidP="00000000" w:rsidRDefault="00000000" w:rsidRPr="00000000" w14:paraId="0000001C">
      <w:pPr>
        <w:rPr>
          <w:color w:val="2021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color w:val="202122"/>
          <w:highlight w:val="white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yperlink" Target="https://pubs.acs.org/doi/10.1021/acs.chemrev.6b00163" TargetMode="External"/><Relationship Id="rId10" Type="http://schemas.openxmlformats.org/officeDocument/2006/relationships/hyperlink" Target="https://www.sciencedirect.com/science/article/pii/S0378381215300297" TargetMode="Externa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hyperlink" Target="https://en.wikipedia.org/wiki/Computational_chemistry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