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UTreatment</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sz w:val="30"/>
          <w:szCs w:val="30"/>
          <w:rtl w:val="0"/>
        </w:rPr>
        <w:t xml:space="preserve">Software safety classification</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ff0000"/>
          <w:sz w:val="30"/>
          <w:szCs w:val="3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reference number: UT-SSC</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Scope:</w:t>
      </w:r>
      <w:r w:rsidDel="00000000" w:rsidR="00000000" w:rsidRPr="00000000">
        <w:rPr>
          <w:rFonts w:ascii="Times New Roman" w:cs="Times New Roman" w:eastAsia="Times New Roman" w:hAnsi="Times New Roman"/>
          <w:sz w:val="28"/>
          <w:szCs w:val="28"/>
          <w:rtl w:val="0"/>
        </w:rPr>
        <w:t xml:space="preserve"> This document contains software safety classification </w:t>
      </w:r>
      <w:r w:rsidDel="00000000" w:rsidR="00000000" w:rsidRPr="00000000">
        <w:rPr>
          <w:rFonts w:ascii="Times New Roman" w:cs="Times New Roman" w:eastAsia="Times New Roman" w:hAnsi="Times New Roman"/>
          <w:sz w:val="24"/>
          <w:szCs w:val="24"/>
          <w:rtl w:val="0"/>
        </w:rPr>
        <w:t xml:space="preserve">fo</w:t>
      </w:r>
      <w:r w:rsidDel="00000000" w:rsidR="00000000" w:rsidRPr="00000000">
        <w:rPr>
          <w:rFonts w:ascii="Times New Roman" w:cs="Times New Roman" w:eastAsia="Times New Roman" w:hAnsi="Times New Roman"/>
          <w:sz w:val="28"/>
          <w:szCs w:val="28"/>
          <w:rtl w:val="0"/>
        </w:rPr>
        <w:t xml:space="preserve">r UTreatment based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standard DS:62304 “software life cycle”.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 </w:t>
      </w:r>
      <w:r w:rsidDel="00000000" w:rsidR="00000000" w:rsidRPr="00000000">
        <w:rPr>
          <w:rFonts w:ascii="Times New Roman" w:cs="Times New Roman" w:eastAsia="Times New Roman" w:hAnsi="Times New Roman"/>
          <w:sz w:val="28"/>
          <w:szCs w:val="28"/>
          <w:rtl w:val="0"/>
        </w:rPr>
        <w:t xml:space="preserve">Emma Rothmann, Katrine Stephansen, Louise Leonhard &amp; Saaluja Sriharan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  </w:t>
      </w:r>
      <w:r w:rsidDel="00000000" w:rsidR="00000000" w:rsidRPr="00000000">
        <w:rPr>
          <w:rFonts w:ascii="Times New Roman" w:cs="Times New Roman" w:eastAsia="Times New Roman" w:hAnsi="Times New Roman"/>
          <w:sz w:val="28"/>
          <w:szCs w:val="28"/>
          <w:rtl w:val="0"/>
        </w:rPr>
        <w:t xml:space="preserve">UT-IP</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Revision history:</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tbl>
      <w:tblPr>
        <w:tblStyle w:val="Table1"/>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890"/>
        <w:gridCol w:w="2055"/>
        <w:gridCol w:w="4155"/>
        <w:tblGridChange w:id="0">
          <w:tblGrid>
            <w:gridCol w:w="1215"/>
            <w:gridCol w:w="1890"/>
            <w:gridCol w:w="2055"/>
            <w:gridCol w:w="415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Revised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Revision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of changes</w:t>
            </w:r>
          </w:p>
        </w:tc>
      </w:tr>
      <w:tr>
        <w:trPr>
          <w:cantSplit w:val="0"/>
          <w:trHeight w:val="865.268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Katrine Stephansen and Louise Leonhard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16.03.2022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version</w:t>
            </w:r>
          </w:p>
        </w:tc>
      </w:tr>
      <w:tr>
        <w:trPr>
          <w:cantSplit w:val="0"/>
          <w:trHeight w:val="910.268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Emma Rothmann and Saaluja Sriharan</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09.05.2022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Second version </w:t>
            </w:r>
          </w:p>
        </w:tc>
      </w:tr>
      <w:tr>
        <w:trPr>
          <w:cantSplit w:val="0"/>
          <w:trHeight w:val="910.268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1">
      <w:pPr>
        <w:rPr>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section 4.3, the UTreatment software system belongs to software safety class A. This is due to the fact that the use of UTreatment does not result in any unacceptable risk after consideration of risk control measures external to the software system.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sz w:val="24"/>
          <w:szCs w:val="24"/>
          <w:u w:val="single"/>
        </w:rPr>
      </w:pPr>
      <w:r w:rsidDel="00000000" w:rsidR="00000000" w:rsidRPr="00000000">
        <w:rPr>
          <w:i w:val="1"/>
          <w:sz w:val="24"/>
          <w:szCs w:val="24"/>
        </w:rPr>
        <w:drawing>
          <wp:inline distB="114300" distT="114300" distL="114300" distR="114300">
            <wp:extent cx="4663936" cy="42408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3936" cy="42408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u w:val="single"/>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