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DS62304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Software life cycle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Kapitel III: Terms and definition </w:t>
      </w: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Medical device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Udstyret skal udvikles med henblik på medicinsk formål.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Sikkerhed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Udstyret må kun tilgås af autoriserede personer eller systemer.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item består af forskellige definitioner: produkt, system og unit.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produkt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Udstyret består af computerprogrammer, procedurer og dokumentation.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rtl w:val="0"/>
              </w:rPr>
              <w:t xml:space="preserve">Udstyret er integreret af flere elementer, således det kan udføre en bestemt funktion(er).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unit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Kapitel IV: General requirements </w:t>
      </w:r>
      <w:r w:rsidDel="00000000" w:rsidR="00000000" w:rsidRPr="00000000">
        <w:rPr>
          <w:rtl w:val="0"/>
        </w:rPr>
      </w:r>
    </w:p>
    <w:tbl>
      <w:tblPr>
        <w:tblStyle w:val="Table2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Quality management system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Udstyret skal indeholde evner for et medical device software. Derudover opfylde kravene dertil.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Indeholde en risikostyringsproces, som stemmer overens med ISO-standarderne.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ISO: 14971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safety classification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Udstyret skal være klassificeres som enten klasse A,B eller 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after="0" w:before="0" w:line="308.5714285714286" w:lineRule="auto"/>
        <w:ind w:left="720" w:firstLine="0"/>
        <w:rPr>
          <w:rFonts w:ascii="Times New Roman" w:cs="Times New Roman" w:eastAsia="Times New Roman" w:hAnsi="Times New Roman"/>
          <w:color w:val="20212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202124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Kapitel V: Software development planning </w:t>
      </w:r>
      <w:r w:rsidDel="00000000" w:rsidR="00000000" w:rsidRPr="00000000">
        <w:rPr>
          <w:rtl w:val="0"/>
        </w:rPr>
      </w:r>
    </w:p>
    <w:tbl>
      <w:tblPr>
        <w:tblStyle w:val="Table3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development plan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Producenten, af det medicinske udstyr, skal have en plan for udviklingsprocessen: processer, sporbarhed mellem krav, test og risikokontrol.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requirements analysis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På baggrund af systemkravene skal software systemkrav defineres.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unit implementation and verification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Hver software enhed bør implementeres. Eftersom udstyret er klassificeret som en klasse A. Hertil skal der dokumenteres eller evaluere verifikationsprocesserne.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rFonts w:ascii="Times New Roman" w:cs="Times New Roman" w:eastAsia="Times New Roman" w:hAnsi="Times New Roman"/>
          <w:color w:val="20212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rFonts w:ascii="Times New Roman" w:cs="Times New Roman" w:eastAsia="Times New Roman" w:hAnsi="Times New Roman"/>
          <w:color w:val="20212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rFonts w:ascii="Times New Roman" w:cs="Times New Roman" w:eastAsia="Times New Roman" w:hAnsi="Times New Roman"/>
          <w:color w:val="20212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rFonts w:ascii="Times New Roman" w:cs="Times New Roman" w:eastAsia="Times New Roman" w:hAnsi="Times New Roman"/>
          <w:color w:val="202124"/>
          <w:sz w:val="42"/>
          <w:szCs w:val="4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