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37808CE6" w:rsidR="00E40068" w:rsidRDefault="00F61F88" w:rsidP="00D4221C">
      <w:pPr>
        <w:pStyle w:val="Title"/>
        <w:rPr>
          <w:lang w:val="en-US"/>
        </w:rPr>
      </w:pPr>
      <w:r>
        <w:rPr>
          <w:lang w:val="en-US"/>
        </w:rPr>
        <w:t>Chlorothalonil</w:t>
      </w:r>
    </w:p>
    <w:p w14:paraId="0622A8AA" w14:textId="6BCCB8A2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F61F88">
        <w:rPr>
          <w:lang w:val="en-US"/>
        </w:rPr>
        <w:t>12 March 2025</w:t>
      </w:r>
      <w:r>
        <w:rPr>
          <w:lang w:val="en-US"/>
        </w:rPr>
        <w:t>)</w:t>
      </w:r>
    </w:p>
    <w:p w14:paraId="36C236EE" w14:textId="40067265" w:rsidR="00D4221C" w:rsidRDefault="00FE35A4" w:rsidP="00D4221C">
      <w:pPr>
        <w:rPr>
          <w:lang w:val="en-US"/>
        </w:rPr>
      </w:pPr>
      <w:r>
        <w:object w:dxaOrig="1710" w:dyaOrig="1830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90.75pt" o:ole="">
            <v:imagedata r:id="rId6" o:title=""/>
          </v:shape>
          <o:OLEObject Type="Embed" ProgID="ACD.ChemSketch.20" ShapeID="_x0000_i1025" DrawAspect="Content" ObjectID="_1803813418" r:id="rId7"/>
        </w:object>
      </w:r>
    </w:p>
    <w:p w14:paraId="5B1AA517" w14:textId="30EF032A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FE35A4">
        <w:t>ch</w:t>
      </w:r>
      <w:r w:rsidR="00715345">
        <w:t>l</w:t>
      </w:r>
      <w:r w:rsidR="00FE35A4">
        <w:t>orothalonil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8647"/>
      </w:tblGrid>
      <w:tr w:rsidR="00715345" w:rsidRPr="00715345" w14:paraId="23D115FF" w14:textId="77777777" w:rsidTr="00715345">
        <w:trPr>
          <w:trHeight w:val="255"/>
        </w:trPr>
        <w:tc>
          <w:tcPr>
            <w:tcW w:w="845" w:type="pct"/>
            <w:shd w:val="clear" w:color="auto" w:fill="auto"/>
            <w:noWrap/>
            <w:hideMark/>
          </w:tcPr>
          <w:p w14:paraId="1324044C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4155" w:type="pct"/>
            <w:shd w:val="clear" w:color="auto" w:fill="auto"/>
            <w:noWrap/>
            <w:hideMark/>
          </w:tcPr>
          <w:p w14:paraId="67C5A17D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BAWNIW</w:t>
            </w:r>
          </w:p>
        </w:tc>
      </w:tr>
      <w:tr w:rsidR="00715345" w:rsidRPr="00715345" w14:paraId="0F2C40FE" w14:textId="77777777" w:rsidTr="00715345">
        <w:trPr>
          <w:trHeight w:val="255"/>
        </w:trPr>
        <w:tc>
          <w:tcPr>
            <w:tcW w:w="845" w:type="pct"/>
            <w:shd w:val="clear" w:color="auto" w:fill="auto"/>
            <w:noWrap/>
            <w:hideMark/>
          </w:tcPr>
          <w:p w14:paraId="2745AC75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4155" w:type="pct"/>
            <w:shd w:val="clear" w:color="auto" w:fill="auto"/>
            <w:noWrap/>
            <w:hideMark/>
          </w:tcPr>
          <w:p w14:paraId="36F5CFA8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C8 N2 Cl4</w:t>
            </w:r>
          </w:p>
        </w:tc>
      </w:tr>
      <w:tr w:rsidR="00715345" w:rsidRPr="00715345" w14:paraId="0F5F5839" w14:textId="77777777" w:rsidTr="00715345">
        <w:trPr>
          <w:trHeight w:val="255"/>
        </w:trPr>
        <w:tc>
          <w:tcPr>
            <w:tcW w:w="845" w:type="pct"/>
            <w:shd w:val="clear" w:color="auto" w:fill="auto"/>
            <w:noWrap/>
            <w:hideMark/>
          </w:tcPr>
          <w:p w14:paraId="2FC60566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4155" w:type="pct"/>
            <w:shd w:val="clear" w:color="auto" w:fill="auto"/>
            <w:noWrap/>
            <w:hideMark/>
          </w:tcPr>
          <w:p w14:paraId="5AC9EB93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Chlorothalonil</w:t>
            </w:r>
          </w:p>
        </w:tc>
      </w:tr>
      <w:tr w:rsidR="00715345" w:rsidRPr="00715345" w14:paraId="07B82DB3" w14:textId="77777777" w:rsidTr="00715345">
        <w:trPr>
          <w:trHeight w:val="255"/>
        </w:trPr>
        <w:tc>
          <w:tcPr>
            <w:tcW w:w="845" w:type="pct"/>
            <w:shd w:val="clear" w:color="auto" w:fill="auto"/>
            <w:noWrap/>
            <w:hideMark/>
          </w:tcPr>
          <w:p w14:paraId="57C832CF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4155" w:type="pct"/>
            <w:shd w:val="clear" w:color="auto" w:fill="auto"/>
            <w:noWrap/>
            <w:hideMark/>
          </w:tcPr>
          <w:p w14:paraId="36522091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2,4,5,6-tetrachloro-1,3-dicyanobenzene</w:t>
            </w:r>
          </w:p>
        </w:tc>
      </w:tr>
      <w:tr w:rsidR="00715345" w:rsidRPr="00715345" w14:paraId="3278DFBA" w14:textId="77777777" w:rsidTr="00715345">
        <w:trPr>
          <w:trHeight w:val="255"/>
        </w:trPr>
        <w:tc>
          <w:tcPr>
            <w:tcW w:w="845" w:type="pct"/>
            <w:shd w:val="clear" w:color="auto" w:fill="auto"/>
            <w:noWrap/>
            <w:hideMark/>
          </w:tcPr>
          <w:p w14:paraId="3FBDE965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 Names</w:t>
            </w:r>
          </w:p>
        </w:tc>
        <w:tc>
          <w:tcPr>
            <w:tcW w:w="4155" w:type="pct"/>
            <w:shd w:val="clear" w:color="auto" w:fill="auto"/>
            <w:noWrap/>
            <w:hideMark/>
          </w:tcPr>
          <w:p w14:paraId="73AF9876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tetrachloroisophthalonitrile</w:t>
            </w:r>
            <w:proofErr w:type="spellEnd"/>
          </w:p>
        </w:tc>
      </w:tr>
      <w:tr w:rsidR="00715345" w:rsidRPr="00715345" w14:paraId="3DF584F9" w14:textId="77777777" w:rsidTr="00715345">
        <w:trPr>
          <w:trHeight w:val="255"/>
        </w:trPr>
        <w:tc>
          <w:tcPr>
            <w:tcW w:w="845" w:type="pct"/>
            <w:tcBorders>
              <w:bottom w:val="single" w:sz="24" w:space="0" w:color="auto"/>
            </w:tcBorders>
            <w:shd w:val="clear" w:color="auto" w:fill="auto"/>
            <w:noWrap/>
            <w:hideMark/>
          </w:tcPr>
          <w:p w14:paraId="622BBBF5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CSD </w:t>
            </w:r>
            <w:proofErr w:type="spellStart"/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Refcodes</w:t>
            </w:r>
            <w:proofErr w:type="spellEnd"/>
          </w:p>
        </w:tc>
        <w:tc>
          <w:tcPr>
            <w:tcW w:w="4155" w:type="pct"/>
            <w:tcBorders>
              <w:bottom w:val="single" w:sz="24" w:space="0" w:color="auto"/>
            </w:tcBorders>
            <w:shd w:val="clear" w:color="auto" w:fill="auto"/>
            <w:noWrap/>
            <w:hideMark/>
          </w:tcPr>
          <w:p w14:paraId="42D69A98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BAWNIW, BAWNIW06, BAWNIW02</w:t>
            </w:r>
          </w:p>
        </w:tc>
      </w:tr>
      <w:tr w:rsidR="00715345" w:rsidRPr="00715345" w14:paraId="37D877D3" w14:textId="77777777" w:rsidTr="00715345">
        <w:trPr>
          <w:trHeight w:val="255"/>
        </w:trPr>
        <w:tc>
          <w:tcPr>
            <w:tcW w:w="845" w:type="pct"/>
            <w:tcBorders>
              <w:top w:val="single" w:sz="2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73E3D92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4155" w:type="pct"/>
            <w:tcBorders>
              <w:top w:val="single" w:sz="2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9CCFB7B" w14:textId="4117FE49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715345" w:rsidRPr="00715345" w14:paraId="636B8207" w14:textId="77777777" w:rsidTr="00715345">
        <w:trPr>
          <w:trHeight w:val="255"/>
        </w:trPr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679A0D7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4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31BFAA7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Helen Tsui</w:t>
            </w:r>
          </w:p>
        </w:tc>
      </w:tr>
      <w:tr w:rsidR="00715345" w:rsidRPr="00715345" w14:paraId="51770D3F" w14:textId="77777777" w:rsidTr="00715345">
        <w:trPr>
          <w:trHeight w:val="255"/>
        </w:trPr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E682A93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4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D3626B0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2003</w:t>
            </w:r>
          </w:p>
        </w:tc>
      </w:tr>
      <w:tr w:rsidR="00715345" w:rsidRPr="00715345" w14:paraId="195BB94B" w14:textId="77777777" w:rsidTr="00715345">
        <w:trPr>
          <w:trHeight w:val="255"/>
        </w:trPr>
        <w:tc>
          <w:tcPr>
            <w:tcW w:w="845" w:type="pct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  <w:noWrap/>
            <w:hideMark/>
          </w:tcPr>
          <w:p w14:paraId="5F440586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4155" w:type="pct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  <w:noWrap/>
            <w:hideMark/>
          </w:tcPr>
          <w:p w14:paraId="4F94C523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Tremayne M, Grice L, Pyatt JC, Seaton CC, Kariuki BM, Tsui HHY, Price SL, Cherryman JC, J Am Chem Soc, 126(22); 7071-7081 (2004)</w:t>
            </w:r>
          </w:p>
        </w:tc>
      </w:tr>
      <w:tr w:rsidR="00715345" w:rsidRPr="00715345" w14:paraId="58A1E7D3" w14:textId="77777777" w:rsidTr="00715345">
        <w:trPr>
          <w:trHeight w:val="255"/>
        </w:trPr>
        <w:tc>
          <w:tcPr>
            <w:tcW w:w="845" w:type="pct"/>
            <w:tcBorders>
              <w:top w:val="single" w:sz="24" w:space="0" w:color="auto"/>
            </w:tcBorders>
            <w:shd w:val="clear" w:color="auto" w:fill="auto"/>
            <w:noWrap/>
            <w:hideMark/>
          </w:tcPr>
          <w:p w14:paraId="6E1568FC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4155" w:type="pct"/>
            <w:tcBorders>
              <w:top w:val="single" w:sz="24" w:space="0" w:color="auto"/>
            </w:tcBorders>
            <w:shd w:val="clear" w:color="auto" w:fill="auto"/>
            <w:noWrap/>
            <w:hideMark/>
          </w:tcPr>
          <w:p w14:paraId="466981B5" w14:textId="50D7D6EB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715345" w:rsidRPr="00715345" w14:paraId="76D53B34" w14:textId="77777777" w:rsidTr="00715345">
        <w:trPr>
          <w:trHeight w:val="255"/>
        </w:trPr>
        <w:tc>
          <w:tcPr>
            <w:tcW w:w="845" w:type="pct"/>
            <w:shd w:val="clear" w:color="auto" w:fill="auto"/>
            <w:noWrap/>
            <w:hideMark/>
          </w:tcPr>
          <w:p w14:paraId="56477925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4155" w:type="pct"/>
            <w:shd w:val="clear" w:color="auto" w:fill="auto"/>
            <w:noWrap/>
            <w:hideMark/>
          </w:tcPr>
          <w:p w14:paraId="0EFF6513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715345" w:rsidRPr="00715345" w14:paraId="039C0090" w14:textId="77777777" w:rsidTr="00715345">
        <w:trPr>
          <w:trHeight w:val="255"/>
        </w:trPr>
        <w:tc>
          <w:tcPr>
            <w:tcW w:w="845" w:type="pct"/>
            <w:shd w:val="clear" w:color="auto" w:fill="auto"/>
            <w:noWrap/>
            <w:hideMark/>
          </w:tcPr>
          <w:p w14:paraId="6D4D27A8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4155" w:type="pct"/>
            <w:shd w:val="clear" w:color="auto" w:fill="auto"/>
            <w:noWrap/>
            <w:hideMark/>
          </w:tcPr>
          <w:p w14:paraId="43F75C48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</w:t>
            </w:r>
            <w:proofErr w:type="spellEnd"/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DMAREL (3.02)</w:t>
            </w:r>
          </w:p>
        </w:tc>
      </w:tr>
      <w:tr w:rsidR="00715345" w:rsidRPr="00715345" w14:paraId="507D39CF" w14:textId="77777777" w:rsidTr="00715345">
        <w:trPr>
          <w:trHeight w:val="255"/>
        </w:trPr>
        <w:tc>
          <w:tcPr>
            <w:tcW w:w="845" w:type="pct"/>
            <w:shd w:val="clear" w:color="auto" w:fill="auto"/>
            <w:noWrap/>
            <w:hideMark/>
          </w:tcPr>
          <w:p w14:paraId="12CE55F4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4155" w:type="pct"/>
            <w:shd w:val="clear" w:color="auto" w:fill="auto"/>
            <w:noWrap/>
            <w:hideMark/>
          </w:tcPr>
          <w:p w14:paraId="10C4299E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\CHEMISTRY_CPOSS\0-EarlySearches\home\louise_price.eminerals\chlorothalonil</w:t>
            </w:r>
          </w:p>
        </w:tc>
      </w:tr>
      <w:tr w:rsidR="00715345" w:rsidRPr="00715345" w14:paraId="4BD82854" w14:textId="77777777" w:rsidTr="00715345">
        <w:trPr>
          <w:trHeight w:val="255"/>
        </w:trPr>
        <w:tc>
          <w:tcPr>
            <w:tcW w:w="845" w:type="pct"/>
            <w:shd w:val="clear" w:color="auto" w:fill="auto"/>
            <w:noWrap/>
            <w:hideMark/>
          </w:tcPr>
          <w:p w14:paraId="6F1FA8DE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4155" w:type="pct"/>
            <w:shd w:val="clear" w:color="auto" w:fill="auto"/>
            <w:noWrap/>
            <w:hideMark/>
          </w:tcPr>
          <w:p w14:paraId="2C9E315B" w14:textId="77777777" w:rsidR="00715345" w:rsidRPr="00715345" w:rsidRDefault="00715345" w:rsidP="007153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MP2 6-31G(</w:t>
            </w:r>
            <w:proofErr w:type="spellStart"/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r w:rsidRPr="007153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 DMA + specific anisotropic repulsion potential</w:t>
            </w:r>
          </w:p>
        </w:tc>
      </w:tr>
    </w:tbl>
    <w:p w14:paraId="2D64244B" w14:textId="765778B0" w:rsidR="00D4221C" w:rsidRPr="00715345" w:rsidRDefault="00D4221C" w:rsidP="00D4221C"/>
    <w:p w14:paraId="14BDEF9A" w14:textId="0175450A" w:rsidR="005A2716" w:rsidRDefault="00715345" w:rsidP="00D42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5AE693" wp14:editId="5D94E717">
            <wp:extent cx="4438650" cy="3222826"/>
            <wp:effectExtent l="0" t="0" r="0" b="0"/>
            <wp:docPr id="20191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98" cy="3230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0A3C0D04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715345">
        <w:t>chlorothalonil</w:t>
      </w:r>
      <w:r>
        <w:t xml:space="preserve"> from previous work.</w:t>
      </w:r>
    </w:p>
    <w:p w14:paraId="29042A5F" w14:textId="57312B23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lastRenderedPageBreak/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BB1392">
        <w:rPr>
          <w:lang w:val="en-US"/>
        </w:rPr>
        <w:t>6</w:t>
      </w:r>
      <w:r w:rsidRPr="005A2716">
        <w:rPr>
          <w:lang w:val="en-US"/>
        </w:rPr>
        <w:t xml:space="preserve"> with </w:t>
      </w:r>
      <w:r w:rsidR="00BB1392">
        <w:rPr>
          <w:lang w:val="en-US"/>
        </w:rPr>
        <w:t>Feb</w:t>
      </w:r>
      <w:r w:rsidRPr="005A2716">
        <w:rPr>
          <w:lang w:val="en-US"/>
        </w:rPr>
        <w:t xml:space="preserve"> 202</w:t>
      </w:r>
      <w:r w:rsidR="00BB1392">
        <w:rPr>
          <w:lang w:val="en-US"/>
        </w:rPr>
        <w:t>5</w:t>
      </w:r>
      <w:r w:rsidRPr="005A2716">
        <w:rPr>
          <w:lang w:val="en-US"/>
        </w:rPr>
        <w:t xml:space="preserve">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3643AC57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715345">
        <w:t>chlorothalonil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32"/>
        <w:gridCol w:w="943"/>
        <w:gridCol w:w="849"/>
        <w:gridCol w:w="899"/>
        <w:gridCol w:w="934"/>
        <w:gridCol w:w="943"/>
        <w:gridCol w:w="879"/>
        <w:gridCol w:w="943"/>
        <w:gridCol w:w="898"/>
        <w:gridCol w:w="985"/>
        <w:gridCol w:w="951"/>
      </w:tblGrid>
      <w:tr w:rsidR="005825DC" w14:paraId="1887575A" w14:textId="78F9D7AA" w:rsidTr="00ED5961">
        <w:tc>
          <w:tcPr>
            <w:tcW w:w="1232" w:type="dxa"/>
            <w:tcBorders>
              <w:bottom w:val="single" w:sz="24" w:space="0" w:color="auto"/>
            </w:tcBorders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49" w:type="dxa"/>
            <w:tcBorders>
              <w:bottom w:val="single" w:sz="24" w:space="0" w:color="auto"/>
            </w:tcBorders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899" w:type="dxa"/>
            <w:tcBorders>
              <w:bottom w:val="single" w:sz="24" w:space="0" w:color="auto"/>
            </w:tcBorders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34" w:type="dxa"/>
            <w:tcBorders>
              <w:bottom w:val="single" w:sz="24" w:space="0" w:color="auto"/>
            </w:tcBorders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79" w:type="dxa"/>
            <w:tcBorders>
              <w:bottom w:val="single" w:sz="24" w:space="0" w:color="auto"/>
            </w:tcBorders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898" w:type="dxa"/>
            <w:tcBorders>
              <w:bottom w:val="single" w:sz="24" w:space="0" w:color="auto"/>
            </w:tcBorders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85" w:type="dxa"/>
            <w:tcBorders>
              <w:bottom w:val="single" w:sz="24" w:space="0" w:color="auto"/>
            </w:tcBorders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51" w:type="dxa"/>
            <w:tcBorders>
              <w:bottom w:val="single" w:sz="24" w:space="0" w:color="auto"/>
            </w:tcBorders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7149E6" w14:paraId="079EEFAC" w14:textId="0670F9D8" w:rsidTr="00ED5961">
        <w:tc>
          <w:tcPr>
            <w:tcW w:w="12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B2ED6A3" w14:textId="6C4E921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EECF4DE" w14:textId="1D488342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84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B0DAB1" w14:textId="01E0464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37AD7B2" w14:textId="13F500B1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24.753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B182A1" w14:textId="39283330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6.226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6ED58D1" w14:textId="56407B5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6.34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A752D35" w14:textId="02C8E70B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541795" w14:textId="70543F13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95.41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11973FE" w14:textId="6B04B0F1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88387FB" w14:textId="2E04F3D4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1.816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372D7D94" w14:textId="5E22F2CF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P21/a, 1</w:t>
            </w:r>
          </w:p>
        </w:tc>
      </w:tr>
      <w:tr w:rsidR="00ED5961" w14:paraId="133F158B" w14:textId="673773C0" w:rsidTr="00ED5961">
        <w:tc>
          <w:tcPr>
            <w:tcW w:w="123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9F141A6" w14:textId="0F0AE39C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978F2E3" w14:textId="2FCA981D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R-3m</w:t>
            </w:r>
          </w:p>
        </w:tc>
        <w:tc>
          <w:tcPr>
            <w:tcW w:w="84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00AAAA2" w14:textId="0A3A4C1B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0.08</w:t>
            </w:r>
          </w:p>
        </w:tc>
        <w:tc>
          <w:tcPr>
            <w:tcW w:w="89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440DD38" w14:textId="79866ACB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9.278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7739B6A" w14:textId="34BBD66C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9.278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91E04D5" w14:textId="251DBDA2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10.093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FAC1241" w14:textId="0100C5E0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7452E43" w14:textId="15B3C392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40CBAB2" w14:textId="2C627D6D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98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7633041" w14:textId="59728537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1.761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</w:tcPr>
          <w:p w14:paraId="5560768C" w14:textId="44DE4C04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R-3m, 2</w:t>
            </w:r>
          </w:p>
        </w:tc>
      </w:tr>
      <w:tr w:rsidR="007149E6" w14:paraId="66609675" w14:textId="70B0C4FA" w:rsidTr="00ED5961">
        <w:tc>
          <w:tcPr>
            <w:tcW w:w="12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71C92DC" w14:textId="196D838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BAWNIW02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8ECF606" w14:textId="195BD3D2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84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5A7248A" w14:textId="72D9E9D7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9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8318C3D" w14:textId="2CECD30B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13.591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FDDCC4A" w14:textId="1469233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6.3033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F2FB56" w14:textId="2079B7A0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18.429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6A104E3" w14:textId="78862E24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4528A4" w14:textId="4EA5240C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109.448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A3513E9" w14:textId="3064BBB3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149C6E8" w14:textId="2381859D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1.78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4881AF25" w14:textId="1F170A0D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P21, 3</w:t>
            </w:r>
          </w:p>
        </w:tc>
      </w:tr>
      <w:tr w:rsidR="007149E6" w14:paraId="14565170" w14:textId="3228EFE4" w:rsidTr="00ED5961">
        <w:tc>
          <w:tcPr>
            <w:tcW w:w="1232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4DFA2C36" w14:textId="3AEFABBB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BAWNIW03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4CDE7962" w14:textId="179BFAA8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R-3m</w:t>
            </w:r>
          </w:p>
        </w:tc>
        <w:tc>
          <w:tcPr>
            <w:tcW w:w="849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0DE383FD" w14:textId="55EBAAB7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0.08</w:t>
            </w:r>
          </w:p>
        </w:tc>
        <w:tc>
          <w:tcPr>
            <w:tcW w:w="899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6C4B3D26" w14:textId="4D01045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9.2392</w:t>
            </w:r>
          </w:p>
        </w:tc>
        <w:tc>
          <w:tcPr>
            <w:tcW w:w="934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1D75DC82" w14:textId="3B10AA51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9.2392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4D992AE3" w14:textId="0962B30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10.0969</w:t>
            </w:r>
          </w:p>
        </w:tc>
        <w:tc>
          <w:tcPr>
            <w:tcW w:w="879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080F2122" w14:textId="2A7BDA75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4776C096" w14:textId="6C788115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31C70CEA" w14:textId="65FD06E0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985" w:type="dxa"/>
            <w:tcBorders>
              <w:top w:val="single" w:sz="24" w:space="0" w:color="auto"/>
            </w:tcBorders>
            <w:shd w:val="clear" w:color="auto" w:fill="FFFFFF" w:themeFill="background1"/>
            <w:vAlign w:val="bottom"/>
          </w:tcPr>
          <w:p w14:paraId="3C473F5B" w14:textId="36FDB025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1.775</w:t>
            </w:r>
          </w:p>
        </w:tc>
        <w:tc>
          <w:tcPr>
            <w:tcW w:w="951" w:type="dxa"/>
            <w:tcBorders>
              <w:top w:val="single" w:sz="24" w:space="0" w:color="auto"/>
            </w:tcBorders>
            <w:shd w:val="clear" w:color="auto" w:fill="FFFFFF" w:themeFill="background1"/>
          </w:tcPr>
          <w:p w14:paraId="6787C24F" w14:textId="336D4A0A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R-3m</w:t>
            </w:r>
          </w:p>
        </w:tc>
      </w:tr>
      <w:tr w:rsidR="007149E6" w14:paraId="0B74FBBB" w14:textId="5E3651A6" w:rsidTr="007149E6">
        <w:tc>
          <w:tcPr>
            <w:tcW w:w="1232" w:type="dxa"/>
            <w:shd w:val="clear" w:color="auto" w:fill="FFFFFF" w:themeFill="background1"/>
            <w:vAlign w:val="bottom"/>
          </w:tcPr>
          <w:p w14:paraId="69FD970E" w14:textId="3D5B3D14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BAWNIW04</w:t>
            </w:r>
          </w:p>
        </w:tc>
        <w:tc>
          <w:tcPr>
            <w:tcW w:w="943" w:type="dxa"/>
            <w:shd w:val="clear" w:color="auto" w:fill="FFFFFF" w:themeFill="background1"/>
            <w:vAlign w:val="bottom"/>
          </w:tcPr>
          <w:p w14:paraId="44346B56" w14:textId="7043069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849" w:type="dxa"/>
            <w:shd w:val="clear" w:color="auto" w:fill="FFFFFF" w:themeFill="background1"/>
            <w:vAlign w:val="bottom"/>
          </w:tcPr>
          <w:p w14:paraId="2A068B00" w14:textId="56610FB8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9" w:type="dxa"/>
            <w:shd w:val="clear" w:color="auto" w:fill="FFFFFF" w:themeFill="background1"/>
            <w:vAlign w:val="bottom"/>
          </w:tcPr>
          <w:p w14:paraId="580F40C9" w14:textId="64A4F4A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6.3082</w:t>
            </w:r>
          </w:p>
        </w:tc>
        <w:tc>
          <w:tcPr>
            <w:tcW w:w="934" w:type="dxa"/>
            <w:shd w:val="clear" w:color="auto" w:fill="FFFFFF" w:themeFill="background1"/>
            <w:vAlign w:val="bottom"/>
          </w:tcPr>
          <w:p w14:paraId="5C354B4A" w14:textId="274AEA0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6.2995</w:t>
            </w:r>
          </w:p>
        </w:tc>
        <w:tc>
          <w:tcPr>
            <w:tcW w:w="943" w:type="dxa"/>
            <w:shd w:val="clear" w:color="auto" w:fill="FFFFFF" w:themeFill="background1"/>
            <w:vAlign w:val="bottom"/>
          </w:tcPr>
          <w:p w14:paraId="039641C9" w14:textId="000131AB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6.3137</w:t>
            </w:r>
          </w:p>
        </w:tc>
        <w:tc>
          <w:tcPr>
            <w:tcW w:w="879" w:type="dxa"/>
            <w:shd w:val="clear" w:color="auto" w:fill="FFFFFF" w:themeFill="background1"/>
            <w:vAlign w:val="bottom"/>
          </w:tcPr>
          <w:p w14:paraId="36665EB6" w14:textId="48DB0ACB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94.202</w:t>
            </w:r>
          </w:p>
        </w:tc>
        <w:tc>
          <w:tcPr>
            <w:tcW w:w="943" w:type="dxa"/>
            <w:shd w:val="clear" w:color="auto" w:fill="FFFFFF" w:themeFill="background1"/>
            <w:vAlign w:val="bottom"/>
          </w:tcPr>
          <w:p w14:paraId="104C49C8" w14:textId="1639E4E4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94.059</w:t>
            </w:r>
          </w:p>
        </w:tc>
        <w:tc>
          <w:tcPr>
            <w:tcW w:w="898" w:type="dxa"/>
            <w:shd w:val="clear" w:color="auto" w:fill="FFFFFF" w:themeFill="background1"/>
            <w:vAlign w:val="bottom"/>
          </w:tcPr>
          <w:p w14:paraId="59B73314" w14:textId="460EC9A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94.286</w:t>
            </w:r>
          </w:p>
        </w:tc>
        <w:tc>
          <w:tcPr>
            <w:tcW w:w="985" w:type="dxa"/>
            <w:shd w:val="clear" w:color="auto" w:fill="FFFFFF" w:themeFill="background1"/>
            <w:vAlign w:val="bottom"/>
          </w:tcPr>
          <w:p w14:paraId="642F73A9" w14:textId="405C03A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1.775</w:t>
            </w:r>
          </w:p>
        </w:tc>
        <w:tc>
          <w:tcPr>
            <w:tcW w:w="951" w:type="dxa"/>
            <w:shd w:val="clear" w:color="auto" w:fill="FFFFFF" w:themeFill="background1"/>
          </w:tcPr>
          <w:p w14:paraId="64E73E4B" w14:textId="5477614C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</w:tr>
      <w:tr w:rsidR="007149E6" w14:paraId="682E4A17" w14:textId="77777777" w:rsidTr="00ED5961">
        <w:tc>
          <w:tcPr>
            <w:tcW w:w="1232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E8EFFDD" w14:textId="25053001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BAWNIW05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EFABB7E" w14:textId="530F6663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49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3F7B482" w14:textId="10D7BD82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9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0D489A3" w14:textId="3F8DDA07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6.3177</w:t>
            </w:r>
          </w:p>
        </w:tc>
        <w:tc>
          <w:tcPr>
            <w:tcW w:w="934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4B104B7" w14:textId="3FF2020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6.1897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60E936F" w14:textId="42459FD0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24.523</w:t>
            </w:r>
          </w:p>
        </w:tc>
        <w:tc>
          <w:tcPr>
            <w:tcW w:w="879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83AD095" w14:textId="0410C868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360B401" w14:textId="12E4E918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95.902</w:t>
            </w:r>
          </w:p>
        </w:tc>
        <w:tc>
          <w:tcPr>
            <w:tcW w:w="898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FE655F6" w14:textId="72CEF0B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27CC922" w14:textId="07F69D9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1.852</w:t>
            </w:r>
          </w:p>
        </w:tc>
        <w:tc>
          <w:tcPr>
            <w:tcW w:w="951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483D067A" w14:textId="0CDD5104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P21/c</w:t>
            </w:r>
          </w:p>
        </w:tc>
      </w:tr>
      <w:tr w:rsidR="007149E6" w14:paraId="2E082EA0" w14:textId="77777777" w:rsidTr="00ED5961">
        <w:tc>
          <w:tcPr>
            <w:tcW w:w="12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434C64A" w14:textId="1B095BCA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BAWNIW06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7A7E012" w14:textId="5113205C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R-3m</w:t>
            </w:r>
          </w:p>
        </w:tc>
        <w:tc>
          <w:tcPr>
            <w:tcW w:w="84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E4BEE8D" w14:textId="65CD4A4D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0.08</w:t>
            </w:r>
          </w:p>
        </w:tc>
        <w:tc>
          <w:tcPr>
            <w:tcW w:w="89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20B7329" w14:textId="0FA866DC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9.2171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7C4DC0DC" w14:textId="4A7EB534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9.2171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4DECB760" w14:textId="79FA56F7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9.935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D43B6AB" w14:textId="13E74216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79C37AF6" w14:textId="29DEFF50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B511C16" w14:textId="6AF5782D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98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1AF6769" w14:textId="66104790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1.812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5" w:themeFillTint="66"/>
          </w:tcPr>
          <w:p w14:paraId="511F04CE" w14:textId="2D5BEB59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R-3m, 2</w:t>
            </w:r>
          </w:p>
        </w:tc>
      </w:tr>
      <w:tr w:rsidR="00ED5961" w14:paraId="708CCCFA" w14:textId="77777777" w:rsidTr="00ED5961">
        <w:tc>
          <w:tcPr>
            <w:tcW w:w="12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43BFA02" w14:textId="19964AD6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BAWNIW07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BF319C2" w14:textId="35C1C052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84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8300B0E" w14:textId="64FBD5B1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1625015D" w14:textId="2C41C137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8.1615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4B20821" w14:textId="719E339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9.4191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CEEAE6E" w14:textId="5D2F3007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6.4728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4BA6A700" w14:textId="765271A7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3617A33" w14:textId="53DF1033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93.7307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D99D024" w14:textId="2F7D4A2C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0D2D835" w14:textId="7493450F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1.779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7CAAC" w:themeFill="accent2" w:themeFillTint="66"/>
          </w:tcPr>
          <w:p w14:paraId="63BD4F01" w14:textId="23A0F0D5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</w:tr>
      <w:tr w:rsidR="006009C5" w14:paraId="58341B05" w14:textId="77777777" w:rsidTr="00ED5961">
        <w:tc>
          <w:tcPr>
            <w:tcW w:w="123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3AE0E77C" w14:textId="50CD50CD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BAWNIW08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611D5D1B" w14:textId="6FA1A827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849" w:type="dxa"/>
            <w:tcBorders>
              <w:top w:val="single" w:sz="24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3E89C593" w14:textId="27BCDEA6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99" w:type="dxa"/>
            <w:tcBorders>
              <w:top w:val="single" w:sz="24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466D8067" w14:textId="13B6512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8.6003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71E3CDC0" w14:textId="545456FA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9.2382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4B5932E3" w14:textId="4299A0CB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6.3024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38021D49" w14:textId="1ABA5BC6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442A45CC" w14:textId="7A5F6E1A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96.2152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24C47981" w14:textId="3A0FDDF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5" w:type="dxa"/>
            <w:tcBorders>
              <w:top w:val="single" w:sz="24" w:space="0" w:color="auto"/>
              <w:bottom w:val="single" w:sz="6" w:space="0" w:color="auto"/>
            </w:tcBorders>
            <w:shd w:val="clear" w:color="auto" w:fill="BDD6EE" w:themeFill="accent5" w:themeFillTint="66"/>
            <w:vAlign w:val="bottom"/>
          </w:tcPr>
          <w:p w14:paraId="20760DE7" w14:textId="0DC35D1F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1.774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</w:tcPr>
          <w:p w14:paraId="6C0007B2" w14:textId="3440A80F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III</w:t>
            </w:r>
          </w:p>
        </w:tc>
      </w:tr>
    </w:tbl>
    <w:p w14:paraId="51D70F11" w14:textId="1A4FC9BA" w:rsidR="00ED5961" w:rsidRDefault="006009C5" w:rsidP="00D4221C">
      <w:pPr>
        <w:rPr>
          <w:lang w:val="en-US"/>
        </w:rPr>
      </w:pPr>
      <w:r>
        <w:rPr>
          <w:lang w:val="en-US"/>
        </w:rPr>
        <w:t>The last two structures are very similar to the R-3m structure, but not the same.  Comparisons were done with 20% and 20° tolerances (ignoring smallest components, but allowing molecular differences), and structures with matches better than 0.15 Å considered the same.  BAWNIW0</w:t>
      </w:r>
      <w:r w:rsidR="00ED5961">
        <w:rPr>
          <w:lang w:val="en-US"/>
        </w:rPr>
        <w:t>7</w:t>
      </w:r>
      <w:r>
        <w:rPr>
          <w:lang w:val="en-US"/>
        </w:rPr>
        <w:t xml:space="preserve"> is slightly different.</w:t>
      </w:r>
    </w:p>
    <w:p w14:paraId="642EC5DA" w14:textId="75332E06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715345">
        <w:t>chlorothalonil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879"/>
        <w:gridCol w:w="789"/>
        <w:gridCol w:w="568"/>
        <w:gridCol w:w="663"/>
        <w:gridCol w:w="6324"/>
      </w:tblGrid>
      <w:tr w:rsidR="005B5AC6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7149E6" w14:paraId="09C22672" w14:textId="2FADBC92" w:rsidTr="0081577A">
        <w:tc>
          <w:tcPr>
            <w:tcW w:w="0" w:type="auto"/>
            <w:vAlign w:val="bottom"/>
          </w:tcPr>
          <w:p w14:paraId="54880E13" w14:textId="4CA2BED1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</w:t>
            </w:r>
          </w:p>
        </w:tc>
        <w:tc>
          <w:tcPr>
            <w:tcW w:w="0" w:type="auto"/>
            <w:vAlign w:val="bottom"/>
          </w:tcPr>
          <w:p w14:paraId="0290D82F" w14:textId="1A7F3DD5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P21/a</w:t>
            </w:r>
          </w:p>
        </w:tc>
        <w:tc>
          <w:tcPr>
            <w:tcW w:w="0" w:type="auto"/>
            <w:vAlign w:val="bottom"/>
          </w:tcPr>
          <w:p w14:paraId="768D7291" w14:textId="38020EF5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3.3</w:t>
            </w:r>
          </w:p>
        </w:tc>
        <w:tc>
          <w:tcPr>
            <w:tcW w:w="0" w:type="auto"/>
            <w:vAlign w:val="bottom"/>
          </w:tcPr>
          <w:p w14:paraId="1260C821" w14:textId="42049383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5160D4F7" w14:textId="449BDF82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1981</w:t>
            </w:r>
          </w:p>
        </w:tc>
        <w:tc>
          <w:tcPr>
            <w:tcW w:w="0" w:type="auto"/>
          </w:tcPr>
          <w:p w14:paraId="3727F56C" w14:textId="247F09DD" w:rsidR="007149E6" w:rsidRDefault="00AE72F8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online</w:t>
            </w:r>
          </w:p>
        </w:tc>
      </w:tr>
      <w:tr w:rsidR="007149E6" w14:paraId="1228351F" w14:textId="12FF010C" w:rsidTr="0081577A">
        <w:tc>
          <w:tcPr>
            <w:tcW w:w="0" w:type="auto"/>
            <w:vAlign w:val="bottom"/>
          </w:tcPr>
          <w:p w14:paraId="78498CB3" w14:textId="1E73C90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BAWNIW01</w:t>
            </w:r>
          </w:p>
        </w:tc>
        <w:tc>
          <w:tcPr>
            <w:tcW w:w="0" w:type="auto"/>
            <w:vAlign w:val="bottom"/>
          </w:tcPr>
          <w:p w14:paraId="38A7A315" w14:textId="5AF4EC29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R-3m</w:t>
            </w:r>
          </w:p>
        </w:tc>
        <w:tc>
          <w:tcPr>
            <w:tcW w:w="0" w:type="auto"/>
            <w:vAlign w:val="bottom"/>
          </w:tcPr>
          <w:p w14:paraId="2D02B01C" w14:textId="2ADA4CAE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6.09</w:t>
            </w:r>
          </w:p>
        </w:tc>
        <w:tc>
          <w:tcPr>
            <w:tcW w:w="0" w:type="auto"/>
            <w:vAlign w:val="bottom"/>
          </w:tcPr>
          <w:p w14:paraId="291ABADC" w14:textId="13BC6982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6FE357DB" w14:textId="3E285FD7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2004</w:t>
            </w:r>
          </w:p>
        </w:tc>
        <w:tc>
          <w:tcPr>
            <w:tcW w:w="0" w:type="auto"/>
          </w:tcPr>
          <w:p w14:paraId="5BD7EC32" w14:textId="276AFDA8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Disordered by symmetry</w:t>
            </w:r>
            <w:r w:rsidR="00AE72F8">
              <w:rPr>
                <w:rFonts w:ascii="Calibri" w:hAnsi="Calibri" w:cs="Calibri"/>
                <w:color w:val="000000"/>
              </w:rPr>
              <w:t>.  Slow cooling from butanol solution.</w:t>
            </w:r>
            <w:r w:rsidR="00AE72F8">
              <w:rPr>
                <w:rFonts w:ascii="Calibri" w:hAnsi="Calibri" w:cs="Calibri"/>
                <w:color w:val="000000"/>
              </w:rPr>
              <w:fldChar w:fldCharType="begin"/>
            </w:r>
            <w:r w:rsidR="00AE72F8">
              <w:rPr>
                <w:rFonts w:ascii="Calibri" w:hAnsi="Calibri" w:cs="Calibri"/>
                <w:color w:val="000000"/>
              </w:rPr>
              <w:instrText xml:space="preserve"> ADDIN EN.CITE &lt;EndNote&gt;&lt;Cite&gt;&lt;Author&gt;Tremayne&lt;/Author&gt;&lt;Year&gt;2004&lt;/Year&gt;&lt;IDText&gt;Characterization of complicated new polymorphs of chlorothalonil by X-ray diffraction and computer crystal structure prediction&lt;/IDText&gt;&lt;DisplayText&gt;&lt;style face="superscript"&gt;1&lt;/style&gt;&lt;/DisplayText&gt;&lt;record&gt;&lt;urls&gt;&lt;related-urls&gt;&lt;/related-urls&gt;&lt;/urls&gt;&lt;titles&gt;&lt;title&gt;Characterization of complicated new polymorphs of chlorothalonil by X-ray diffraction and computer crystal structure prediction&lt;/title&gt;&lt;secondary-title&gt;Journal of the American Chemical Society&lt;/secondary-title&gt;&lt;/titles&gt;&lt;pages&gt;7071-7081&lt;/pages&gt;&lt;number&gt;22&lt;/number&gt;&lt;contributors&gt;&lt;authors&gt;&lt;author&gt;Tremayne, M.&lt;/author&gt;&lt;author&gt;Grice, L.&lt;/author&gt;&lt;author&gt;Pyatt, J. C.&lt;/author&gt;&lt;author&gt;Seaton, C. C.&lt;/author&gt;&lt;author&gt;Kariuki, B. M.&lt;/author&gt;&lt;author&gt;Tsui, H. H. Y.&lt;/author&gt;&lt;author&gt;Price, S. L.&lt;/author&gt;&lt;author&gt;Cherryman, J. C.&lt;/author&gt;&lt;/authors&gt;&lt;/contributors&gt;&lt;reprint-edition&gt;NOT IN FILE&lt;/reprint-edition&gt;&lt;added-date format="utc"&gt;1399986966&lt;/added-date&gt;&lt;ref-type name="Journal Article"&gt;17&lt;/ref-type&gt;&lt;dates&gt;&lt;year&gt;2004&lt;/year&gt;&lt;/dates&gt;&lt;rec-number&gt;2103&lt;/rec-number&gt;&lt;last-updated-date format="utc"&gt;1399986966&lt;/last-updated-date&gt;&lt;volume&gt;126&lt;/volume&gt;&lt;/record&gt;&lt;/Cite&gt;&lt;/EndNote&gt;</w:instrText>
            </w:r>
            <w:r w:rsidR="00AE72F8">
              <w:rPr>
                <w:rFonts w:ascii="Calibri" w:hAnsi="Calibri" w:cs="Calibri"/>
                <w:color w:val="000000"/>
              </w:rPr>
              <w:fldChar w:fldCharType="separate"/>
            </w:r>
            <w:r w:rsidR="00AE72F8" w:rsidRPr="00AE72F8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 w:rsidR="00AE72F8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7149E6" w14:paraId="650E684B" w14:textId="058D14E8" w:rsidTr="0081577A">
        <w:tc>
          <w:tcPr>
            <w:tcW w:w="0" w:type="auto"/>
            <w:vAlign w:val="bottom"/>
          </w:tcPr>
          <w:p w14:paraId="2B8AAD98" w14:textId="0114C514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BAWNIW02</w:t>
            </w:r>
          </w:p>
        </w:tc>
        <w:tc>
          <w:tcPr>
            <w:tcW w:w="0" w:type="auto"/>
            <w:vAlign w:val="bottom"/>
          </w:tcPr>
          <w:p w14:paraId="02327711" w14:textId="14D93E20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0" w:type="auto"/>
            <w:vAlign w:val="bottom"/>
          </w:tcPr>
          <w:p w14:paraId="18FF08B1" w14:textId="2DF19D1D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6.96</w:t>
            </w:r>
          </w:p>
        </w:tc>
        <w:tc>
          <w:tcPr>
            <w:tcW w:w="0" w:type="auto"/>
            <w:vAlign w:val="bottom"/>
          </w:tcPr>
          <w:p w14:paraId="0DFAEED6" w14:textId="29252B7E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6027F6D3" w14:textId="12023EF8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2004</w:t>
            </w:r>
          </w:p>
        </w:tc>
        <w:tc>
          <w:tcPr>
            <w:tcW w:w="0" w:type="auto"/>
          </w:tcPr>
          <w:p w14:paraId="1067BA7D" w14:textId="2E6EF52B" w:rsidR="007149E6" w:rsidRDefault="00AE72F8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cooling from ethyl acetate solution.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&lt;EndNote&gt;&lt;Cite&gt;&lt;Author&gt;Tremayne&lt;/Author&gt;&lt;Year&gt;2004&lt;/Year&gt;&lt;IDText&gt;Characterization of complicated new polymorphs of chlorothalonil by X-ray diffraction and computer crystal structure prediction&lt;/IDText&gt;&lt;DisplayText&gt;&lt;style face="superscript"&gt;1&lt;/style&gt;&lt;/DisplayText&gt;&lt;record&gt;&lt;urls&gt;&lt;related-urls&gt;&lt;/related-urls&gt;&lt;/urls&gt;&lt;titles&gt;&lt;title&gt;Characterization of complicated new polymorphs of chlorothalonil by X-ray diffraction and computer crystal structure prediction&lt;/title&gt;&lt;secondary-title&gt;Journal of the American Chemical Society&lt;/secondary-title&gt;&lt;/titles&gt;&lt;pages&gt;7071-7081&lt;/pages&gt;&lt;number&gt;22&lt;/number&gt;&lt;contributors&gt;&lt;authors&gt;&lt;author&gt;Tremayne, M.&lt;/author&gt;&lt;author&gt;Grice, L.&lt;/author&gt;&lt;author&gt;Pyatt, J. C.&lt;/author&gt;&lt;author&gt;Seaton, C. C.&lt;/author&gt;&lt;author&gt;Kariuki, B. M.&lt;/author&gt;&lt;author&gt;Tsui, H. H. Y.&lt;/author&gt;&lt;author&gt;Price, S. L.&lt;/author&gt;&lt;author&gt;Cherryman, J. C.&lt;/author&gt;&lt;/authors&gt;&lt;/contributors&gt;&lt;reprint-edition&gt;NOT IN FILE&lt;/reprint-edition&gt;&lt;added-date format="utc"&gt;1399986966&lt;/added-date&gt;&lt;ref-type name="Journal Article"&gt;17&lt;/ref-type&gt;&lt;dates&gt;&lt;year&gt;2004&lt;/year&gt;&lt;/dates&gt;&lt;rec-number&gt;2103&lt;/rec-number&gt;&lt;last-updated-date format="utc"&gt;1399986966&lt;/last-updated-date&gt;&lt;volume&gt;126&lt;/volume&gt;&lt;/record&gt;&lt;/Cite&gt;&lt;/EndNote&gt;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AE72F8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7149E6" w14:paraId="6656CF8E" w14:textId="7669F558" w:rsidTr="0081577A">
        <w:tc>
          <w:tcPr>
            <w:tcW w:w="0" w:type="auto"/>
            <w:vAlign w:val="bottom"/>
          </w:tcPr>
          <w:p w14:paraId="74C3EA06" w14:textId="6D310B65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BAWNIW03</w:t>
            </w:r>
          </w:p>
        </w:tc>
        <w:tc>
          <w:tcPr>
            <w:tcW w:w="0" w:type="auto"/>
            <w:vAlign w:val="bottom"/>
          </w:tcPr>
          <w:p w14:paraId="1AF5E4CA" w14:textId="0D8F08C2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R-3m</w:t>
            </w:r>
          </w:p>
        </w:tc>
        <w:tc>
          <w:tcPr>
            <w:tcW w:w="0" w:type="auto"/>
            <w:vAlign w:val="bottom"/>
          </w:tcPr>
          <w:p w14:paraId="2B398A26" w14:textId="7B365A6D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2.5</w:t>
            </w:r>
          </w:p>
        </w:tc>
        <w:tc>
          <w:tcPr>
            <w:tcW w:w="0" w:type="auto"/>
            <w:vAlign w:val="bottom"/>
          </w:tcPr>
          <w:p w14:paraId="6D9F4D06" w14:textId="6F37F97C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22933DB8" w14:textId="516B0DD8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2004</w:t>
            </w:r>
          </w:p>
        </w:tc>
        <w:tc>
          <w:tcPr>
            <w:tcW w:w="0" w:type="auto"/>
          </w:tcPr>
          <w:p w14:paraId="59F62A0D" w14:textId="17AE714B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coordinates, reported as disordered</w:t>
            </w:r>
            <w:r w:rsidR="00AE72F8">
              <w:rPr>
                <w:rFonts w:ascii="Calibri" w:hAnsi="Calibri" w:cs="Calibri"/>
                <w:color w:val="000000"/>
              </w:rPr>
              <w:t>.  Not online.</w:t>
            </w:r>
          </w:p>
        </w:tc>
      </w:tr>
      <w:tr w:rsidR="007149E6" w14:paraId="45FA6332" w14:textId="53B822F1" w:rsidTr="0081577A">
        <w:tc>
          <w:tcPr>
            <w:tcW w:w="0" w:type="auto"/>
            <w:vAlign w:val="bottom"/>
          </w:tcPr>
          <w:p w14:paraId="2B6560F1" w14:textId="434FBB4A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BAWNIW04</w:t>
            </w:r>
          </w:p>
        </w:tc>
        <w:tc>
          <w:tcPr>
            <w:tcW w:w="0" w:type="auto"/>
            <w:vAlign w:val="bottom"/>
          </w:tcPr>
          <w:p w14:paraId="6B44B5AB" w14:textId="64D0E44A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0" w:type="auto"/>
            <w:vAlign w:val="bottom"/>
          </w:tcPr>
          <w:p w14:paraId="105D1E18" w14:textId="12FF04CB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2.4</w:t>
            </w:r>
          </w:p>
        </w:tc>
        <w:tc>
          <w:tcPr>
            <w:tcW w:w="0" w:type="auto"/>
            <w:vAlign w:val="bottom"/>
          </w:tcPr>
          <w:p w14:paraId="1D306745" w14:textId="5C6793BF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4FE4ECE9" w14:textId="0C9BE27A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2004</w:t>
            </w:r>
          </w:p>
        </w:tc>
        <w:tc>
          <w:tcPr>
            <w:tcW w:w="0" w:type="auto"/>
          </w:tcPr>
          <w:p w14:paraId="5A2158CE" w14:textId="43C2E7B3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coordinates</w:t>
            </w:r>
            <w:r w:rsidR="00AE72F8">
              <w:rPr>
                <w:rFonts w:ascii="Calibri" w:hAnsi="Calibri" w:cs="Calibri"/>
                <w:color w:val="000000"/>
              </w:rPr>
              <w:t>.  Not online.</w:t>
            </w:r>
          </w:p>
        </w:tc>
      </w:tr>
      <w:tr w:rsidR="007149E6" w14:paraId="1A105137" w14:textId="77777777" w:rsidTr="0081577A">
        <w:tc>
          <w:tcPr>
            <w:tcW w:w="0" w:type="auto"/>
            <w:vAlign w:val="bottom"/>
          </w:tcPr>
          <w:p w14:paraId="1B51E837" w14:textId="3CD2E5FE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BAWNIW05</w:t>
            </w:r>
          </w:p>
        </w:tc>
        <w:tc>
          <w:tcPr>
            <w:tcW w:w="0" w:type="auto"/>
            <w:vAlign w:val="bottom"/>
          </w:tcPr>
          <w:p w14:paraId="304658C7" w14:textId="01CE0576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15C8991F" w14:textId="534C1EDD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4.51</w:t>
            </w:r>
          </w:p>
        </w:tc>
        <w:tc>
          <w:tcPr>
            <w:tcW w:w="0" w:type="auto"/>
            <w:vAlign w:val="bottom"/>
          </w:tcPr>
          <w:p w14:paraId="4BA6F109" w14:textId="2A48D522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</w:t>
            </w:r>
          </w:p>
        </w:tc>
        <w:tc>
          <w:tcPr>
            <w:tcW w:w="0" w:type="auto"/>
            <w:vAlign w:val="bottom"/>
          </w:tcPr>
          <w:p w14:paraId="5E79B7A4" w14:textId="472552D1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2008</w:t>
            </w:r>
          </w:p>
        </w:tc>
        <w:tc>
          <w:tcPr>
            <w:tcW w:w="0" w:type="auto"/>
          </w:tcPr>
          <w:p w14:paraId="7E86F274" w14:textId="5D986B25" w:rsidR="007149E6" w:rsidRDefault="00AE72F8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communication.</w:t>
            </w:r>
          </w:p>
        </w:tc>
      </w:tr>
      <w:tr w:rsidR="007149E6" w14:paraId="3B55BBE2" w14:textId="77777777" w:rsidTr="0081577A">
        <w:tc>
          <w:tcPr>
            <w:tcW w:w="0" w:type="auto"/>
            <w:vAlign w:val="bottom"/>
          </w:tcPr>
          <w:p w14:paraId="11C995B1" w14:textId="57B43E95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BAWNIW06</w:t>
            </w:r>
          </w:p>
        </w:tc>
        <w:tc>
          <w:tcPr>
            <w:tcW w:w="0" w:type="auto"/>
            <w:vAlign w:val="bottom"/>
          </w:tcPr>
          <w:p w14:paraId="7D8064E3" w14:textId="38D1B53F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R-3m</w:t>
            </w:r>
          </w:p>
        </w:tc>
        <w:tc>
          <w:tcPr>
            <w:tcW w:w="0" w:type="auto"/>
            <w:vAlign w:val="bottom"/>
          </w:tcPr>
          <w:p w14:paraId="41AB6482" w14:textId="7DE6F11E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3.11</w:t>
            </w:r>
          </w:p>
        </w:tc>
        <w:tc>
          <w:tcPr>
            <w:tcW w:w="0" w:type="auto"/>
            <w:vAlign w:val="bottom"/>
          </w:tcPr>
          <w:p w14:paraId="673B956F" w14:textId="1FBCF9E5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0" w:type="auto"/>
            <w:vAlign w:val="bottom"/>
          </w:tcPr>
          <w:p w14:paraId="73E0A4BA" w14:textId="2FCB928B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2009</w:t>
            </w:r>
          </w:p>
        </w:tc>
        <w:tc>
          <w:tcPr>
            <w:tcW w:w="0" w:type="auto"/>
          </w:tcPr>
          <w:p w14:paraId="0C1C78DF" w14:textId="5EB8CA82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Disordered by symmetry</w:t>
            </w:r>
            <w:r w:rsidR="00AE72F8">
              <w:rPr>
                <w:rFonts w:ascii="Calibri" w:hAnsi="Calibri" w:cs="Calibri"/>
                <w:color w:val="000000"/>
              </w:rPr>
              <w:t>.  “</w:t>
            </w:r>
            <w:r w:rsidR="00AE72F8" w:rsidRPr="00AE72F8">
              <w:rPr>
                <w:rFonts w:ascii="Calibri" w:hAnsi="Calibri" w:cs="Calibri"/>
                <w:color w:val="000000"/>
              </w:rPr>
              <w:t>Crystals from methylene chloride, chloroform and acetonitrile gave (M-I). Crystallization from acetone gave mostly (M-II) with a few crystals of (M-III). Crystallization from carbon tetrachloride gave (M-II)</w:t>
            </w:r>
            <w:r w:rsidR="00AE72F8">
              <w:rPr>
                <w:rFonts w:ascii="Calibri" w:hAnsi="Calibri" w:cs="Calibri"/>
                <w:color w:val="000000"/>
              </w:rPr>
              <w:t>”</w:t>
            </w:r>
            <w:r w:rsidR="00AE72F8">
              <w:rPr>
                <w:rFonts w:ascii="Calibri" w:hAnsi="Calibri" w:cs="Calibri"/>
                <w:color w:val="000000"/>
              </w:rPr>
              <w:fldChar w:fldCharType="begin"/>
            </w:r>
            <w:r w:rsidR="00AE72F8">
              <w:rPr>
                <w:rFonts w:ascii="Calibri" w:hAnsi="Calibri" w:cs="Calibri"/>
                <w:color w:val="000000"/>
              </w:rPr>
              <w:instrText xml:space="preserve"> ADDIN EN.CITE &lt;EndNote&gt;&lt;Cite&gt;&lt;Author&gt;Britton&lt;/Author&gt;&lt;Year&gt;2009&lt;/Year&gt;&lt;IDText&gt;Planar packing of tetrachlorodicyanobenzenes. II&lt;/IDText&gt;&lt;DisplayText&gt;&lt;style face="superscript"&gt;2&lt;/style&gt;&lt;/DisplayText&gt;&lt;record&gt;&lt;titles&gt;&lt;title&gt;Planar packing of tetrachlorodicyanobenzenes. II&lt;/title&gt;&lt;secondary-title&gt;Acta Crystallographica Section B - Structural Science&lt;/secondary-title&gt;&lt;/titles&gt;&lt;pages&gt;54-58&lt;/pages&gt;&lt;contributors&gt;&lt;authors&gt;&lt;author&gt;Britton, D.&lt;/author&gt;&lt;/authors&gt;&lt;/contributors&gt;&lt;reprint-edition&gt;NOT IN FILE&lt;/reprint-edition&gt;&lt;added-date format="utc"&gt;1399987262&lt;/added-date&gt;&lt;ref-type name="Journal Article"&gt;17&lt;/ref-type&gt;&lt;dates&gt;&lt;year&gt;2009&lt;/year&gt;&lt;/dates&gt;&lt;rec-number&gt;4348&lt;/rec-number&gt;&lt;last-updated-date format="utc"&gt;1399987262&lt;/last-updated-date&gt;&lt;volume&gt;65&lt;/volume&gt;&lt;/record&gt;&lt;/Cite&gt;&lt;/EndNote&gt;</w:instrText>
            </w:r>
            <w:r w:rsidR="00AE72F8">
              <w:rPr>
                <w:rFonts w:ascii="Calibri" w:hAnsi="Calibri" w:cs="Calibri"/>
                <w:color w:val="000000"/>
              </w:rPr>
              <w:fldChar w:fldCharType="separate"/>
            </w:r>
            <w:r w:rsidR="00AE72F8" w:rsidRPr="00AE72F8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 w:rsidR="00AE72F8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7149E6" w14:paraId="2F935209" w14:textId="77777777" w:rsidTr="0081577A">
        <w:tc>
          <w:tcPr>
            <w:tcW w:w="0" w:type="auto"/>
            <w:vAlign w:val="bottom"/>
          </w:tcPr>
          <w:p w14:paraId="0B315B20" w14:textId="6022F792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BAWNIW07</w:t>
            </w:r>
          </w:p>
        </w:tc>
        <w:tc>
          <w:tcPr>
            <w:tcW w:w="0" w:type="auto"/>
            <w:vAlign w:val="bottom"/>
          </w:tcPr>
          <w:p w14:paraId="7F81A27A" w14:textId="38807308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0" w:type="auto"/>
            <w:vAlign w:val="bottom"/>
          </w:tcPr>
          <w:p w14:paraId="2B4329F1" w14:textId="2FC1BBDC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7.13</w:t>
            </w:r>
          </w:p>
        </w:tc>
        <w:tc>
          <w:tcPr>
            <w:tcW w:w="0" w:type="auto"/>
            <w:vAlign w:val="bottom"/>
          </w:tcPr>
          <w:p w14:paraId="4AACD3B3" w14:textId="3650A6D6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3424900" w14:textId="4F1D3742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2004</w:t>
            </w:r>
          </w:p>
        </w:tc>
        <w:tc>
          <w:tcPr>
            <w:tcW w:w="0" w:type="auto"/>
          </w:tcPr>
          <w:p w14:paraId="00F77014" w14:textId="180E561B" w:rsidR="007149E6" w:rsidRDefault="00B03B47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Cooled slowly (5 °C per minute) from 200 °C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&lt;EndNote&gt;&lt;Cite&gt;&lt;Author&gt;Hu&lt;/Author&gt;&lt;Year&gt;2004&lt;/Year&gt;&lt;IDText&gt;Determination of crystal structures of polymorphic chlorothalonil using Monte Carlo simulated annealing and Rietveld refinement&lt;/IDText&gt;&lt;DisplayText&gt;&lt;style face="superscript"&gt;3&lt;/style&gt;&lt;/DisplayText&gt;&lt;record&gt;&lt;urls&gt;&lt;related-urls&gt;&lt;/related-urls&gt;&lt;/urls&gt;&lt;titles&gt;&lt;title&gt;Determination of crystal structures of polymorphic chlorothalonil using Monte Carlo simulated annealing and Rietveld refinement&lt;/title&gt;&lt;secondary-title&gt;Powder Diffraction&lt;/secondary-title&gt;&lt;/titles&gt;&lt;pages&gt;325-328&lt;/pages&gt;&lt;number&gt;4&lt;/number&gt;&lt;contributors&gt;&lt;authors&gt;&lt;author&gt;Hu, X. R.&lt;/author&gt;&lt;author&gt;Yuan, Z. Q.&lt;/author&gt;&lt;author&gt;Lu, G. L.&lt;/author&gt;&lt;/authors&gt;&lt;/contributors&gt;&lt;reprint-edition&gt;NOT IN FILE&lt;/reprint-edition&gt;&lt;added-date format="utc"&gt;1399986976&lt;/added-date&gt;&lt;ref-type name="Journal Article"&gt;17&lt;/ref-type&gt;&lt;dates&gt;&lt;year&gt;2004&lt;/year&gt;&lt;/dates&gt;&lt;rec-number&gt;2814&lt;/rec-number&gt;&lt;last-updated-date format="utc"&gt;1399986976&lt;/last-updated-date&gt;&lt;volume&gt;19&lt;/volume&gt;&lt;/record&gt;&lt;/Cite&gt;&lt;/EndNote&gt;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03B47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7149E6" w14:paraId="5C16A3C0" w14:textId="77777777" w:rsidTr="0081577A">
        <w:tc>
          <w:tcPr>
            <w:tcW w:w="0" w:type="auto"/>
            <w:vAlign w:val="bottom"/>
          </w:tcPr>
          <w:p w14:paraId="0CD8F9AC" w14:textId="32C9CF53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BAWNIW08</w:t>
            </w:r>
          </w:p>
        </w:tc>
        <w:tc>
          <w:tcPr>
            <w:tcW w:w="0" w:type="auto"/>
            <w:vAlign w:val="bottom"/>
          </w:tcPr>
          <w:p w14:paraId="7AEEF720" w14:textId="03237FB1" w:rsidR="007149E6" w:rsidRDefault="007149E6" w:rsidP="007149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0" w:type="auto"/>
            <w:vAlign w:val="bottom"/>
          </w:tcPr>
          <w:p w14:paraId="3C8B76F1" w14:textId="2EDDBED0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6.24</w:t>
            </w:r>
          </w:p>
        </w:tc>
        <w:tc>
          <w:tcPr>
            <w:tcW w:w="0" w:type="auto"/>
            <w:vAlign w:val="bottom"/>
          </w:tcPr>
          <w:p w14:paraId="4D5EE02E" w14:textId="0BEDF141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BCB1C60" w14:textId="424D0D3A" w:rsidR="007149E6" w:rsidRDefault="007149E6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2004</w:t>
            </w:r>
          </w:p>
        </w:tc>
        <w:tc>
          <w:tcPr>
            <w:tcW w:w="0" w:type="auto"/>
          </w:tcPr>
          <w:p w14:paraId="4A0C7CA5" w14:textId="415B7E97" w:rsidR="007149E6" w:rsidRDefault="00B03B47" w:rsidP="007149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Cooled from 200 °C in ice bath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&lt;EndNote&gt;&lt;Cite&gt;&lt;Author&gt;Hu&lt;/Author&gt;&lt;Year&gt;2004&lt;/Year&gt;&lt;IDText&gt;Determination of crystal structures of polymorphic chlorothalonil using Monte Carlo simulated annealing and Rietveld refinement&lt;/IDText&gt;&lt;DisplayText&gt;&lt;style face="superscript"&gt;3&lt;/style&gt;&lt;/DisplayText&gt;&lt;record&gt;&lt;urls&gt;&lt;related-urls&gt;&lt;/related-urls&gt;&lt;/urls&gt;&lt;titles&gt;&lt;title&gt;Determination of crystal structures of polymorphic chlorothalonil using Monte Carlo simulated annealing and Rietveld refinement&lt;/title&gt;&lt;secondary-title&gt;Powder Diffraction&lt;/secondary-title&gt;&lt;/titles&gt;&lt;pages&gt;325-328&lt;/pages&gt;&lt;number&gt;4&lt;/number&gt;&lt;contributors&gt;&lt;authors&gt;&lt;author&gt;Hu, X. R.&lt;/author&gt;&lt;author&gt;Yuan, Z. Q.&lt;/author&gt;&lt;author&gt;Lu, G. L.&lt;/author&gt;&lt;/authors&gt;&lt;/contributors&gt;&lt;reprint-edition&gt;NOT IN FILE&lt;/reprint-edition&gt;&lt;added-date format="utc"&gt;1399986976&lt;/added-date&gt;&lt;ref-type name="Journal Article"&gt;17&lt;/ref-type&gt;&lt;dates&gt;&lt;year&gt;2004&lt;/year&gt;&lt;/dates&gt;&lt;rec-number&gt;2814&lt;/rec-number&gt;&lt;last-updated-date format="utc"&gt;1399986976&lt;/last-updated-date&gt;&lt;volume&gt;19&lt;/volume&gt;&lt;/record&gt;&lt;/Cite&gt;&lt;/EndNote&gt;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03B47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362B45A3" w:rsidR="00094CBE" w:rsidRDefault="009E702F" w:rsidP="00094CBE">
      <w:pPr>
        <w:rPr>
          <w:lang w:val="en-US"/>
        </w:rPr>
      </w:pPr>
      <w:r>
        <w:rPr>
          <w:lang w:val="en-US"/>
        </w:rPr>
        <w:t xml:space="preserve">The R-3m structure of form II (BAWNIW06) does not show order in the </w:t>
      </w:r>
      <w:proofErr w:type="spellStart"/>
      <w:r>
        <w:rPr>
          <w:lang w:val="en-US"/>
        </w:rPr>
        <w:t>cyano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chloro</w:t>
      </w:r>
      <w:proofErr w:type="spellEnd"/>
      <w:r>
        <w:rPr>
          <w:lang w:val="en-US"/>
        </w:rPr>
        <w:t xml:space="preserve"> groups.  Many structures matched the arrangement of the rings, with RMSD20 varying between 0.4 and 0.9 Å.</w:t>
      </w:r>
    </w:p>
    <w:p w14:paraId="730E39C6" w14:textId="13D5F69E" w:rsidR="009E702F" w:rsidRPr="00094CBE" w:rsidRDefault="009E702F" w:rsidP="00094CBE">
      <w:pPr>
        <w:rPr>
          <w:lang w:val="en-US"/>
        </w:rPr>
      </w:pPr>
      <w:r>
        <w:rPr>
          <w:lang w:val="en-US"/>
        </w:rPr>
        <w:t>A number of structures matched double or single layers with form III (BAWNIW02).  These are marked as components of form III.</w:t>
      </w:r>
    </w:p>
    <w:p w14:paraId="555FE88F" w14:textId="77777777" w:rsidR="00AE72F8" w:rsidRDefault="00AE72F8" w:rsidP="005878AA">
      <w:pPr>
        <w:rPr>
          <w:lang w:val="en-US"/>
        </w:rPr>
      </w:pPr>
    </w:p>
    <w:p w14:paraId="19B979F4" w14:textId="77777777" w:rsidR="00B03B47" w:rsidRPr="00B03B47" w:rsidRDefault="00AE72F8" w:rsidP="00B03B47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03B47" w:rsidRPr="00B03B47">
        <w:t xml:space="preserve">(1) Tremayne, M.; Grice, L.; Pyatt, J. C.; Seaton, C. C.; Kariuki, B. M.; Tsui, H. H. Y.; Price, S. L.; Cherryman, J. C. Characterization of complicated new polymorphs of chlorothalonil by X-ray diffraction and computer crystal structure prediction. </w:t>
      </w:r>
      <w:r w:rsidR="00B03B47" w:rsidRPr="00B03B47">
        <w:rPr>
          <w:i/>
        </w:rPr>
        <w:t xml:space="preserve">Journal of the American Chemical Society </w:t>
      </w:r>
      <w:r w:rsidR="00B03B47" w:rsidRPr="00B03B47">
        <w:rPr>
          <w:b/>
        </w:rPr>
        <w:t>2004</w:t>
      </w:r>
      <w:r w:rsidR="00B03B47" w:rsidRPr="00B03B47">
        <w:t xml:space="preserve">, </w:t>
      </w:r>
      <w:r w:rsidR="00B03B47" w:rsidRPr="00B03B47">
        <w:rPr>
          <w:i/>
        </w:rPr>
        <w:t>126</w:t>
      </w:r>
      <w:r w:rsidR="00B03B47" w:rsidRPr="00B03B47">
        <w:t xml:space="preserve"> (22), 7071-7081.</w:t>
      </w:r>
    </w:p>
    <w:p w14:paraId="37F2184F" w14:textId="77777777" w:rsidR="00B03B47" w:rsidRPr="00B03B47" w:rsidRDefault="00B03B47" w:rsidP="00B03B47">
      <w:pPr>
        <w:pStyle w:val="EndNoteBibliography"/>
        <w:spacing w:after="0"/>
      </w:pPr>
      <w:r w:rsidRPr="00B03B47">
        <w:t xml:space="preserve">(2) Britton, D. Planar packing of tetrachlorodicyanobenzenes. II. </w:t>
      </w:r>
      <w:r w:rsidRPr="00B03B47">
        <w:rPr>
          <w:i/>
        </w:rPr>
        <w:t xml:space="preserve">Acta Crystallographica Section B - Structural Science </w:t>
      </w:r>
      <w:r w:rsidRPr="00B03B47">
        <w:rPr>
          <w:b/>
        </w:rPr>
        <w:t>2009</w:t>
      </w:r>
      <w:r w:rsidRPr="00B03B47">
        <w:t xml:space="preserve">, </w:t>
      </w:r>
      <w:r w:rsidRPr="00B03B47">
        <w:rPr>
          <w:i/>
        </w:rPr>
        <w:t>65</w:t>
      </w:r>
      <w:r w:rsidRPr="00B03B47">
        <w:t>, 54-58.</w:t>
      </w:r>
    </w:p>
    <w:p w14:paraId="5C2C7556" w14:textId="77777777" w:rsidR="00B03B47" w:rsidRPr="00B03B47" w:rsidRDefault="00B03B47" w:rsidP="00B03B47">
      <w:pPr>
        <w:pStyle w:val="EndNoteBibliography"/>
      </w:pPr>
      <w:r w:rsidRPr="00B03B47">
        <w:t xml:space="preserve">(3) Hu, X. R.; Yuan, Z. Q.; Lu, G. L. Determination of crystal structures of polymorphic chlorothalonil using Monte Carlo simulated annealing and Rietveld refinement. </w:t>
      </w:r>
      <w:r w:rsidRPr="00B03B47">
        <w:rPr>
          <w:i/>
        </w:rPr>
        <w:t xml:space="preserve">Powder Diffraction </w:t>
      </w:r>
      <w:r w:rsidRPr="00B03B47">
        <w:rPr>
          <w:b/>
        </w:rPr>
        <w:t>2004</w:t>
      </w:r>
      <w:r w:rsidRPr="00B03B47">
        <w:t xml:space="preserve">, </w:t>
      </w:r>
      <w:r w:rsidRPr="00B03B47">
        <w:rPr>
          <w:i/>
        </w:rPr>
        <w:t>19</w:t>
      </w:r>
      <w:r w:rsidRPr="00B03B47">
        <w:t xml:space="preserve"> (4), 325-328.</w:t>
      </w:r>
    </w:p>
    <w:p w14:paraId="08580BC1" w14:textId="2A857028" w:rsidR="005878AA" w:rsidRDefault="00AE72F8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94CBE"/>
    <w:rsid w:val="000D7232"/>
    <w:rsid w:val="00117567"/>
    <w:rsid w:val="00191924"/>
    <w:rsid w:val="001A3932"/>
    <w:rsid w:val="003C5B33"/>
    <w:rsid w:val="00501FB9"/>
    <w:rsid w:val="005023C9"/>
    <w:rsid w:val="005825DC"/>
    <w:rsid w:val="005878AA"/>
    <w:rsid w:val="005A2716"/>
    <w:rsid w:val="005B5AC6"/>
    <w:rsid w:val="006009C5"/>
    <w:rsid w:val="00634218"/>
    <w:rsid w:val="0069766E"/>
    <w:rsid w:val="007149E6"/>
    <w:rsid w:val="00715345"/>
    <w:rsid w:val="00781B53"/>
    <w:rsid w:val="009E702F"/>
    <w:rsid w:val="00A657FE"/>
    <w:rsid w:val="00A82E93"/>
    <w:rsid w:val="00AA1A0C"/>
    <w:rsid w:val="00AE72F8"/>
    <w:rsid w:val="00B03B47"/>
    <w:rsid w:val="00B21E4D"/>
    <w:rsid w:val="00BB1392"/>
    <w:rsid w:val="00D05024"/>
    <w:rsid w:val="00D4221C"/>
    <w:rsid w:val="00D72C06"/>
    <w:rsid w:val="00DC5ABD"/>
    <w:rsid w:val="00E40068"/>
    <w:rsid w:val="00ED5961"/>
    <w:rsid w:val="00F61F88"/>
    <w:rsid w:val="00F8589A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AE72F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E72F8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E72F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E72F8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6</cp:revision>
  <dcterms:created xsi:type="dcterms:W3CDTF">2025-03-12T16:32:00Z</dcterms:created>
  <dcterms:modified xsi:type="dcterms:W3CDTF">2025-03-18T14:31:00Z</dcterms:modified>
</cp:coreProperties>
</file>