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F341" w14:textId="6D556440" w:rsidR="00E40068" w:rsidRDefault="004E649F" w:rsidP="00D4221C">
      <w:pPr>
        <w:pStyle w:val="Title"/>
        <w:rPr>
          <w:lang w:val="en-US"/>
        </w:rPr>
      </w:pPr>
      <w:r>
        <w:rPr>
          <w:lang w:val="en-US"/>
        </w:rPr>
        <w:t>Fena</w:t>
      </w:r>
      <w:r w:rsidR="000420BD">
        <w:rPr>
          <w:lang w:val="en-US"/>
        </w:rPr>
        <w:t>mic Acid</w:t>
      </w:r>
    </w:p>
    <w:p w14:paraId="0622A8AA" w14:textId="5FECF563" w:rsidR="005A2716" w:rsidRPr="005A2716" w:rsidRDefault="005A2716" w:rsidP="005A2716">
      <w:pPr>
        <w:rPr>
          <w:lang w:val="en-US"/>
        </w:rPr>
      </w:pPr>
      <w:r>
        <w:rPr>
          <w:lang w:val="en-US"/>
        </w:rPr>
        <w:t xml:space="preserve">(Last updated </w:t>
      </w:r>
      <w:r w:rsidR="00432537">
        <w:rPr>
          <w:lang w:val="en-US"/>
        </w:rPr>
        <w:t>18 November 2024</w:t>
      </w:r>
      <w:r>
        <w:rPr>
          <w:lang w:val="en-US"/>
        </w:rPr>
        <w:t>)</w:t>
      </w:r>
    </w:p>
    <w:p w14:paraId="36C236EE" w14:textId="60124B76" w:rsidR="00D4221C" w:rsidRDefault="004E649F" w:rsidP="00D4221C">
      <w:pPr>
        <w:rPr>
          <w:lang w:val="en-US"/>
        </w:rPr>
      </w:pPr>
      <w:r>
        <w:rPr>
          <w:noProof/>
        </w:rPr>
        <w:drawing>
          <wp:inline distT="0" distB="0" distL="0" distR="0" wp14:anchorId="38E5D0C6" wp14:editId="3E728191">
            <wp:extent cx="14573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846" t="18845" r="37225" b="47101"/>
                    <a:stretch/>
                  </pic:blipFill>
                  <pic:spPr bwMode="auto">
                    <a:xfrm>
                      <a:off x="0" y="0"/>
                      <a:ext cx="1457325" cy="981075"/>
                    </a:xfrm>
                    <a:prstGeom prst="rect">
                      <a:avLst/>
                    </a:prstGeom>
                    <a:ln>
                      <a:noFill/>
                    </a:ln>
                    <a:extLst>
                      <a:ext uri="{53640926-AAD7-44D8-BBD7-CCE9431645EC}">
                        <a14:shadowObscured xmlns:a14="http://schemas.microsoft.com/office/drawing/2010/main"/>
                      </a:ext>
                    </a:extLst>
                  </pic:spPr>
                </pic:pic>
              </a:graphicData>
            </a:graphic>
          </wp:inline>
        </w:drawing>
      </w:r>
    </w:p>
    <w:p w14:paraId="5B1AA517" w14:textId="6F01E7E7" w:rsidR="00D4221C" w:rsidRPr="00D4221C" w:rsidRDefault="00D4221C" w:rsidP="00D4221C">
      <w:pPr>
        <w:pStyle w:val="Caption"/>
        <w:rPr>
          <w:lang w:val="en-US"/>
        </w:rPr>
      </w:pPr>
      <w:r>
        <w:t xml:space="preserve">Figure </w:t>
      </w:r>
      <w:fldSimple w:instr=" SEQ Figure \* ARABIC ">
        <w:r>
          <w:rPr>
            <w:noProof/>
          </w:rPr>
          <w:t>1</w:t>
        </w:r>
      </w:fldSimple>
      <w:r>
        <w:t xml:space="preserve">.  The molecular diagram of </w:t>
      </w:r>
      <w:r w:rsidR="004E649F">
        <w:t>Fena</w:t>
      </w:r>
      <w:r w:rsidR="007F3E15">
        <w:t>mic Acid</w:t>
      </w:r>
      <w:r>
        <w: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p w14:paraId="0AF4CD44" w14:textId="77777777" w:rsidR="00805EEC" w:rsidRDefault="00805EEC" w:rsidP="00805EEC">
      <w:pPr>
        <w:rPr>
          <w:lang w:val="en-US"/>
        </w:rPr>
      </w:pPr>
      <w:r>
        <w:rPr>
          <w:lang w:val="en-US"/>
        </w:rPr>
        <w:t>This system was studied by Ogaga Uzoh, as part of his PhD.  He ran a search in CrystalPredictor, followed by CrystalOptimizer refinement and PCM refinement.  At the moment, I don’t know which versions of CrystalPredictor or CrystalOptimizer were used, or whether the search was rigid or flexible.  Looking at the summary.out files, the variation in starting values of dih9 and dih17 is very small, but they are all different values.  Therefore, it looks like a flexible search.  Similarly, the variation in bnd2 is small, so it appears to have been a CrystalPredictor2 search (CrystalPredictor1 would have this bond within a rigid fragment being a constant).  It’s definitely CrystalOptimizer refinement, although the gas phase energy of opt was not included in the mol.input file.</w:t>
      </w:r>
    </w:p>
    <w:p w14:paraId="438CC881" w14:textId="441555A1" w:rsidR="00805EEC" w:rsidRDefault="00805EEC" w:rsidP="00805EEC">
      <w:pPr>
        <w:rPr>
          <w:lang w:val="en-US"/>
        </w:rPr>
      </w:pPr>
      <w:r>
        <w:rPr>
          <w:lang w:val="en-US"/>
        </w:rPr>
        <w:t>Very few structures were optimized with CrystalOptimizer, and even fewer had the PCM refinement added.  A related search by Ogaga had to be repeated later for exactly this reason – in that case one of the experimental crystal structures was missed as it was slightly too high on the CrystalPredictor energy ranking.</w:t>
      </w:r>
    </w:p>
    <w:p w14:paraId="7DB5E068" w14:textId="749E5A44" w:rsidR="00D90329" w:rsidRPr="00805EEC" w:rsidRDefault="00D90329" w:rsidP="00805EEC">
      <w:pPr>
        <w:rPr>
          <w:lang w:val="en-US"/>
        </w:rPr>
      </w:pPr>
      <w:r>
        <w:rPr>
          <w:lang w:val="en-US"/>
        </w:rPr>
        <w:t>While compiling the structures and information for the energy comparison paper, it was noticed that different angles were optimized with CrystalOptimizer for each of the molecules in this family.  Also, structurally equivalent packings were to be included for the whole family of molecules.  This necessitate</w:t>
      </w:r>
      <w:r w:rsidR="00432537">
        <w:rPr>
          <w:lang w:val="en-US"/>
        </w:rPr>
        <w:t>d</w:t>
      </w:r>
      <w:r>
        <w:rPr>
          <w:lang w:val="en-US"/>
        </w:rPr>
        <w:t xml:space="preserve"> reoptimization with CrystalOptimizer prior to optimization with CASTEP.</w:t>
      </w:r>
    </w:p>
    <w:tbl>
      <w:tblPr>
        <w:tblW w:w="0" w:type="auto"/>
        <w:tblBorders>
          <w:top w:val="single" w:sz="24" w:space="0" w:color="FF0000"/>
          <w:left w:val="single" w:sz="24" w:space="0" w:color="FF0000"/>
          <w:bottom w:val="single" w:sz="24" w:space="0" w:color="FF0000"/>
          <w:right w:val="single" w:sz="24" w:space="0" w:color="FF0000"/>
          <w:insideH w:val="single" w:sz="4" w:space="0" w:color="auto"/>
          <w:insideV w:val="single" w:sz="4" w:space="0" w:color="auto"/>
        </w:tblBorders>
        <w:tblLook w:val="04A0" w:firstRow="1" w:lastRow="0" w:firstColumn="1" w:lastColumn="0" w:noHBand="0" w:noVBand="1"/>
      </w:tblPr>
      <w:tblGrid>
        <w:gridCol w:w="1944"/>
        <w:gridCol w:w="8462"/>
      </w:tblGrid>
      <w:tr w:rsidR="00FF64AB" w:rsidRPr="00FF64AB" w14:paraId="7E7BBCAA" w14:textId="77777777" w:rsidTr="00FF64AB">
        <w:trPr>
          <w:trHeight w:val="255"/>
        </w:trPr>
        <w:tc>
          <w:tcPr>
            <w:tcW w:w="0" w:type="auto"/>
            <w:shd w:val="clear" w:color="auto" w:fill="auto"/>
            <w:noWrap/>
            <w:hideMark/>
          </w:tcPr>
          <w:p w14:paraId="504015D0"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REFCODE</w:t>
            </w:r>
          </w:p>
        </w:tc>
        <w:tc>
          <w:tcPr>
            <w:tcW w:w="0" w:type="auto"/>
            <w:shd w:val="clear" w:color="auto" w:fill="auto"/>
            <w:noWrap/>
            <w:hideMark/>
          </w:tcPr>
          <w:p w14:paraId="45919E89"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QQQBTY</w:t>
            </w:r>
          </w:p>
        </w:tc>
      </w:tr>
      <w:tr w:rsidR="00FF64AB" w:rsidRPr="00FF64AB" w14:paraId="7698441D" w14:textId="77777777" w:rsidTr="00FF64AB">
        <w:trPr>
          <w:trHeight w:val="255"/>
        </w:trPr>
        <w:tc>
          <w:tcPr>
            <w:tcW w:w="0" w:type="auto"/>
            <w:shd w:val="clear" w:color="auto" w:fill="auto"/>
            <w:noWrap/>
            <w:hideMark/>
          </w:tcPr>
          <w:p w14:paraId="6C01D039"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Formula</w:t>
            </w:r>
          </w:p>
        </w:tc>
        <w:tc>
          <w:tcPr>
            <w:tcW w:w="0" w:type="auto"/>
            <w:shd w:val="clear" w:color="auto" w:fill="auto"/>
            <w:noWrap/>
            <w:hideMark/>
          </w:tcPr>
          <w:p w14:paraId="1C9E0E53"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C13 H11 N1 O2</w:t>
            </w:r>
          </w:p>
        </w:tc>
      </w:tr>
      <w:tr w:rsidR="00FF64AB" w:rsidRPr="00FF64AB" w14:paraId="08C61D34" w14:textId="77777777" w:rsidTr="00FF64AB">
        <w:trPr>
          <w:trHeight w:val="255"/>
        </w:trPr>
        <w:tc>
          <w:tcPr>
            <w:tcW w:w="0" w:type="auto"/>
            <w:shd w:val="clear" w:color="auto" w:fill="auto"/>
            <w:noWrap/>
            <w:hideMark/>
          </w:tcPr>
          <w:p w14:paraId="4AEDBD94"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Common Name</w:t>
            </w:r>
          </w:p>
        </w:tc>
        <w:tc>
          <w:tcPr>
            <w:tcW w:w="0" w:type="auto"/>
            <w:shd w:val="clear" w:color="auto" w:fill="auto"/>
            <w:noWrap/>
            <w:hideMark/>
          </w:tcPr>
          <w:p w14:paraId="1D8EC271"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Fenamic Acid</w:t>
            </w:r>
          </w:p>
        </w:tc>
      </w:tr>
      <w:tr w:rsidR="00FF64AB" w:rsidRPr="00FF64AB" w14:paraId="3D491410" w14:textId="77777777" w:rsidTr="00FF64AB">
        <w:trPr>
          <w:trHeight w:val="255"/>
        </w:trPr>
        <w:tc>
          <w:tcPr>
            <w:tcW w:w="0" w:type="auto"/>
            <w:shd w:val="clear" w:color="auto" w:fill="auto"/>
            <w:noWrap/>
            <w:hideMark/>
          </w:tcPr>
          <w:p w14:paraId="335B178D"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IUPAC Systematic Name</w:t>
            </w:r>
          </w:p>
        </w:tc>
        <w:tc>
          <w:tcPr>
            <w:tcW w:w="0" w:type="auto"/>
            <w:shd w:val="clear" w:color="auto" w:fill="auto"/>
            <w:noWrap/>
            <w:hideMark/>
          </w:tcPr>
          <w:p w14:paraId="48A356E3"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2-(phenylamino)benzoic acid</w:t>
            </w:r>
          </w:p>
        </w:tc>
      </w:tr>
      <w:tr w:rsidR="00FF64AB" w:rsidRPr="00FF64AB" w14:paraId="383742D2" w14:textId="77777777" w:rsidTr="00FF64AB">
        <w:trPr>
          <w:trHeight w:val="255"/>
        </w:trPr>
        <w:tc>
          <w:tcPr>
            <w:tcW w:w="0" w:type="auto"/>
            <w:shd w:val="clear" w:color="auto" w:fill="auto"/>
            <w:noWrap/>
            <w:hideMark/>
          </w:tcPr>
          <w:p w14:paraId="37937C3C"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Other Names</w:t>
            </w:r>
          </w:p>
        </w:tc>
        <w:tc>
          <w:tcPr>
            <w:tcW w:w="0" w:type="auto"/>
            <w:shd w:val="clear" w:color="auto" w:fill="auto"/>
            <w:noWrap/>
            <w:hideMark/>
          </w:tcPr>
          <w:p w14:paraId="3011DC25"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N-phenyl-anthranilic acid, 2-Aniliobenzoic Acid</w:t>
            </w:r>
          </w:p>
        </w:tc>
      </w:tr>
      <w:tr w:rsidR="00FF64AB" w:rsidRPr="00FF64AB" w14:paraId="08919AE0" w14:textId="77777777" w:rsidTr="00A03B65">
        <w:trPr>
          <w:trHeight w:val="255"/>
        </w:trPr>
        <w:tc>
          <w:tcPr>
            <w:tcW w:w="0" w:type="auto"/>
            <w:tcBorders>
              <w:bottom w:val="single" w:sz="24" w:space="0" w:color="FF0000"/>
            </w:tcBorders>
            <w:shd w:val="clear" w:color="auto" w:fill="auto"/>
            <w:noWrap/>
            <w:hideMark/>
          </w:tcPr>
          <w:p w14:paraId="3B0B41CA"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CSD Refcodes</w:t>
            </w:r>
          </w:p>
        </w:tc>
        <w:tc>
          <w:tcPr>
            <w:tcW w:w="0" w:type="auto"/>
            <w:tcBorders>
              <w:bottom w:val="single" w:sz="24" w:space="0" w:color="FF0000"/>
            </w:tcBorders>
            <w:shd w:val="clear" w:color="auto" w:fill="auto"/>
            <w:noWrap/>
            <w:hideMark/>
          </w:tcPr>
          <w:p w14:paraId="39E7B182"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QQQBTY02</w:t>
            </w:r>
          </w:p>
        </w:tc>
      </w:tr>
      <w:tr w:rsidR="00A03B65" w:rsidRPr="00FF64AB" w14:paraId="0A159677" w14:textId="77777777" w:rsidTr="00A03B65">
        <w:trPr>
          <w:trHeight w:val="255"/>
        </w:trPr>
        <w:tc>
          <w:tcPr>
            <w:tcW w:w="0" w:type="auto"/>
            <w:tcBorders>
              <w:top w:val="single" w:sz="24" w:space="0" w:color="FF0000"/>
              <w:bottom w:val="single" w:sz="4" w:space="0" w:color="auto"/>
            </w:tcBorders>
            <w:shd w:val="clear" w:color="auto" w:fill="auto"/>
            <w:noWrap/>
          </w:tcPr>
          <w:p w14:paraId="565CD8A4" w14:textId="268D32C9" w:rsidR="00A03B65" w:rsidRPr="00FF64AB" w:rsidRDefault="00A03B65" w:rsidP="00FF64AB">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0" w:type="auto"/>
            <w:tcBorders>
              <w:top w:val="single" w:sz="24" w:space="0" w:color="FF0000"/>
              <w:bottom w:val="single" w:sz="4" w:space="0" w:color="auto"/>
            </w:tcBorders>
            <w:shd w:val="clear" w:color="auto" w:fill="auto"/>
            <w:noWrap/>
          </w:tcPr>
          <w:p w14:paraId="42EFF1A1" w14:textId="11E205F0" w:rsidR="00A03B65" w:rsidRPr="00FF64AB" w:rsidRDefault="00A03B65" w:rsidP="00FF64AB">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FF64AB" w:rsidRPr="00FF64AB" w14:paraId="6CC97CF2" w14:textId="77777777" w:rsidTr="00A03B65">
        <w:trPr>
          <w:trHeight w:val="255"/>
        </w:trPr>
        <w:tc>
          <w:tcPr>
            <w:tcW w:w="0" w:type="auto"/>
            <w:tcBorders>
              <w:top w:val="single" w:sz="4" w:space="0" w:color="auto"/>
              <w:bottom w:val="single" w:sz="4" w:space="0" w:color="auto"/>
            </w:tcBorders>
            <w:shd w:val="clear" w:color="auto" w:fill="auto"/>
            <w:noWrap/>
            <w:hideMark/>
          </w:tcPr>
          <w:p w14:paraId="1DBDB228"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Scientist</w:t>
            </w:r>
          </w:p>
        </w:tc>
        <w:tc>
          <w:tcPr>
            <w:tcW w:w="0" w:type="auto"/>
            <w:tcBorders>
              <w:top w:val="single" w:sz="4" w:space="0" w:color="auto"/>
              <w:bottom w:val="single" w:sz="4" w:space="0" w:color="auto"/>
            </w:tcBorders>
            <w:shd w:val="clear" w:color="auto" w:fill="auto"/>
            <w:noWrap/>
            <w:hideMark/>
          </w:tcPr>
          <w:p w14:paraId="116863CD"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Ogaga Uzoh</w:t>
            </w:r>
          </w:p>
        </w:tc>
      </w:tr>
      <w:tr w:rsidR="00FF64AB" w:rsidRPr="00FF64AB" w14:paraId="36269894" w14:textId="77777777" w:rsidTr="00A03B65">
        <w:trPr>
          <w:trHeight w:val="255"/>
        </w:trPr>
        <w:tc>
          <w:tcPr>
            <w:tcW w:w="0" w:type="auto"/>
            <w:tcBorders>
              <w:top w:val="single" w:sz="4" w:space="0" w:color="auto"/>
              <w:bottom w:val="single" w:sz="4" w:space="0" w:color="auto"/>
            </w:tcBorders>
            <w:shd w:val="clear" w:color="auto" w:fill="auto"/>
            <w:noWrap/>
            <w:hideMark/>
          </w:tcPr>
          <w:p w14:paraId="08CB4914"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Date</w:t>
            </w:r>
          </w:p>
        </w:tc>
        <w:tc>
          <w:tcPr>
            <w:tcW w:w="0" w:type="auto"/>
            <w:tcBorders>
              <w:top w:val="single" w:sz="4" w:space="0" w:color="auto"/>
              <w:bottom w:val="single" w:sz="4" w:space="0" w:color="auto"/>
            </w:tcBorders>
            <w:shd w:val="clear" w:color="auto" w:fill="auto"/>
            <w:noWrap/>
            <w:hideMark/>
          </w:tcPr>
          <w:p w14:paraId="79BF2CCC"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2012</w:t>
            </w:r>
          </w:p>
        </w:tc>
      </w:tr>
      <w:tr w:rsidR="00FF64AB" w:rsidRPr="00FF64AB" w14:paraId="53E36EF1" w14:textId="77777777" w:rsidTr="00A03B65">
        <w:trPr>
          <w:trHeight w:val="255"/>
        </w:trPr>
        <w:tc>
          <w:tcPr>
            <w:tcW w:w="0" w:type="auto"/>
            <w:tcBorders>
              <w:top w:val="single" w:sz="4" w:space="0" w:color="auto"/>
              <w:bottom w:val="single" w:sz="24" w:space="0" w:color="FF0000"/>
            </w:tcBorders>
            <w:shd w:val="clear" w:color="auto" w:fill="auto"/>
            <w:noWrap/>
            <w:hideMark/>
          </w:tcPr>
          <w:p w14:paraId="01B83305" w14:textId="77777777" w:rsidR="00FF64AB" w:rsidRPr="00FF64AB" w:rsidRDefault="00FF64AB" w:rsidP="00FF64AB">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Publication</w:t>
            </w:r>
          </w:p>
        </w:tc>
        <w:tc>
          <w:tcPr>
            <w:tcW w:w="0" w:type="auto"/>
            <w:tcBorders>
              <w:top w:val="single" w:sz="4" w:space="0" w:color="auto"/>
              <w:bottom w:val="single" w:sz="24" w:space="0" w:color="FF0000"/>
            </w:tcBorders>
            <w:shd w:val="clear" w:color="auto" w:fill="auto"/>
            <w:noWrap/>
            <w:hideMark/>
          </w:tcPr>
          <w:p w14:paraId="128A04B6" w14:textId="77777777" w:rsidR="00FF64AB" w:rsidRPr="00FF64AB" w:rsidRDefault="00FF64AB" w:rsidP="00FF64AB">
            <w:pPr>
              <w:spacing w:after="0" w:line="240" w:lineRule="auto"/>
              <w:rPr>
                <w:rFonts w:ascii="Arial" w:eastAsia="Times New Roman" w:hAnsi="Arial" w:cs="Arial"/>
                <w:sz w:val="20"/>
                <w:szCs w:val="20"/>
                <w:lang w:eastAsia="en-GB"/>
              </w:rPr>
            </w:pPr>
            <w:r w:rsidRPr="00D90329">
              <w:rPr>
                <w:rFonts w:ascii="Arial" w:eastAsia="Times New Roman" w:hAnsi="Arial" w:cs="Arial"/>
                <w:sz w:val="20"/>
                <w:szCs w:val="20"/>
                <w:lang w:val="es-ES" w:eastAsia="en-GB"/>
              </w:rPr>
              <w:t xml:space="preserve">Uzoh OG, Cruz-Cabeza AJ, Price SL 2012. </w:t>
            </w:r>
            <w:r w:rsidRPr="00FF64AB">
              <w:rPr>
                <w:rFonts w:ascii="Arial" w:eastAsia="Times New Roman" w:hAnsi="Arial" w:cs="Arial"/>
                <w:sz w:val="20"/>
                <w:szCs w:val="20"/>
                <w:lang w:eastAsia="en-GB"/>
              </w:rPr>
              <w:t>Cryst Growth Des 12, 4230-4239.</w:t>
            </w:r>
          </w:p>
        </w:tc>
      </w:tr>
      <w:tr w:rsidR="00FF64AB" w:rsidRPr="00FF64AB" w14:paraId="63C2128B" w14:textId="77777777" w:rsidTr="00A03B65">
        <w:trPr>
          <w:trHeight w:val="255"/>
        </w:trPr>
        <w:tc>
          <w:tcPr>
            <w:tcW w:w="0" w:type="auto"/>
            <w:tcBorders>
              <w:top w:val="single" w:sz="24" w:space="0" w:color="FF0000"/>
              <w:bottom w:val="single" w:sz="4" w:space="0" w:color="auto"/>
            </w:tcBorders>
            <w:shd w:val="clear" w:color="auto" w:fill="auto"/>
            <w:noWrap/>
          </w:tcPr>
          <w:p w14:paraId="5B049B2E" w14:textId="581693F9" w:rsidR="00FF64AB" w:rsidRPr="00FF64AB" w:rsidRDefault="00A03B65" w:rsidP="00FF64AB">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FF0000"/>
              <w:bottom w:val="single" w:sz="4" w:space="0" w:color="auto"/>
            </w:tcBorders>
            <w:shd w:val="clear" w:color="auto" w:fill="auto"/>
            <w:noWrap/>
          </w:tcPr>
          <w:p w14:paraId="5AC21C3C" w14:textId="7537AC31" w:rsidR="00FF64AB" w:rsidRPr="00FF64AB" w:rsidRDefault="00A03B65" w:rsidP="00FF64AB">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A03B65" w:rsidRPr="00FF64AB" w14:paraId="68ECB947" w14:textId="77777777" w:rsidTr="00FF64AB">
        <w:trPr>
          <w:trHeight w:val="255"/>
        </w:trPr>
        <w:tc>
          <w:tcPr>
            <w:tcW w:w="0" w:type="auto"/>
            <w:tcBorders>
              <w:top w:val="single" w:sz="4" w:space="0" w:color="auto"/>
              <w:bottom w:val="single" w:sz="4" w:space="0" w:color="auto"/>
            </w:tcBorders>
            <w:shd w:val="clear" w:color="auto" w:fill="auto"/>
            <w:noWrap/>
          </w:tcPr>
          <w:p w14:paraId="73EF0BAB" w14:textId="68E664AF" w:rsidR="00A03B65" w:rsidRPr="00FF64AB" w:rsidRDefault="00A03B65" w:rsidP="00A03B65">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Study_ID</w:t>
            </w:r>
          </w:p>
        </w:tc>
        <w:tc>
          <w:tcPr>
            <w:tcW w:w="0" w:type="auto"/>
            <w:tcBorders>
              <w:top w:val="single" w:sz="4" w:space="0" w:color="auto"/>
              <w:bottom w:val="single" w:sz="4" w:space="0" w:color="auto"/>
            </w:tcBorders>
            <w:shd w:val="clear" w:color="auto" w:fill="auto"/>
            <w:noWrap/>
          </w:tcPr>
          <w:p w14:paraId="349F9390" w14:textId="69B18AC7" w:rsidR="00A03B65" w:rsidRPr="00FF64AB" w:rsidRDefault="00A03B65" w:rsidP="00A03B65">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10</w:t>
            </w:r>
          </w:p>
        </w:tc>
      </w:tr>
      <w:tr w:rsidR="00A03B65" w:rsidRPr="00FF64AB" w14:paraId="0F79FE23" w14:textId="77777777" w:rsidTr="00FF64AB">
        <w:trPr>
          <w:trHeight w:val="255"/>
        </w:trPr>
        <w:tc>
          <w:tcPr>
            <w:tcW w:w="0" w:type="auto"/>
            <w:tcBorders>
              <w:top w:val="single" w:sz="4" w:space="0" w:color="auto"/>
              <w:bottom w:val="single" w:sz="4" w:space="0" w:color="auto"/>
            </w:tcBorders>
            <w:shd w:val="clear" w:color="auto" w:fill="auto"/>
            <w:noWrap/>
            <w:hideMark/>
          </w:tcPr>
          <w:p w14:paraId="274E5C27" w14:textId="77777777" w:rsidR="00A03B65" w:rsidRPr="00FF64AB" w:rsidRDefault="00A03B65" w:rsidP="00A03B65">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Programs</w:t>
            </w:r>
          </w:p>
        </w:tc>
        <w:tc>
          <w:tcPr>
            <w:tcW w:w="0" w:type="auto"/>
            <w:tcBorders>
              <w:top w:val="single" w:sz="4" w:space="0" w:color="auto"/>
              <w:bottom w:val="single" w:sz="4" w:space="0" w:color="auto"/>
            </w:tcBorders>
            <w:shd w:val="clear" w:color="auto" w:fill="auto"/>
            <w:noWrap/>
            <w:hideMark/>
          </w:tcPr>
          <w:p w14:paraId="04320F1A" w14:textId="77777777" w:rsidR="00A03B65" w:rsidRPr="00FF64AB" w:rsidRDefault="00A03B65" w:rsidP="00A03B65">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Flexible CrystalPredictor (1.6), dmaflex-Quick, CrystalOptimizer (2.2), DMACRYS (2.0.4)</w:t>
            </w:r>
          </w:p>
        </w:tc>
      </w:tr>
      <w:tr w:rsidR="00A03B65" w:rsidRPr="00FF64AB" w14:paraId="1553BFA8" w14:textId="77777777" w:rsidTr="00FF64AB">
        <w:trPr>
          <w:trHeight w:val="255"/>
        </w:trPr>
        <w:tc>
          <w:tcPr>
            <w:tcW w:w="0" w:type="auto"/>
            <w:tcBorders>
              <w:top w:val="single" w:sz="4" w:space="0" w:color="auto"/>
              <w:bottom w:val="single" w:sz="4" w:space="0" w:color="auto"/>
            </w:tcBorders>
            <w:shd w:val="clear" w:color="auto" w:fill="auto"/>
            <w:noWrap/>
            <w:hideMark/>
          </w:tcPr>
          <w:p w14:paraId="57240691" w14:textId="77777777" w:rsidR="00A03B65" w:rsidRPr="00FF64AB" w:rsidRDefault="00A03B65" w:rsidP="00A03B65">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Location on S Drive</w:t>
            </w:r>
          </w:p>
        </w:tc>
        <w:tc>
          <w:tcPr>
            <w:tcW w:w="0" w:type="auto"/>
            <w:tcBorders>
              <w:top w:val="single" w:sz="4" w:space="0" w:color="auto"/>
              <w:bottom w:val="single" w:sz="4" w:space="0" w:color="auto"/>
            </w:tcBorders>
            <w:shd w:val="clear" w:color="auto" w:fill="auto"/>
            <w:noWrap/>
            <w:hideMark/>
          </w:tcPr>
          <w:p w14:paraId="1C1CBB8D" w14:textId="77777777" w:rsidR="00A03B65" w:rsidRPr="00FF64AB" w:rsidRDefault="00A03B65" w:rsidP="00A03B65">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/CHEMISTRY_CPOSS/Fenamates/FenamicAcid/QQQBTY_CO</w:t>
            </w:r>
          </w:p>
        </w:tc>
      </w:tr>
      <w:tr w:rsidR="00A03B65" w:rsidRPr="00FF64AB" w14:paraId="3023FB26" w14:textId="77777777" w:rsidTr="00FF64AB">
        <w:trPr>
          <w:trHeight w:val="255"/>
        </w:trPr>
        <w:tc>
          <w:tcPr>
            <w:tcW w:w="0" w:type="auto"/>
            <w:tcBorders>
              <w:top w:val="single" w:sz="4" w:space="0" w:color="auto"/>
              <w:bottom w:val="single" w:sz="24" w:space="0" w:color="FF0000"/>
            </w:tcBorders>
            <w:shd w:val="clear" w:color="auto" w:fill="auto"/>
            <w:noWrap/>
            <w:hideMark/>
          </w:tcPr>
          <w:p w14:paraId="48EC42AF" w14:textId="77777777" w:rsidR="00A03B65" w:rsidRPr="00FF64AB" w:rsidRDefault="00A03B65" w:rsidP="00A03B65">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Potential Description</w:t>
            </w:r>
          </w:p>
        </w:tc>
        <w:tc>
          <w:tcPr>
            <w:tcW w:w="0" w:type="auto"/>
            <w:tcBorders>
              <w:top w:val="single" w:sz="4" w:space="0" w:color="auto"/>
              <w:bottom w:val="single" w:sz="24" w:space="0" w:color="FF0000"/>
            </w:tcBorders>
            <w:shd w:val="clear" w:color="auto" w:fill="auto"/>
            <w:noWrap/>
            <w:hideMark/>
          </w:tcPr>
          <w:p w14:paraId="2AC70553" w14:textId="77777777" w:rsidR="00A03B65" w:rsidRPr="00FF64AB" w:rsidRDefault="00A03B65" w:rsidP="00A03B65">
            <w:pPr>
              <w:spacing w:after="0" w:line="240" w:lineRule="auto"/>
              <w:rPr>
                <w:rFonts w:ascii="Arial" w:eastAsia="Times New Roman" w:hAnsi="Arial" w:cs="Arial"/>
                <w:sz w:val="20"/>
                <w:szCs w:val="20"/>
                <w:lang w:eastAsia="en-GB"/>
              </w:rPr>
            </w:pPr>
            <w:r w:rsidRPr="00FF64AB">
              <w:rPr>
                <w:rFonts w:ascii="Arial" w:eastAsia="Times New Roman" w:hAnsi="Arial" w:cs="Arial"/>
                <w:sz w:val="20"/>
                <w:szCs w:val="20"/>
                <w:lang w:eastAsia="en-GB"/>
              </w:rPr>
              <w:t>CrystalOptimizer PBE1PBE/6-31+G(d) intramolecular energy with PBE1PBE/6-31+G(d) charge density and FIT potential</w:t>
            </w:r>
          </w:p>
        </w:tc>
      </w:tr>
      <w:tr w:rsidR="00A03B65" w:rsidRPr="00FF64AB" w14:paraId="11469866" w14:textId="77777777" w:rsidTr="00FF64AB">
        <w:trPr>
          <w:trHeight w:val="255"/>
        </w:trPr>
        <w:tc>
          <w:tcPr>
            <w:tcW w:w="0" w:type="auto"/>
            <w:tcBorders>
              <w:top w:val="single" w:sz="24" w:space="0" w:color="FF0000"/>
            </w:tcBorders>
            <w:shd w:val="clear" w:color="auto" w:fill="auto"/>
            <w:noWrap/>
          </w:tcPr>
          <w:p w14:paraId="16DC01A1" w14:textId="7C155B80" w:rsidR="00A03B65" w:rsidRPr="00FF64AB" w:rsidRDefault="00A03B65" w:rsidP="00A03B6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FF0000"/>
            </w:tcBorders>
            <w:shd w:val="clear" w:color="auto" w:fill="auto"/>
            <w:noWrap/>
          </w:tcPr>
          <w:p w14:paraId="11374B0B" w14:textId="5A643F59" w:rsidR="00A03B65" w:rsidRPr="00FF64AB" w:rsidRDefault="00A03B65" w:rsidP="00A03B65">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p>
        </w:tc>
      </w:tr>
      <w:tr w:rsidR="00A03B65" w:rsidRPr="00FF64AB" w14:paraId="3726B5D1" w14:textId="77777777" w:rsidTr="00FF64AB">
        <w:trPr>
          <w:trHeight w:val="255"/>
        </w:trPr>
        <w:tc>
          <w:tcPr>
            <w:tcW w:w="0" w:type="auto"/>
            <w:shd w:val="clear" w:color="auto" w:fill="auto"/>
            <w:noWrap/>
          </w:tcPr>
          <w:p w14:paraId="7B71CAD2" w14:textId="2F1133B8" w:rsidR="00A03B65" w:rsidRDefault="00A03B65" w:rsidP="00A03B65">
            <w:pPr>
              <w:spacing w:after="0" w:line="240" w:lineRule="auto"/>
              <w:rPr>
                <w:rFonts w:ascii="Arial" w:hAnsi="Arial" w:cs="Arial"/>
                <w:sz w:val="20"/>
                <w:szCs w:val="20"/>
              </w:rPr>
            </w:pPr>
            <w:r>
              <w:rPr>
                <w:rFonts w:ascii="Arial" w:hAnsi="Arial" w:cs="Arial"/>
                <w:sz w:val="20"/>
                <w:szCs w:val="20"/>
              </w:rPr>
              <w:t>Study_ID</w:t>
            </w:r>
          </w:p>
        </w:tc>
        <w:tc>
          <w:tcPr>
            <w:tcW w:w="0" w:type="auto"/>
            <w:shd w:val="clear" w:color="auto" w:fill="auto"/>
            <w:noWrap/>
          </w:tcPr>
          <w:p w14:paraId="577ED10D" w14:textId="41F9EA51" w:rsidR="00A03B65" w:rsidRDefault="00A03B65" w:rsidP="00A03B65">
            <w:pPr>
              <w:spacing w:after="0" w:line="240" w:lineRule="auto"/>
              <w:rPr>
                <w:rFonts w:ascii="Arial" w:hAnsi="Arial" w:cs="Arial"/>
                <w:sz w:val="20"/>
                <w:szCs w:val="20"/>
              </w:rPr>
            </w:pPr>
            <w:r>
              <w:rPr>
                <w:rFonts w:ascii="Arial" w:hAnsi="Arial" w:cs="Arial"/>
                <w:sz w:val="20"/>
                <w:szCs w:val="20"/>
              </w:rPr>
              <w:t>30 (published)</w:t>
            </w:r>
          </w:p>
        </w:tc>
      </w:tr>
      <w:tr w:rsidR="00A03B65" w:rsidRPr="00FF64AB" w14:paraId="671F0BD1" w14:textId="77777777" w:rsidTr="00FF64AB">
        <w:trPr>
          <w:trHeight w:val="255"/>
        </w:trPr>
        <w:tc>
          <w:tcPr>
            <w:tcW w:w="0" w:type="auto"/>
            <w:shd w:val="clear" w:color="auto" w:fill="auto"/>
            <w:noWrap/>
          </w:tcPr>
          <w:p w14:paraId="5418D0B3" w14:textId="62D4667E" w:rsidR="00A03B65" w:rsidRPr="00FF64AB" w:rsidRDefault="00A03B65" w:rsidP="00A03B65">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shd w:val="clear" w:color="auto" w:fill="auto"/>
            <w:noWrap/>
          </w:tcPr>
          <w:p w14:paraId="570B49E7" w14:textId="096CE0FE" w:rsidR="00A03B65" w:rsidRPr="00FF64AB" w:rsidRDefault="00A03B65" w:rsidP="00A03B65">
            <w:pPr>
              <w:spacing w:after="0" w:line="240" w:lineRule="auto"/>
              <w:rPr>
                <w:rFonts w:ascii="Arial" w:eastAsia="Times New Roman" w:hAnsi="Arial" w:cs="Arial"/>
                <w:sz w:val="20"/>
                <w:szCs w:val="20"/>
                <w:lang w:eastAsia="en-GB"/>
              </w:rPr>
            </w:pPr>
            <w:r>
              <w:rPr>
                <w:rFonts w:ascii="Arial" w:hAnsi="Arial" w:cs="Arial"/>
                <w:sz w:val="20"/>
                <w:szCs w:val="20"/>
              </w:rPr>
              <w:t>Study_ID=10, DMACRYS (2.0.8)</w:t>
            </w:r>
          </w:p>
        </w:tc>
      </w:tr>
      <w:tr w:rsidR="00A03B65" w:rsidRPr="00FF64AB" w14:paraId="0774A3CA" w14:textId="77777777" w:rsidTr="00FF64AB">
        <w:trPr>
          <w:trHeight w:val="255"/>
        </w:trPr>
        <w:tc>
          <w:tcPr>
            <w:tcW w:w="0" w:type="auto"/>
            <w:shd w:val="clear" w:color="auto" w:fill="auto"/>
            <w:noWrap/>
          </w:tcPr>
          <w:p w14:paraId="2148DC5F" w14:textId="20AEEA4C" w:rsidR="00A03B65" w:rsidRPr="00FF64AB" w:rsidRDefault="00A03B65" w:rsidP="00A03B65">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shd w:val="clear" w:color="auto" w:fill="auto"/>
            <w:noWrap/>
          </w:tcPr>
          <w:p w14:paraId="033AF278" w14:textId="715F1915" w:rsidR="00A03B65" w:rsidRPr="00FF64AB" w:rsidRDefault="00A03B65" w:rsidP="00A03B65">
            <w:pPr>
              <w:spacing w:after="0" w:line="240" w:lineRule="auto"/>
              <w:rPr>
                <w:rFonts w:ascii="Arial" w:eastAsia="Times New Roman" w:hAnsi="Arial" w:cs="Arial"/>
                <w:sz w:val="20"/>
                <w:szCs w:val="20"/>
                <w:lang w:eastAsia="en-GB"/>
              </w:rPr>
            </w:pPr>
            <w:r>
              <w:rPr>
                <w:rFonts w:ascii="Arial" w:hAnsi="Arial" w:cs="Arial"/>
                <w:sz w:val="20"/>
                <w:szCs w:val="20"/>
              </w:rPr>
              <w:t>/CHEMISTRY_CPOSS/Fenamates/FenamicAcid/QQQBTY_PCM</w:t>
            </w:r>
          </w:p>
        </w:tc>
      </w:tr>
      <w:tr w:rsidR="00A03B65" w:rsidRPr="00FF64AB" w14:paraId="23FA03A2" w14:textId="77777777" w:rsidTr="00D90329">
        <w:trPr>
          <w:trHeight w:val="255"/>
        </w:trPr>
        <w:tc>
          <w:tcPr>
            <w:tcW w:w="0" w:type="auto"/>
            <w:tcBorders>
              <w:bottom w:val="single" w:sz="24" w:space="0" w:color="FF0000"/>
            </w:tcBorders>
            <w:shd w:val="clear" w:color="auto" w:fill="auto"/>
            <w:noWrap/>
          </w:tcPr>
          <w:p w14:paraId="6FF33244" w14:textId="685232A9" w:rsidR="00A03B65" w:rsidRPr="00FF64AB" w:rsidRDefault="00A03B65" w:rsidP="00A03B65">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FF0000"/>
            </w:tcBorders>
            <w:shd w:val="clear" w:color="auto" w:fill="auto"/>
            <w:noWrap/>
          </w:tcPr>
          <w:p w14:paraId="5FDC5D74" w14:textId="346E7D4C" w:rsidR="00A03B65" w:rsidRPr="00FF64AB" w:rsidRDefault="00A03B65" w:rsidP="00A03B65">
            <w:pPr>
              <w:spacing w:after="0" w:line="240" w:lineRule="auto"/>
              <w:rPr>
                <w:rFonts w:ascii="Arial" w:eastAsia="Times New Roman" w:hAnsi="Arial" w:cs="Arial"/>
                <w:sz w:val="20"/>
                <w:szCs w:val="20"/>
                <w:lang w:eastAsia="en-GB"/>
              </w:rPr>
            </w:pPr>
            <w:r>
              <w:rPr>
                <w:rFonts w:ascii="Arial" w:hAnsi="Arial" w:cs="Arial"/>
                <w:sz w:val="20"/>
                <w:szCs w:val="20"/>
              </w:rPr>
              <w:t>GDMA2.2(PCMdielectric3(PBE1PBE/6-31+G(d))) + FIT</w:t>
            </w:r>
          </w:p>
        </w:tc>
      </w:tr>
      <w:tr w:rsidR="00A03B65" w:rsidRPr="00FF64AB" w14:paraId="3119453C" w14:textId="77777777" w:rsidTr="00D90329">
        <w:trPr>
          <w:trHeight w:val="255"/>
        </w:trPr>
        <w:tc>
          <w:tcPr>
            <w:tcW w:w="0" w:type="auto"/>
            <w:tcBorders>
              <w:top w:val="single" w:sz="24" w:space="0" w:color="FF0000"/>
              <w:bottom w:val="single" w:sz="4" w:space="0" w:color="auto"/>
            </w:tcBorders>
            <w:shd w:val="clear" w:color="auto" w:fill="auto"/>
            <w:noWrap/>
            <w:vAlign w:val="bottom"/>
          </w:tcPr>
          <w:p w14:paraId="44E52C7A" w14:textId="6CBA69FF" w:rsidR="00A03B65" w:rsidRDefault="00A03B65" w:rsidP="00A03B65">
            <w:pPr>
              <w:spacing w:after="0" w:line="240" w:lineRule="auto"/>
              <w:rPr>
                <w:rFonts w:ascii="Arial" w:hAnsi="Arial" w:cs="Arial"/>
                <w:sz w:val="20"/>
                <w:szCs w:val="20"/>
              </w:rPr>
            </w:pPr>
            <w:r>
              <w:rPr>
                <w:rFonts w:ascii="Arial" w:hAnsi="Arial" w:cs="Arial"/>
                <w:sz w:val="20"/>
                <w:szCs w:val="20"/>
              </w:rPr>
              <w:t>Energy Model</w:t>
            </w:r>
          </w:p>
        </w:tc>
        <w:tc>
          <w:tcPr>
            <w:tcW w:w="0" w:type="auto"/>
            <w:tcBorders>
              <w:top w:val="single" w:sz="24" w:space="0" w:color="FF0000"/>
              <w:bottom w:val="single" w:sz="4" w:space="0" w:color="auto"/>
            </w:tcBorders>
            <w:shd w:val="clear" w:color="auto" w:fill="auto"/>
            <w:noWrap/>
            <w:vAlign w:val="bottom"/>
          </w:tcPr>
          <w:p w14:paraId="26E81924" w14:textId="46814729" w:rsidR="00A03B65" w:rsidRDefault="00A03B65" w:rsidP="00A03B65">
            <w:pPr>
              <w:spacing w:after="0" w:line="240" w:lineRule="auto"/>
              <w:rPr>
                <w:rFonts w:ascii="Arial" w:hAnsi="Arial" w:cs="Arial"/>
                <w:sz w:val="20"/>
                <w:szCs w:val="20"/>
              </w:rPr>
            </w:pPr>
            <w:r>
              <w:rPr>
                <w:rFonts w:ascii="Arial" w:hAnsi="Arial" w:cs="Arial"/>
                <w:sz w:val="20"/>
                <w:szCs w:val="20"/>
              </w:rPr>
              <w:t>3</w:t>
            </w:r>
          </w:p>
        </w:tc>
      </w:tr>
      <w:tr w:rsidR="00A03B65" w:rsidRPr="00FF64AB" w14:paraId="1E1B85AA" w14:textId="77777777" w:rsidTr="00D90329">
        <w:trPr>
          <w:trHeight w:val="255"/>
        </w:trPr>
        <w:tc>
          <w:tcPr>
            <w:tcW w:w="0" w:type="auto"/>
            <w:tcBorders>
              <w:top w:val="single" w:sz="4" w:space="0" w:color="auto"/>
              <w:bottom w:val="single" w:sz="4" w:space="0" w:color="auto"/>
            </w:tcBorders>
            <w:shd w:val="clear" w:color="auto" w:fill="auto"/>
            <w:noWrap/>
            <w:vAlign w:val="bottom"/>
          </w:tcPr>
          <w:p w14:paraId="744030A9" w14:textId="22BDCAD2" w:rsidR="00A03B65" w:rsidRDefault="00A03B65" w:rsidP="00A03B65">
            <w:pPr>
              <w:spacing w:after="0" w:line="240" w:lineRule="auto"/>
              <w:rPr>
                <w:rFonts w:ascii="Arial" w:hAnsi="Arial" w:cs="Arial"/>
                <w:sz w:val="20"/>
                <w:szCs w:val="20"/>
              </w:rPr>
            </w:pPr>
            <w:r>
              <w:rPr>
                <w:rFonts w:ascii="Arial" w:hAnsi="Arial" w:cs="Arial"/>
                <w:sz w:val="20"/>
                <w:szCs w:val="20"/>
              </w:rPr>
              <w:lastRenderedPageBreak/>
              <w:t>Scientist</w:t>
            </w:r>
          </w:p>
        </w:tc>
        <w:tc>
          <w:tcPr>
            <w:tcW w:w="0" w:type="auto"/>
            <w:tcBorders>
              <w:top w:val="single" w:sz="4" w:space="0" w:color="auto"/>
              <w:bottom w:val="single" w:sz="4" w:space="0" w:color="auto"/>
            </w:tcBorders>
            <w:shd w:val="clear" w:color="auto" w:fill="auto"/>
            <w:noWrap/>
            <w:vAlign w:val="bottom"/>
          </w:tcPr>
          <w:p w14:paraId="5D97A82C" w14:textId="661AABF5" w:rsidR="00A03B65" w:rsidRDefault="00A03B65" w:rsidP="00A03B65">
            <w:pPr>
              <w:spacing w:after="0" w:line="240" w:lineRule="auto"/>
              <w:rPr>
                <w:rFonts w:ascii="Arial" w:hAnsi="Arial" w:cs="Arial"/>
                <w:sz w:val="20"/>
                <w:szCs w:val="20"/>
              </w:rPr>
            </w:pPr>
            <w:r>
              <w:rPr>
                <w:rFonts w:ascii="Arial" w:hAnsi="Arial" w:cs="Arial"/>
                <w:sz w:val="20"/>
                <w:szCs w:val="20"/>
              </w:rPr>
              <w:t>Louise Price</w:t>
            </w:r>
          </w:p>
        </w:tc>
      </w:tr>
      <w:tr w:rsidR="00A03B65" w:rsidRPr="00FF64AB" w14:paraId="31DDFFE7" w14:textId="77777777" w:rsidTr="00D90329">
        <w:trPr>
          <w:trHeight w:val="255"/>
        </w:trPr>
        <w:tc>
          <w:tcPr>
            <w:tcW w:w="0" w:type="auto"/>
            <w:tcBorders>
              <w:top w:val="single" w:sz="4" w:space="0" w:color="auto"/>
              <w:bottom w:val="single" w:sz="4" w:space="0" w:color="auto"/>
            </w:tcBorders>
            <w:shd w:val="clear" w:color="auto" w:fill="auto"/>
            <w:noWrap/>
            <w:vAlign w:val="bottom"/>
          </w:tcPr>
          <w:p w14:paraId="3D7F0F73" w14:textId="59078F30" w:rsidR="00A03B65" w:rsidRDefault="00A03B65" w:rsidP="00A03B65">
            <w:pPr>
              <w:spacing w:after="0" w:line="240" w:lineRule="auto"/>
              <w:rPr>
                <w:rFonts w:ascii="Arial" w:hAnsi="Arial" w:cs="Arial"/>
                <w:sz w:val="20"/>
                <w:szCs w:val="20"/>
              </w:rPr>
            </w:pPr>
            <w:r>
              <w:rPr>
                <w:rFonts w:ascii="Arial" w:hAnsi="Arial" w:cs="Arial"/>
                <w:sz w:val="20"/>
                <w:szCs w:val="20"/>
              </w:rPr>
              <w:t>Date</w:t>
            </w:r>
          </w:p>
        </w:tc>
        <w:tc>
          <w:tcPr>
            <w:tcW w:w="0" w:type="auto"/>
            <w:tcBorders>
              <w:top w:val="single" w:sz="4" w:space="0" w:color="auto"/>
              <w:bottom w:val="single" w:sz="4" w:space="0" w:color="auto"/>
            </w:tcBorders>
            <w:shd w:val="clear" w:color="auto" w:fill="auto"/>
            <w:noWrap/>
            <w:vAlign w:val="bottom"/>
          </w:tcPr>
          <w:p w14:paraId="4E807A3B" w14:textId="120D0B65" w:rsidR="00A03B65" w:rsidRDefault="00A03B65" w:rsidP="00A03B65">
            <w:pPr>
              <w:spacing w:after="0" w:line="240" w:lineRule="auto"/>
              <w:rPr>
                <w:rFonts w:ascii="Arial" w:hAnsi="Arial" w:cs="Arial"/>
                <w:sz w:val="20"/>
                <w:szCs w:val="20"/>
              </w:rPr>
            </w:pPr>
            <w:r>
              <w:rPr>
                <w:rFonts w:ascii="Arial" w:hAnsi="Arial" w:cs="Arial"/>
                <w:sz w:val="20"/>
                <w:szCs w:val="20"/>
              </w:rPr>
              <w:t>2024</w:t>
            </w:r>
          </w:p>
        </w:tc>
      </w:tr>
      <w:tr w:rsidR="00A03B65" w:rsidRPr="00FF64AB" w14:paraId="57E6A205" w14:textId="77777777" w:rsidTr="00D90329">
        <w:trPr>
          <w:trHeight w:val="255"/>
        </w:trPr>
        <w:tc>
          <w:tcPr>
            <w:tcW w:w="0" w:type="auto"/>
            <w:tcBorders>
              <w:top w:val="single" w:sz="4" w:space="0" w:color="auto"/>
              <w:bottom w:val="single" w:sz="4" w:space="0" w:color="auto"/>
            </w:tcBorders>
            <w:shd w:val="clear" w:color="auto" w:fill="auto"/>
            <w:noWrap/>
            <w:vAlign w:val="bottom"/>
          </w:tcPr>
          <w:p w14:paraId="2859E2D8" w14:textId="311415C1" w:rsidR="00A03B65" w:rsidRDefault="00A03B65" w:rsidP="00A03B65">
            <w:pPr>
              <w:spacing w:after="0" w:line="240" w:lineRule="auto"/>
              <w:rPr>
                <w:rFonts w:ascii="Arial" w:hAnsi="Arial" w:cs="Arial"/>
                <w:sz w:val="20"/>
                <w:szCs w:val="20"/>
              </w:rPr>
            </w:pPr>
            <w:r>
              <w:rPr>
                <w:rFonts w:ascii="Arial" w:hAnsi="Arial" w:cs="Arial"/>
                <w:sz w:val="20"/>
                <w:szCs w:val="20"/>
              </w:rPr>
              <w:t>Study_ID</w:t>
            </w:r>
          </w:p>
        </w:tc>
        <w:tc>
          <w:tcPr>
            <w:tcW w:w="0" w:type="auto"/>
            <w:tcBorders>
              <w:top w:val="single" w:sz="4" w:space="0" w:color="auto"/>
              <w:bottom w:val="single" w:sz="4" w:space="0" w:color="auto"/>
            </w:tcBorders>
            <w:shd w:val="clear" w:color="auto" w:fill="auto"/>
            <w:noWrap/>
            <w:vAlign w:val="bottom"/>
          </w:tcPr>
          <w:p w14:paraId="1B60493E" w14:textId="6A93642D" w:rsidR="00A03B65" w:rsidRDefault="00A03B65" w:rsidP="00A03B65">
            <w:pPr>
              <w:spacing w:after="0" w:line="240" w:lineRule="auto"/>
              <w:rPr>
                <w:rFonts w:ascii="Arial" w:hAnsi="Arial" w:cs="Arial"/>
                <w:sz w:val="20"/>
                <w:szCs w:val="20"/>
              </w:rPr>
            </w:pPr>
            <w:r>
              <w:rPr>
                <w:rFonts w:ascii="Arial" w:hAnsi="Arial" w:cs="Arial"/>
                <w:sz w:val="20"/>
                <w:szCs w:val="20"/>
              </w:rPr>
              <w:t>11</w:t>
            </w:r>
          </w:p>
        </w:tc>
      </w:tr>
      <w:tr w:rsidR="00A03B65" w:rsidRPr="00FF64AB" w14:paraId="6FEAC435" w14:textId="77777777" w:rsidTr="00D90329">
        <w:trPr>
          <w:trHeight w:val="255"/>
        </w:trPr>
        <w:tc>
          <w:tcPr>
            <w:tcW w:w="0" w:type="auto"/>
            <w:tcBorders>
              <w:top w:val="single" w:sz="4" w:space="0" w:color="auto"/>
              <w:bottom w:val="single" w:sz="4" w:space="0" w:color="auto"/>
            </w:tcBorders>
            <w:shd w:val="clear" w:color="auto" w:fill="auto"/>
            <w:noWrap/>
            <w:vAlign w:val="bottom"/>
          </w:tcPr>
          <w:p w14:paraId="3594E97B" w14:textId="340B1E10" w:rsidR="00A03B65" w:rsidRDefault="00A03B65" w:rsidP="00A03B65">
            <w:pPr>
              <w:spacing w:after="0" w:line="240" w:lineRule="auto"/>
              <w:rPr>
                <w:rFonts w:ascii="Arial" w:hAnsi="Arial" w:cs="Arial"/>
                <w:sz w:val="20"/>
                <w:szCs w:val="20"/>
              </w:rPr>
            </w:pPr>
            <w:r>
              <w:rPr>
                <w:rFonts w:ascii="Arial" w:hAnsi="Arial" w:cs="Arial"/>
                <w:sz w:val="20"/>
                <w:szCs w:val="20"/>
              </w:rPr>
              <w:t>Programs</w:t>
            </w:r>
          </w:p>
        </w:tc>
        <w:tc>
          <w:tcPr>
            <w:tcW w:w="0" w:type="auto"/>
            <w:tcBorders>
              <w:top w:val="single" w:sz="4" w:space="0" w:color="auto"/>
              <w:bottom w:val="single" w:sz="4" w:space="0" w:color="auto"/>
            </w:tcBorders>
            <w:shd w:val="clear" w:color="auto" w:fill="auto"/>
            <w:noWrap/>
            <w:vAlign w:val="bottom"/>
          </w:tcPr>
          <w:p w14:paraId="2CCDD82B" w14:textId="298D0B0E" w:rsidR="00A03B65" w:rsidRDefault="00A03B65" w:rsidP="00A03B65">
            <w:pPr>
              <w:spacing w:after="0" w:line="240" w:lineRule="auto"/>
              <w:rPr>
                <w:rFonts w:ascii="Arial" w:hAnsi="Arial" w:cs="Arial"/>
                <w:sz w:val="20"/>
                <w:szCs w:val="20"/>
              </w:rPr>
            </w:pPr>
            <w:r>
              <w:rPr>
                <w:rFonts w:ascii="Arial" w:hAnsi="Arial" w:cs="Arial"/>
                <w:sz w:val="20"/>
                <w:szCs w:val="20"/>
              </w:rPr>
              <w:t>Study_ID=10, CrystalOptimizer (2.4.7), DMACRYS (2.3.1.1)</w:t>
            </w:r>
          </w:p>
        </w:tc>
      </w:tr>
      <w:tr w:rsidR="00A03B65" w:rsidRPr="00FF64AB" w14:paraId="0575EE0E" w14:textId="77777777" w:rsidTr="00D90329">
        <w:trPr>
          <w:trHeight w:val="255"/>
        </w:trPr>
        <w:tc>
          <w:tcPr>
            <w:tcW w:w="0" w:type="auto"/>
            <w:tcBorders>
              <w:top w:val="single" w:sz="4" w:space="0" w:color="auto"/>
              <w:bottom w:val="single" w:sz="4" w:space="0" w:color="auto"/>
            </w:tcBorders>
            <w:shd w:val="clear" w:color="auto" w:fill="auto"/>
            <w:noWrap/>
            <w:vAlign w:val="bottom"/>
          </w:tcPr>
          <w:p w14:paraId="31B45EEF" w14:textId="60E55FB9" w:rsidR="00A03B65" w:rsidRDefault="00A03B65" w:rsidP="00A03B65">
            <w:pPr>
              <w:spacing w:after="0" w:line="240" w:lineRule="auto"/>
              <w:rPr>
                <w:rFonts w:ascii="Arial" w:hAnsi="Arial" w:cs="Arial"/>
                <w:sz w:val="20"/>
                <w:szCs w:val="20"/>
              </w:rPr>
            </w:pPr>
            <w:r>
              <w:rPr>
                <w:rFonts w:ascii="Arial" w:hAnsi="Arial" w:cs="Arial"/>
                <w:sz w:val="20"/>
                <w:szCs w:val="20"/>
              </w:rPr>
              <w:t>Location on S Drive</w:t>
            </w:r>
          </w:p>
        </w:tc>
        <w:tc>
          <w:tcPr>
            <w:tcW w:w="0" w:type="auto"/>
            <w:tcBorders>
              <w:top w:val="single" w:sz="4" w:space="0" w:color="auto"/>
              <w:bottom w:val="single" w:sz="4" w:space="0" w:color="auto"/>
            </w:tcBorders>
            <w:shd w:val="clear" w:color="auto" w:fill="auto"/>
            <w:noWrap/>
            <w:vAlign w:val="bottom"/>
          </w:tcPr>
          <w:p w14:paraId="6FAAC5DF" w14:textId="5A962016" w:rsidR="00A03B65" w:rsidRDefault="00A03B65" w:rsidP="00A03B65">
            <w:pPr>
              <w:spacing w:after="0" w:line="240" w:lineRule="auto"/>
              <w:rPr>
                <w:rFonts w:ascii="Arial" w:hAnsi="Arial" w:cs="Arial"/>
                <w:sz w:val="20"/>
                <w:szCs w:val="20"/>
              </w:rPr>
            </w:pPr>
            <w:r>
              <w:rPr>
                <w:rFonts w:ascii="Arial" w:hAnsi="Arial" w:cs="Arial"/>
                <w:sz w:val="20"/>
                <w:szCs w:val="20"/>
              </w:rPr>
              <w:t>/CHEMISTRY_CPOSS/Fenamates/FenamicAcid/QQQBTY_DFT</w:t>
            </w:r>
          </w:p>
        </w:tc>
      </w:tr>
      <w:tr w:rsidR="00A03B65" w:rsidRPr="00FF64AB" w14:paraId="25576F59" w14:textId="77777777" w:rsidTr="00D90329">
        <w:trPr>
          <w:trHeight w:val="255"/>
        </w:trPr>
        <w:tc>
          <w:tcPr>
            <w:tcW w:w="0" w:type="auto"/>
            <w:tcBorders>
              <w:top w:val="single" w:sz="4" w:space="0" w:color="auto"/>
              <w:bottom w:val="single" w:sz="24" w:space="0" w:color="FF0000"/>
            </w:tcBorders>
            <w:shd w:val="clear" w:color="auto" w:fill="auto"/>
            <w:noWrap/>
            <w:vAlign w:val="bottom"/>
          </w:tcPr>
          <w:p w14:paraId="726F7E8B" w14:textId="4C59CAB3" w:rsidR="00A03B65" w:rsidRDefault="00A03B65" w:rsidP="00A03B65">
            <w:pPr>
              <w:spacing w:after="0" w:line="240" w:lineRule="auto"/>
              <w:rPr>
                <w:rFonts w:ascii="Arial" w:hAnsi="Arial" w:cs="Arial"/>
                <w:sz w:val="20"/>
                <w:szCs w:val="20"/>
              </w:rPr>
            </w:pPr>
            <w:r>
              <w:rPr>
                <w:rFonts w:ascii="Arial" w:hAnsi="Arial" w:cs="Arial"/>
                <w:sz w:val="20"/>
                <w:szCs w:val="20"/>
              </w:rPr>
              <w:t>Potential Description</w:t>
            </w:r>
          </w:p>
        </w:tc>
        <w:tc>
          <w:tcPr>
            <w:tcW w:w="0" w:type="auto"/>
            <w:tcBorders>
              <w:top w:val="single" w:sz="4" w:space="0" w:color="auto"/>
              <w:bottom w:val="single" w:sz="24" w:space="0" w:color="FF0000"/>
            </w:tcBorders>
            <w:shd w:val="clear" w:color="auto" w:fill="auto"/>
            <w:noWrap/>
            <w:vAlign w:val="bottom"/>
          </w:tcPr>
          <w:p w14:paraId="3A568C76" w14:textId="2BC225A5" w:rsidR="00A03B65" w:rsidRDefault="00A03B65" w:rsidP="00A03B65">
            <w:pPr>
              <w:spacing w:after="0" w:line="240" w:lineRule="auto"/>
              <w:rPr>
                <w:rFonts w:ascii="Arial" w:hAnsi="Arial" w:cs="Arial"/>
                <w:sz w:val="20"/>
                <w:szCs w:val="20"/>
              </w:rPr>
            </w:pPr>
            <w:r>
              <w:rPr>
                <w:rFonts w:ascii="Arial" w:hAnsi="Arial" w:cs="Arial"/>
                <w:sz w:val="20"/>
                <w:szCs w:val="20"/>
              </w:rPr>
              <w:t>CrystalOptimizer PBE1PBE/6-31+G(d) intramolecular energy with PBE1PBE/6-31+G(d) charge density and FIT potential</w:t>
            </w:r>
          </w:p>
        </w:tc>
      </w:tr>
    </w:tbl>
    <w:p w14:paraId="2D64244B" w14:textId="7C8D10AF" w:rsidR="00D4221C" w:rsidRDefault="00D4221C" w:rsidP="00D4221C">
      <w:pPr>
        <w:rPr>
          <w:lang w:val="en-US"/>
        </w:rPr>
      </w:pPr>
    </w:p>
    <w:p w14:paraId="4AC5F1CD" w14:textId="5ACC2CF3" w:rsidR="007F3E15" w:rsidRDefault="00FF64AB" w:rsidP="00D4221C">
      <w:pPr>
        <w:rPr>
          <w:lang w:val="en-US"/>
        </w:rPr>
      </w:pPr>
      <w:r>
        <w:rPr>
          <w:noProof/>
          <w:lang w:val="en-US"/>
        </w:rPr>
        <w:drawing>
          <wp:inline distT="0" distB="0" distL="0" distR="0" wp14:anchorId="23B87ECA" wp14:editId="3D35D7C3">
            <wp:extent cx="3240000" cy="211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000" cy="2116270"/>
                    </a:xfrm>
                    <a:prstGeom prst="rect">
                      <a:avLst/>
                    </a:prstGeom>
                    <a:noFill/>
                  </pic:spPr>
                </pic:pic>
              </a:graphicData>
            </a:graphic>
          </wp:inline>
        </w:drawing>
      </w:r>
      <w:r>
        <w:rPr>
          <w:noProof/>
          <w:lang w:val="en-US"/>
        </w:rPr>
        <w:drawing>
          <wp:inline distT="0" distB="0" distL="0" distR="0" wp14:anchorId="2DA3898A" wp14:editId="6D5BFD91">
            <wp:extent cx="3240000" cy="211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116270"/>
                    </a:xfrm>
                    <a:prstGeom prst="rect">
                      <a:avLst/>
                    </a:prstGeom>
                    <a:noFill/>
                  </pic:spPr>
                </pic:pic>
              </a:graphicData>
            </a:graphic>
          </wp:inline>
        </w:drawing>
      </w:r>
      <w:r w:rsidR="00D90329">
        <w:rPr>
          <w:noProof/>
          <w:lang w:val="en-US"/>
        </w:rPr>
        <w:drawing>
          <wp:inline distT="0" distB="0" distL="0" distR="0" wp14:anchorId="1C178E0D" wp14:editId="6BA8067A">
            <wp:extent cx="3240000" cy="2352507"/>
            <wp:effectExtent l="0" t="0" r="0" b="0"/>
            <wp:docPr id="61904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2352507"/>
                    </a:xfrm>
                    <a:prstGeom prst="rect">
                      <a:avLst/>
                    </a:prstGeom>
                    <a:noFill/>
                  </pic:spPr>
                </pic:pic>
              </a:graphicData>
            </a:graphic>
          </wp:inline>
        </w:drawing>
      </w:r>
      <w:r w:rsidR="00D90329">
        <w:rPr>
          <w:noProof/>
          <w:lang w:val="en-US"/>
        </w:rPr>
        <w:drawing>
          <wp:inline distT="0" distB="0" distL="0" distR="0" wp14:anchorId="23DFAE97" wp14:editId="546F307C">
            <wp:extent cx="3240000" cy="2352507"/>
            <wp:effectExtent l="0" t="0" r="0" b="0"/>
            <wp:docPr id="382181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2352507"/>
                    </a:xfrm>
                    <a:prstGeom prst="rect">
                      <a:avLst/>
                    </a:prstGeom>
                    <a:noFill/>
                  </pic:spPr>
                </pic:pic>
              </a:graphicData>
            </a:graphic>
          </wp:inline>
        </w:drawing>
      </w:r>
    </w:p>
    <w:p w14:paraId="74775C46" w14:textId="18DAA438" w:rsidR="00D4221C" w:rsidRDefault="00D4221C" w:rsidP="00D4221C">
      <w:pPr>
        <w:pStyle w:val="Caption"/>
      </w:pPr>
      <w:bookmarkStart w:id="0" w:name="_Ref124419875"/>
      <w:r>
        <w:t xml:space="preserve">Figure </w:t>
      </w:r>
      <w:fldSimple w:instr=" SEQ Figure \* ARABIC ">
        <w:r>
          <w:rPr>
            <w:noProof/>
          </w:rPr>
          <w:t>2</w:t>
        </w:r>
      </w:fldSimple>
      <w:bookmarkEnd w:id="0"/>
      <w:r>
        <w:t xml:space="preserve">.  </w:t>
      </w:r>
      <w:r w:rsidR="00FF64AB">
        <w:t>Top</w:t>
      </w:r>
      <w:r w:rsidR="00D90329">
        <w:t xml:space="preserve"> left</w:t>
      </w:r>
      <w:r w:rsidR="00FF64AB">
        <w:t xml:space="preserve">: </w:t>
      </w:r>
      <w:r>
        <w:t>C</w:t>
      </w:r>
      <w:r w:rsidR="00FF64AB">
        <w:t>rystalOptimizer c</w:t>
      </w:r>
      <w:r>
        <w:t xml:space="preserve">rystal energy landscape of </w:t>
      </w:r>
      <w:r w:rsidR="004E649F">
        <w:t>Fena</w:t>
      </w:r>
      <w:r w:rsidR="007F3E15">
        <w:t>mic Acid</w:t>
      </w:r>
      <w:r w:rsidR="00D90329">
        <w:t>.  Top right</w:t>
      </w:r>
      <w:r w:rsidR="00FF64AB">
        <w:t xml:space="preserve">: PCM crystal energy landscape </w:t>
      </w:r>
      <w:r w:rsidR="00D90329">
        <w:t>of Fenamic Acid</w:t>
      </w:r>
      <w:r>
        <w:t>.</w:t>
      </w:r>
      <w:r w:rsidR="00D90329">
        <w:t xml:space="preserve">  Bottom left: Reoptimized CrystalOptimizer crystal energy landscape.  Bottom right:  Energy comparisons with different models.</w:t>
      </w:r>
    </w:p>
    <w:p w14:paraId="29042A5F" w14:textId="4CED1A39"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5.43 with Mar</w:t>
      </w:r>
      <w:r w:rsidR="001A3932">
        <w:rPr>
          <w:lang w:val="en-US"/>
        </w:rPr>
        <w:t>,</w:t>
      </w:r>
      <w:r w:rsidRPr="005A2716">
        <w:rPr>
          <w:lang w:val="en-US"/>
        </w:rPr>
        <w:t xml:space="preserve"> Jun</w:t>
      </w:r>
      <w:r w:rsidR="001A3932">
        <w:rPr>
          <w:lang w:val="en-US"/>
        </w:rPr>
        <w:t>, Sep and Nov</w:t>
      </w:r>
      <w:r w:rsidRPr="005A2716">
        <w:rPr>
          <w:lang w:val="en-US"/>
        </w:rPr>
        <w:t xml:space="preserve"> 2022 updates</w:t>
      </w:r>
      <w:r w:rsidR="005A2716">
        <w:rPr>
          <w:lang w:val="en-US"/>
        </w:rPr>
        <w:t>)</w:t>
      </w:r>
    </w:p>
    <w:p w14:paraId="3F13CCA8" w14:textId="77777777" w:rsidR="000420BD" w:rsidRPr="000420BD" w:rsidRDefault="000420BD" w:rsidP="000420BD">
      <w:pPr>
        <w:rPr>
          <w:lang w:val="en-US"/>
        </w:rPr>
      </w:pPr>
    </w:p>
    <w:p w14:paraId="4E52BAC9" w14:textId="77442DBB"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 xml:space="preserve">CSD entries for </w:t>
      </w:r>
      <w:r w:rsidR="00FF64AB">
        <w:t>Fena</w:t>
      </w:r>
      <w:r w:rsidR="007F3E15">
        <w:t>mic Acid</w:t>
      </w:r>
      <w:r>
        <w:t>.  Different polymorphs are coloured differently.</w:t>
      </w:r>
    </w:p>
    <w:tbl>
      <w:tblPr>
        <w:tblStyle w:val="TableGrid"/>
        <w:tblW w:w="10456" w:type="dxa"/>
        <w:tblLook w:val="04A0" w:firstRow="1" w:lastRow="0" w:firstColumn="1" w:lastColumn="0" w:noHBand="0" w:noVBand="1"/>
      </w:tblPr>
      <w:tblGrid>
        <w:gridCol w:w="1219"/>
        <w:gridCol w:w="951"/>
        <w:gridCol w:w="852"/>
        <w:gridCol w:w="896"/>
        <w:gridCol w:w="938"/>
        <w:gridCol w:w="941"/>
        <w:gridCol w:w="880"/>
        <w:gridCol w:w="930"/>
        <w:gridCol w:w="900"/>
        <w:gridCol w:w="989"/>
        <w:gridCol w:w="960"/>
      </w:tblGrid>
      <w:tr w:rsidR="005825DC" w14:paraId="1887575A" w14:textId="78F9D7AA" w:rsidTr="00EF3C05">
        <w:tc>
          <w:tcPr>
            <w:tcW w:w="1218" w:type="dxa"/>
          </w:tcPr>
          <w:p w14:paraId="17BFC974" w14:textId="18C1A0AC" w:rsidR="005825DC" w:rsidRDefault="005825DC" w:rsidP="00D4221C">
            <w:pPr>
              <w:rPr>
                <w:lang w:val="en-US"/>
              </w:rPr>
            </w:pPr>
            <w:r>
              <w:rPr>
                <w:lang w:val="en-US"/>
              </w:rPr>
              <w:t>REFCODE</w:t>
            </w:r>
          </w:p>
        </w:tc>
        <w:tc>
          <w:tcPr>
            <w:tcW w:w="952" w:type="dxa"/>
          </w:tcPr>
          <w:p w14:paraId="33A01A8B" w14:textId="13BB5ABD" w:rsidR="005825DC" w:rsidRDefault="005825DC" w:rsidP="00D4221C">
            <w:pPr>
              <w:rPr>
                <w:lang w:val="en-US"/>
              </w:rPr>
            </w:pPr>
            <w:r>
              <w:rPr>
                <w:lang w:val="en-US"/>
              </w:rPr>
              <w:t>space group</w:t>
            </w:r>
          </w:p>
        </w:tc>
        <w:tc>
          <w:tcPr>
            <w:tcW w:w="855" w:type="dxa"/>
          </w:tcPr>
          <w:p w14:paraId="11354355" w14:textId="675DFFEA" w:rsidR="005825DC" w:rsidRDefault="005825DC" w:rsidP="00D4221C">
            <w:pPr>
              <w:rPr>
                <w:lang w:val="en-US"/>
              </w:rPr>
            </w:pPr>
            <w:r>
              <w:rPr>
                <w:lang w:val="en-US"/>
              </w:rPr>
              <w:t>Z’</w:t>
            </w:r>
          </w:p>
        </w:tc>
        <w:tc>
          <w:tcPr>
            <w:tcW w:w="896" w:type="dxa"/>
          </w:tcPr>
          <w:p w14:paraId="20271134" w14:textId="122FD293" w:rsidR="005825DC" w:rsidRDefault="005825DC" w:rsidP="00D4221C">
            <w:pPr>
              <w:rPr>
                <w:lang w:val="en-US"/>
              </w:rPr>
            </w:pPr>
            <w:r>
              <w:rPr>
                <w:lang w:val="en-US"/>
              </w:rPr>
              <w:t>a / Å</w:t>
            </w:r>
          </w:p>
        </w:tc>
        <w:tc>
          <w:tcPr>
            <w:tcW w:w="939" w:type="dxa"/>
          </w:tcPr>
          <w:p w14:paraId="15CBAF0A" w14:textId="43D7EFEC" w:rsidR="005825DC" w:rsidRDefault="005825DC" w:rsidP="00D4221C">
            <w:pPr>
              <w:rPr>
                <w:lang w:val="en-US"/>
              </w:rPr>
            </w:pPr>
            <w:r>
              <w:rPr>
                <w:lang w:val="en-US"/>
              </w:rPr>
              <w:t>b / Å</w:t>
            </w:r>
          </w:p>
        </w:tc>
        <w:tc>
          <w:tcPr>
            <w:tcW w:w="931" w:type="dxa"/>
          </w:tcPr>
          <w:p w14:paraId="4206E07C" w14:textId="410A7465" w:rsidR="005825DC" w:rsidRDefault="005825DC" w:rsidP="00D4221C">
            <w:pPr>
              <w:rPr>
                <w:lang w:val="en-US"/>
              </w:rPr>
            </w:pPr>
            <w:r>
              <w:rPr>
                <w:lang w:val="en-US"/>
              </w:rPr>
              <w:t>c / Å</w:t>
            </w:r>
          </w:p>
        </w:tc>
        <w:tc>
          <w:tcPr>
            <w:tcW w:w="881" w:type="dxa"/>
          </w:tcPr>
          <w:p w14:paraId="1CDEC453" w14:textId="156D3008" w:rsidR="005825DC" w:rsidRDefault="005825DC" w:rsidP="00D4221C">
            <w:pPr>
              <w:rPr>
                <w:lang w:val="en-US"/>
              </w:rPr>
            </w:pPr>
            <w:r>
              <w:rPr>
                <w:rFonts w:cstheme="minorHAnsi"/>
                <w:lang w:val="en-US"/>
              </w:rPr>
              <w:t>α</w:t>
            </w:r>
            <w:r>
              <w:rPr>
                <w:lang w:val="en-US"/>
              </w:rPr>
              <w:t xml:space="preserve"> / °</w:t>
            </w:r>
          </w:p>
        </w:tc>
        <w:tc>
          <w:tcPr>
            <w:tcW w:w="931" w:type="dxa"/>
          </w:tcPr>
          <w:p w14:paraId="291E5E60" w14:textId="7A10CD4B" w:rsidR="005825DC" w:rsidRDefault="005825DC" w:rsidP="00D4221C">
            <w:pPr>
              <w:rPr>
                <w:lang w:val="en-US"/>
              </w:rPr>
            </w:pPr>
            <w:r>
              <w:rPr>
                <w:rFonts w:cstheme="minorHAnsi"/>
                <w:lang w:val="en-US"/>
              </w:rPr>
              <w:t>β</w:t>
            </w:r>
            <w:r>
              <w:rPr>
                <w:lang w:val="en-US"/>
              </w:rPr>
              <w:t xml:space="preserve"> / °</w:t>
            </w:r>
          </w:p>
        </w:tc>
        <w:tc>
          <w:tcPr>
            <w:tcW w:w="901" w:type="dxa"/>
          </w:tcPr>
          <w:p w14:paraId="0D174186" w14:textId="6B78F8B6" w:rsidR="005825DC" w:rsidRDefault="005825DC" w:rsidP="00D4221C">
            <w:pPr>
              <w:rPr>
                <w:lang w:val="en-US"/>
              </w:rPr>
            </w:pPr>
            <w:r>
              <w:rPr>
                <w:rFonts w:cstheme="minorHAnsi"/>
                <w:lang w:val="en-US"/>
              </w:rPr>
              <w:t>γ</w:t>
            </w:r>
            <w:r>
              <w:rPr>
                <w:lang w:val="en-US"/>
              </w:rPr>
              <w:t xml:space="preserve"> / °</w:t>
            </w:r>
          </w:p>
        </w:tc>
        <w:tc>
          <w:tcPr>
            <w:tcW w:w="990" w:type="dxa"/>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962" w:type="dxa"/>
          </w:tcPr>
          <w:p w14:paraId="23D39111" w14:textId="710F1BEC" w:rsidR="005825DC" w:rsidRDefault="005825DC" w:rsidP="00D4221C">
            <w:pPr>
              <w:rPr>
                <w:lang w:val="en-US"/>
              </w:rPr>
            </w:pPr>
            <w:r>
              <w:rPr>
                <w:lang w:val="en-US"/>
              </w:rPr>
              <w:t>Form</w:t>
            </w:r>
          </w:p>
        </w:tc>
      </w:tr>
      <w:tr w:rsidR="00EF3C05" w14:paraId="079EEFAC" w14:textId="0670F9D8" w:rsidTr="00EF3C05">
        <w:tc>
          <w:tcPr>
            <w:tcW w:w="1218" w:type="dxa"/>
            <w:shd w:val="clear" w:color="auto" w:fill="C5E0B3" w:themeFill="accent6" w:themeFillTint="66"/>
            <w:vAlign w:val="bottom"/>
          </w:tcPr>
          <w:p w14:paraId="1B2ED6A3" w14:textId="34A247D5" w:rsidR="00EF3C05" w:rsidRDefault="00EF3C05" w:rsidP="00EF3C05">
            <w:pPr>
              <w:rPr>
                <w:lang w:val="en-US"/>
              </w:rPr>
            </w:pPr>
            <w:r>
              <w:rPr>
                <w:rFonts w:ascii="Calibri" w:hAnsi="Calibri" w:cs="Calibri"/>
                <w:color w:val="000000"/>
              </w:rPr>
              <w:t>QQQBTY</w:t>
            </w:r>
          </w:p>
        </w:tc>
        <w:tc>
          <w:tcPr>
            <w:tcW w:w="952" w:type="dxa"/>
            <w:shd w:val="clear" w:color="auto" w:fill="C5E0B3" w:themeFill="accent6" w:themeFillTint="66"/>
            <w:vAlign w:val="bottom"/>
          </w:tcPr>
          <w:p w14:paraId="6EECF4DE" w14:textId="5E5C053C" w:rsidR="00EF3C05" w:rsidRDefault="00EF3C05" w:rsidP="00EF3C05">
            <w:pPr>
              <w:rPr>
                <w:lang w:val="en-US"/>
              </w:rPr>
            </w:pPr>
            <w:r>
              <w:rPr>
                <w:rFonts w:ascii="Calibri" w:hAnsi="Calibri" w:cs="Calibri"/>
                <w:color w:val="000000"/>
              </w:rPr>
              <w:t>P-1</w:t>
            </w:r>
          </w:p>
        </w:tc>
        <w:tc>
          <w:tcPr>
            <w:tcW w:w="855" w:type="dxa"/>
            <w:shd w:val="clear" w:color="auto" w:fill="C5E0B3" w:themeFill="accent6" w:themeFillTint="66"/>
            <w:vAlign w:val="bottom"/>
          </w:tcPr>
          <w:p w14:paraId="0CB0DAB1" w14:textId="7198DF41" w:rsidR="00EF3C05" w:rsidRDefault="00EF3C05" w:rsidP="00EF3C05">
            <w:pPr>
              <w:rPr>
                <w:lang w:val="en-US"/>
              </w:rPr>
            </w:pPr>
            <w:r>
              <w:rPr>
                <w:rFonts w:ascii="Calibri" w:hAnsi="Calibri" w:cs="Calibri"/>
                <w:color w:val="000000"/>
              </w:rPr>
              <w:t>2</w:t>
            </w:r>
          </w:p>
        </w:tc>
        <w:tc>
          <w:tcPr>
            <w:tcW w:w="896" w:type="dxa"/>
            <w:shd w:val="clear" w:color="auto" w:fill="C5E0B3" w:themeFill="accent6" w:themeFillTint="66"/>
            <w:vAlign w:val="bottom"/>
          </w:tcPr>
          <w:p w14:paraId="137AD7B2" w14:textId="2B083949" w:rsidR="00EF3C05" w:rsidRDefault="00EF3C05" w:rsidP="00EF3C05">
            <w:pPr>
              <w:rPr>
                <w:lang w:val="en-US"/>
              </w:rPr>
            </w:pPr>
            <w:r>
              <w:rPr>
                <w:rFonts w:ascii="Calibri" w:hAnsi="Calibri" w:cs="Calibri"/>
                <w:color w:val="000000"/>
              </w:rPr>
              <w:t>9.83</w:t>
            </w:r>
          </w:p>
        </w:tc>
        <w:tc>
          <w:tcPr>
            <w:tcW w:w="939" w:type="dxa"/>
            <w:shd w:val="clear" w:color="auto" w:fill="C5E0B3" w:themeFill="accent6" w:themeFillTint="66"/>
            <w:vAlign w:val="bottom"/>
          </w:tcPr>
          <w:p w14:paraId="6AB182A1" w14:textId="5CF441B7" w:rsidR="00EF3C05" w:rsidRDefault="00EF3C05" w:rsidP="00EF3C05">
            <w:pPr>
              <w:rPr>
                <w:lang w:val="en-US"/>
              </w:rPr>
            </w:pPr>
            <w:r>
              <w:rPr>
                <w:rFonts w:ascii="Calibri" w:hAnsi="Calibri" w:cs="Calibri"/>
                <w:color w:val="000000"/>
              </w:rPr>
              <w:t>14.12</w:t>
            </w:r>
          </w:p>
        </w:tc>
        <w:tc>
          <w:tcPr>
            <w:tcW w:w="931" w:type="dxa"/>
            <w:shd w:val="clear" w:color="auto" w:fill="C5E0B3" w:themeFill="accent6" w:themeFillTint="66"/>
            <w:vAlign w:val="bottom"/>
          </w:tcPr>
          <w:p w14:paraId="36ED58D1" w14:textId="41E29276" w:rsidR="00EF3C05" w:rsidRDefault="00EF3C05" w:rsidP="00EF3C05">
            <w:pPr>
              <w:rPr>
                <w:lang w:val="en-US"/>
              </w:rPr>
            </w:pPr>
            <w:r>
              <w:rPr>
                <w:rFonts w:ascii="Calibri" w:hAnsi="Calibri" w:cs="Calibri"/>
                <w:color w:val="000000"/>
              </w:rPr>
              <w:t>8.03</w:t>
            </w:r>
          </w:p>
        </w:tc>
        <w:tc>
          <w:tcPr>
            <w:tcW w:w="881" w:type="dxa"/>
            <w:shd w:val="clear" w:color="auto" w:fill="C5E0B3" w:themeFill="accent6" w:themeFillTint="66"/>
            <w:vAlign w:val="bottom"/>
          </w:tcPr>
          <w:p w14:paraId="4A752D35" w14:textId="6C0CBC33" w:rsidR="00EF3C05" w:rsidRDefault="00EF3C05" w:rsidP="00EF3C05">
            <w:pPr>
              <w:rPr>
                <w:lang w:val="en-US"/>
              </w:rPr>
            </w:pPr>
            <w:r>
              <w:rPr>
                <w:rFonts w:ascii="Calibri" w:hAnsi="Calibri" w:cs="Calibri"/>
                <w:color w:val="000000"/>
              </w:rPr>
              <w:t>90.05</w:t>
            </w:r>
          </w:p>
        </w:tc>
        <w:tc>
          <w:tcPr>
            <w:tcW w:w="931" w:type="dxa"/>
            <w:shd w:val="clear" w:color="auto" w:fill="C5E0B3" w:themeFill="accent6" w:themeFillTint="66"/>
            <w:vAlign w:val="bottom"/>
          </w:tcPr>
          <w:p w14:paraId="0C541795" w14:textId="00AF9FFF" w:rsidR="00EF3C05" w:rsidRDefault="00EF3C05" w:rsidP="00EF3C05">
            <w:pPr>
              <w:rPr>
                <w:lang w:val="en-US"/>
              </w:rPr>
            </w:pPr>
            <w:r>
              <w:rPr>
                <w:rFonts w:ascii="Calibri" w:hAnsi="Calibri" w:cs="Calibri"/>
                <w:color w:val="000000"/>
              </w:rPr>
              <w:t>106.6</w:t>
            </w:r>
          </w:p>
        </w:tc>
        <w:tc>
          <w:tcPr>
            <w:tcW w:w="901" w:type="dxa"/>
            <w:shd w:val="clear" w:color="auto" w:fill="C5E0B3" w:themeFill="accent6" w:themeFillTint="66"/>
            <w:vAlign w:val="bottom"/>
          </w:tcPr>
          <w:p w14:paraId="111973FE" w14:textId="60AC8B06" w:rsidR="00EF3C05" w:rsidRDefault="00EF3C05" w:rsidP="00EF3C05">
            <w:pPr>
              <w:rPr>
                <w:lang w:val="en-US"/>
              </w:rPr>
            </w:pPr>
            <w:r>
              <w:rPr>
                <w:rFonts w:ascii="Calibri" w:hAnsi="Calibri" w:cs="Calibri"/>
                <w:color w:val="000000"/>
              </w:rPr>
              <w:t>91.6</w:t>
            </w:r>
          </w:p>
        </w:tc>
        <w:tc>
          <w:tcPr>
            <w:tcW w:w="990" w:type="dxa"/>
            <w:shd w:val="clear" w:color="auto" w:fill="C5E0B3" w:themeFill="accent6" w:themeFillTint="66"/>
            <w:vAlign w:val="bottom"/>
          </w:tcPr>
          <w:p w14:paraId="188387FB" w14:textId="7E50088A" w:rsidR="00EF3C05" w:rsidRDefault="00EF3C05" w:rsidP="00EF3C05">
            <w:pPr>
              <w:rPr>
                <w:lang w:val="en-US"/>
              </w:rPr>
            </w:pPr>
            <w:r>
              <w:rPr>
                <w:lang w:val="en-US"/>
              </w:rPr>
              <w:t>1.327</w:t>
            </w:r>
          </w:p>
        </w:tc>
        <w:tc>
          <w:tcPr>
            <w:tcW w:w="962" w:type="dxa"/>
            <w:shd w:val="clear" w:color="auto" w:fill="C5E0B3" w:themeFill="accent6" w:themeFillTint="66"/>
          </w:tcPr>
          <w:p w14:paraId="372D7D94" w14:textId="4D9D1519" w:rsidR="00EF3C05" w:rsidRDefault="00EF3C05" w:rsidP="00EF3C05">
            <w:pPr>
              <w:rPr>
                <w:rFonts w:ascii="Calibri" w:hAnsi="Calibri" w:cs="Calibri"/>
                <w:color w:val="000000"/>
              </w:rPr>
            </w:pPr>
            <w:r>
              <w:rPr>
                <w:rFonts w:ascii="Calibri" w:hAnsi="Calibri" w:cs="Calibri"/>
                <w:color w:val="000000"/>
              </w:rPr>
              <w:t>I</w:t>
            </w:r>
          </w:p>
        </w:tc>
      </w:tr>
      <w:tr w:rsidR="00EF3C05" w14:paraId="133F158B" w14:textId="673773C0" w:rsidTr="0022014E">
        <w:tc>
          <w:tcPr>
            <w:tcW w:w="1218" w:type="dxa"/>
            <w:tcBorders>
              <w:bottom w:val="single" w:sz="24" w:space="0" w:color="auto"/>
            </w:tcBorders>
            <w:shd w:val="clear" w:color="auto" w:fill="C5E0B3" w:themeFill="accent6" w:themeFillTint="66"/>
            <w:vAlign w:val="bottom"/>
          </w:tcPr>
          <w:p w14:paraId="39F141A6" w14:textId="39AAEEAE" w:rsidR="00EF3C05" w:rsidRDefault="00EF3C05" w:rsidP="00EF3C05">
            <w:pPr>
              <w:rPr>
                <w:lang w:val="en-US"/>
              </w:rPr>
            </w:pPr>
            <w:r>
              <w:rPr>
                <w:rFonts w:ascii="Calibri" w:hAnsi="Calibri" w:cs="Calibri"/>
                <w:color w:val="000000"/>
              </w:rPr>
              <w:t>QQQBTY01</w:t>
            </w:r>
          </w:p>
        </w:tc>
        <w:tc>
          <w:tcPr>
            <w:tcW w:w="952" w:type="dxa"/>
            <w:tcBorders>
              <w:bottom w:val="single" w:sz="24" w:space="0" w:color="auto"/>
            </w:tcBorders>
            <w:shd w:val="clear" w:color="auto" w:fill="C5E0B3" w:themeFill="accent6" w:themeFillTint="66"/>
            <w:vAlign w:val="bottom"/>
          </w:tcPr>
          <w:p w14:paraId="2978F2E3" w14:textId="3F245ABF" w:rsidR="00EF3C05" w:rsidRDefault="00EF3C05" w:rsidP="00EF3C05">
            <w:pPr>
              <w:rPr>
                <w:lang w:val="en-US"/>
              </w:rPr>
            </w:pPr>
            <w:r>
              <w:rPr>
                <w:rFonts w:ascii="Calibri" w:hAnsi="Calibri" w:cs="Calibri"/>
                <w:color w:val="000000"/>
              </w:rPr>
              <w:t>P-1</w:t>
            </w:r>
          </w:p>
        </w:tc>
        <w:tc>
          <w:tcPr>
            <w:tcW w:w="855" w:type="dxa"/>
            <w:tcBorders>
              <w:bottom w:val="single" w:sz="24" w:space="0" w:color="auto"/>
            </w:tcBorders>
            <w:shd w:val="clear" w:color="auto" w:fill="C5E0B3" w:themeFill="accent6" w:themeFillTint="66"/>
            <w:vAlign w:val="bottom"/>
          </w:tcPr>
          <w:p w14:paraId="200AAAA2" w14:textId="32583363" w:rsidR="00EF3C05" w:rsidRDefault="00EF3C05" w:rsidP="00EF3C05">
            <w:pPr>
              <w:rPr>
                <w:lang w:val="en-US"/>
              </w:rPr>
            </w:pPr>
            <w:r>
              <w:rPr>
                <w:rFonts w:ascii="Calibri" w:hAnsi="Calibri" w:cs="Calibri"/>
                <w:color w:val="000000"/>
              </w:rPr>
              <w:t>2</w:t>
            </w:r>
          </w:p>
        </w:tc>
        <w:tc>
          <w:tcPr>
            <w:tcW w:w="896" w:type="dxa"/>
            <w:tcBorders>
              <w:bottom w:val="single" w:sz="24" w:space="0" w:color="auto"/>
            </w:tcBorders>
            <w:shd w:val="clear" w:color="auto" w:fill="C5E0B3" w:themeFill="accent6" w:themeFillTint="66"/>
            <w:vAlign w:val="bottom"/>
          </w:tcPr>
          <w:p w14:paraId="5440DD38" w14:textId="79CF6709" w:rsidR="00EF3C05" w:rsidRDefault="00EF3C05" w:rsidP="00EF3C05">
            <w:pPr>
              <w:rPr>
                <w:lang w:val="en-US"/>
              </w:rPr>
            </w:pPr>
            <w:r>
              <w:rPr>
                <w:rFonts w:ascii="Calibri" w:hAnsi="Calibri" w:cs="Calibri"/>
                <w:color w:val="000000"/>
              </w:rPr>
              <w:t>8.0995</w:t>
            </w:r>
          </w:p>
        </w:tc>
        <w:tc>
          <w:tcPr>
            <w:tcW w:w="939" w:type="dxa"/>
            <w:tcBorders>
              <w:bottom w:val="single" w:sz="24" w:space="0" w:color="auto"/>
            </w:tcBorders>
            <w:shd w:val="clear" w:color="auto" w:fill="C5E0B3" w:themeFill="accent6" w:themeFillTint="66"/>
            <w:vAlign w:val="bottom"/>
          </w:tcPr>
          <w:p w14:paraId="57739B6A" w14:textId="2B5FF3DD" w:rsidR="00EF3C05" w:rsidRDefault="00EF3C05" w:rsidP="00EF3C05">
            <w:pPr>
              <w:rPr>
                <w:lang w:val="en-US"/>
              </w:rPr>
            </w:pPr>
            <w:r>
              <w:rPr>
                <w:rFonts w:ascii="Calibri" w:hAnsi="Calibri" w:cs="Calibri"/>
                <w:color w:val="000000"/>
              </w:rPr>
              <w:t>9.8268</w:t>
            </w:r>
          </w:p>
        </w:tc>
        <w:tc>
          <w:tcPr>
            <w:tcW w:w="931" w:type="dxa"/>
            <w:tcBorders>
              <w:bottom w:val="single" w:sz="24" w:space="0" w:color="auto"/>
            </w:tcBorders>
            <w:shd w:val="clear" w:color="auto" w:fill="C5E0B3" w:themeFill="accent6" w:themeFillTint="66"/>
            <w:vAlign w:val="bottom"/>
          </w:tcPr>
          <w:p w14:paraId="091E04D5" w14:textId="7B1B90CA" w:rsidR="00EF3C05" w:rsidRDefault="00EF3C05" w:rsidP="00EF3C05">
            <w:pPr>
              <w:rPr>
                <w:lang w:val="en-US"/>
              </w:rPr>
            </w:pPr>
            <w:r>
              <w:rPr>
                <w:rFonts w:ascii="Calibri" w:hAnsi="Calibri" w:cs="Calibri"/>
                <w:color w:val="000000"/>
              </w:rPr>
              <w:t>14.0593</w:t>
            </w:r>
          </w:p>
        </w:tc>
        <w:tc>
          <w:tcPr>
            <w:tcW w:w="881" w:type="dxa"/>
            <w:tcBorders>
              <w:bottom w:val="single" w:sz="24" w:space="0" w:color="auto"/>
            </w:tcBorders>
            <w:shd w:val="clear" w:color="auto" w:fill="C5E0B3" w:themeFill="accent6" w:themeFillTint="66"/>
            <w:vAlign w:val="bottom"/>
          </w:tcPr>
          <w:p w14:paraId="5FAC1241" w14:textId="599CFB56" w:rsidR="00EF3C05" w:rsidRDefault="00EF3C05" w:rsidP="00EF3C05">
            <w:pPr>
              <w:rPr>
                <w:lang w:val="en-US"/>
              </w:rPr>
            </w:pPr>
            <w:r>
              <w:rPr>
                <w:rFonts w:ascii="Calibri" w:hAnsi="Calibri" w:cs="Calibri"/>
                <w:color w:val="000000"/>
              </w:rPr>
              <w:t>85.96</w:t>
            </w:r>
          </w:p>
        </w:tc>
        <w:tc>
          <w:tcPr>
            <w:tcW w:w="931" w:type="dxa"/>
            <w:tcBorders>
              <w:bottom w:val="single" w:sz="24" w:space="0" w:color="auto"/>
            </w:tcBorders>
            <w:shd w:val="clear" w:color="auto" w:fill="C5E0B3" w:themeFill="accent6" w:themeFillTint="66"/>
            <w:vAlign w:val="bottom"/>
          </w:tcPr>
          <w:p w14:paraId="67452E43" w14:textId="4E74975E" w:rsidR="00EF3C05" w:rsidRDefault="00EF3C05" w:rsidP="00EF3C05">
            <w:pPr>
              <w:rPr>
                <w:lang w:val="en-US"/>
              </w:rPr>
            </w:pPr>
            <w:r>
              <w:rPr>
                <w:rFonts w:ascii="Calibri" w:hAnsi="Calibri" w:cs="Calibri"/>
                <w:color w:val="000000"/>
              </w:rPr>
              <w:t>88.62</w:t>
            </w:r>
          </w:p>
        </w:tc>
        <w:tc>
          <w:tcPr>
            <w:tcW w:w="901" w:type="dxa"/>
            <w:tcBorders>
              <w:bottom w:val="single" w:sz="24" w:space="0" w:color="auto"/>
            </w:tcBorders>
            <w:shd w:val="clear" w:color="auto" w:fill="C5E0B3" w:themeFill="accent6" w:themeFillTint="66"/>
            <w:vAlign w:val="bottom"/>
          </w:tcPr>
          <w:p w14:paraId="640CBAB2" w14:textId="4844AB8D" w:rsidR="00EF3C05" w:rsidRDefault="00EF3C05" w:rsidP="00EF3C05">
            <w:pPr>
              <w:rPr>
                <w:lang w:val="en-US"/>
              </w:rPr>
            </w:pPr>
            <w:r>
              <w:rPr>
                <w:rFonts w:ascii="Calibri" w:hAnsi="Calibri" w:cs="Calibri"/>
                <w:color w:val="000000"/>
              </w:rPr>
              <w:t>73.39</w:t>
            </w:r>
          </w:p>
        </w:tc>
        <w:tc>
          <w:tcPr>
            <w:tcW w:w="990" w:type="dxa"/>
            <w:tcBorders>
              <w:bottom w:val="single" w:sz="24" w:space="0" w:color="auto"/>
            </w:tcBorders>
            <w:shd w:val="clear" w:color="auto" w:fill="C5E0B3" w:themeFill="accent6" w:themeFillTint="66"/>
            <w:vAlign w:val="bottom"/>
          </w:tcPr>
          <w:p w14:paraId="57633041" w14:textId="078CC892" w:rsidR="00EF3C05" w:rsidRDefault="00EF3C05" w:rsidP="00EF3C05">
            <w:pPr>
              <w:rPr>
                <w:lang w:val="en-US"/>
              </w:rPr>
            </w:pPr>
            <w:r>
              <w:rPr>
                <w:lang w:val="en-US"/>
              </w:rPr>
              <w:t>1.324</w:t>
            </w:r>
          </w:p>
        </w:tc>
        <w:tc>
          <w:tcPr>
            <w:tcW w:w="962" w:type="dxa"/>
            <w:tcBorders>
              <w:bottom w:val="single" w:sz="24" w:space="0" w:color="auto"/>
            </w:tcBorders>
            <w:shd w:val="clear" w:color="auto" w:fill="C5E0B3" w:themeFill="accent6" w:themeFillTint="66"/>
          </w:tcPr>
          <w:p w14:paraId="5560768C" w14:textId="4770CE09" w:rsidR="00EF3C05" w:rsidRDefault="00EF3C05" w:rsidP="00EF3C05">
            <w:pPr>
              <w:rPr>
                <w:rFonts w:ascii="Calibri" w:hAnsi="Calibri" w:cs="Calibri"/>
                <w:color w:val="000000"/>
              </w:rPr>
            </w:pPr>
            <w:r>
              <w:rPr>
                <w:rFonts w:ascii="Calibri" w:hAnsi="Calibri" w:cs="Calibri"/>
                <w:color w:val="000000"/>
              </w:rPr>
              <w:t>I</w:t>
            </w:r>
          </w:p>
        </w:tc>
      </w:tr>
      <w:tr w:rsidR="00EF3C05" w14:paraId="38A0293E" w14:textId="77777777" w:rsidTr="0022014E">
        <w:tc>
          <w:tcPr>
            <w:tcW w:w="1218" w:type="dxa"/>
            <w:tcBorders>
              <w:top w:val="single" w:sz="24" w:space="0" w:color="auto"/>
              <w:left w:val="single" w:sz="24" w:space="0" w:color="auto"/>
              <w:bottom w:val="single" w:sz="24" w:space="0" w:color="auto"/>
            </w:tcBorders>
            <w:shd w:val="clear" w:color="auto" w:fill="C5E0B3" w:themeFill="accent6" w:themeFillTint="66"/>
            <w:vAlign w:val="bottom"/>
          </w:tcPr>
          <w:p w14:paraId="22B78033" w14:textId="6D936A2A" w:rsidR="00EF3C05" w:rsidRPr="00E80FC6" w:rsidRDefault="00EF3C05" w:rsidP="00EF3C05">
            <w:r>
              <w:rPr>
                <w:rFonts w:ascii="Calibri" w:hAnsi="Calibri" w:cs="Calibri"/>
                <w:color w:val="000000"/>
              </w:rPr>
              <w:t>QQQBTY02</w:t>
            </w:r>
          </w:p>
        </w:tc>
        <w:tc>
          <w:tcPr>
            <w:tcW w:w="952" w:type="dxa"/>
            <w:tcBorders>
              <w:top w:val="single" w:sz="24" w:space="0" w:color="auto"/>
              <w:bottom w:val="single" w:sz="24" w:space="0" w:color="auto"/>
            </w:tcBorders>
            <w:shd w:val="clear" w:color="auto" w:fill="C5E0B3" w:themeFill="accent6" w:themeFillTint="66"/>
            <w:vAlign w:val="bottom"/>
          </w:tcPr>
          <w:p w14:paraId="74BDE423" w14:textId="7CB83959" w:rsidR="00EF3C05" w:rsidRPr="00644FFA" w:rsidRDefault="00EF3C05" w:rsidP="00EF3C05">
            <w:r>
              <w:rPr>
                <w:rFonts w:ascii="Calibri" w:hAnsi="Calibri" w:cs="Calibri"/>
                <w:color w:val="000000"/>
              </w:rPr>
              <w:t>P-1</w:t>
            </w:r>
          </w:p>
        </w:tc>
        <w:tc>
          <w:tcPr>
            <w:tcW w:w="855" w:type="dxa"/>
            <w:tcBorders>
              <w:top w:val="single" w:sz="24" w:space="0" w:color="auto"/>
              <w:bottom w:val="single" w:sz="24" w:space="0" w:color="auto"/>
            </w:tcBorders>
            <w:shd w:val="clear" w:color="auto" w:fill="C5E0B3" w:themeFill="accent6" w:themeFillTint="66"/>
            <w:vAlign w:val="bottom"/>
          </w:tcPr>
          <w:p w14:paraId="33E61B16" w14:textId="427D0A1C" w:rsidR="00EF3C05" w:rsidRPr="00644FFA" w:rsidRDefault="00EF3C05" w:rsidP="00EF3C05">
            <w:r>
              <w:rPr>
                <w:rFonts w:ascii="Calibri" w:hAnsi="Calibri" w:cs="Calibri"/>
                <w:color w:val="000000"/>
              </w:rPr>
              <w:t>2</w:t>
            </w:r>
          </w:p>
        </w:tc>
        <w:tc>
          <w:tcPr>
            <w:tcW w:w="896" w:type="dxa"/>
            <w:tcBorders>
              <w:top w:val="single" w:sz="24" w:space="0" w:color="auto"/>
              <w:bottom w:val="single" w:sz="24" w:space="0" w:color="auto"/>
            </w:tcBorders>
            <w:shd w:val="clear" w:color="auto" w:fill="C5E0B3" w:themeFill="accent6" w:themeFillTint="66"/>
            <w:vAlign w:val="bottom"/>
          </w:tcPr>
          <w:p w14:paraId="1DA9E4F3" w14:textId="0D760A55" w:rsidR="00EF3C05" w:rsidRDefault="00EF3C05" w:rsidP="00EF3C05">
            <w:pPr>
              <w:rPr>
                <w:rFonts w:ascii="Calibri" w:hAnsi="Calibri" w:cs="Calibri"/>
                <w:color w:val="000000"/>
              </w:rPr>
            </w:pPr>
            <w:r>
              <w:rPr>
                <w:rFonts w:ascii="Calibri" w:hAnsi="Calibri" w:cs="Calibri"/>
                <w:color w:val="000000"/>
              </w:rPr>
              <w:t>8.08</w:t>
            </w:r>
          </w:p>
        </w:tc>
        <w:tc>
          <w:tcPr>
            <w:tcW w:w="939" w:type="dxa"/>
            <w:tcBorders>
              <w:top w:val="single" w:sz="24" w:space="0" w:color="auto"/>
              <w:bottom w:val="single" w:sz="24" w:space="0" w:color="auto"/>
            </w:tcBorders>
            <w:shd w:val="clear" w:color="auto" w:fill="C5E0B3" w:themeFill="accent6" w:themeFillTint="66"/>
            <w:vAlign w:val="bottom"/>
          </w:tcPr>
          <w:p w14:paraId="19C0FC78" w14:textId="047704A6" w:rsidR="00EF3C05" w:rsidRDefault="00EF3C05" w:rsidP="00EF3C05">
            <w:pPr>
              <w:rPr>
                <w:rFonts w:ascii="Calibri" w:hAnsi="Calibri" w:cs="Calibri"/>
                <w:color w:val="000000"/>
              </w:rPr>
            </w:pPr>
            <w:r>
              <w:rPr>
                <w:rFonts w:ascii="Calibri" w:hAnsi="Calibri" w:cs="Calibri"/>
                <w:color w:val="000000"/>
              </w:rPr>
              <w:t>9.812</w:t>
            </w:r>
          </w:p>
        </w:tc>
        <w:tc>
          <w:tcPr>
            <w:tcW w:w="931" w:type="dxa"/>
            <w:tcBorders>
              <w:top w:val="single" w:sz="24" w:space="0" w:color="auto"/>
              <w:bottom w:val="single" w:sz="24" w:space="0" w:color="auto"/>
            </w:tcBorders>
            <w:shd w:val="clear" w:color="auto" w:fill="C5E0B3" w:themeFill="accent6" w:themeFillTint="66"/>
            <w:vAlign w:val="bottom"/>
          </w:tcPr>
          <w:p w14:paraId="1BA2584B" w14:textId="64F9F665" w:rsidR="00EF3C05" w:rsidRDefault="00EF3C05" w:rsidP="00EF3C05">
            <w:pPr>
              <w:rPr>
                <w:rFonts w:ascii="Calibri" w:hAnsi="Calibri" w:cs="Calibri"/>
                <w:color w:val="000000"/>
              </w:rPr>
            </w:pPr>
            <w:r>
              <w:rPr>
                <w:rFonts w:ascii="Calibri" w:hAnsi="Calibri" w:cs="Calibri"/>
                <w:color w:val="000000"/>
              </w:rPr>
              <w:t>14.043</w:t>
            </w:r>
          </w:p>
        </w:tc>
        <w:tc>
          <w:tcPr>
            <w:tcW w:w="881" w:type="dxa"/>
            <w:tcBorders>
              <w:top w:val="single" w:sz="24" w:space="0" w:color="auto"/>
              <w:bottom w:val="single" w:sz="24" w:space="0" w:color="auto"/>
            </w:tcBorders>
            <w:shd w:val="clear" w:color="auto" w:fill="C5E0B3" w:themeFill="accent6" w:themeFillTint="66"/>
            <w:vAlign w:val="bottom"/>
          </w:tcPr>
          <w:p w14:paraId="3E2200C6" w14:textId="646E7354" w:rsidR="00EF3C05" w:rsidRDefault="00EF3C05" w:rsidP="00EF3C05">
            <w:pPr>
              <w:rPr>
                <w:rFonts w:ascii="Calibri" w:hAnsi="Calibri" w:cs="Calibri"/>
                <w:color w:val="000000"/>
              </w:rPr>
            </w:pPr>
            <w:r>
              <w:rPr>
                <w:rFonts w:ascii="Calibri" w:hAnsi="Calibri" w:cs="Calibri"/>
                <w:color w:val="000000"/>
              </w:rPr>
              <w:t>85.96</w:t>
            </w:r>
          </w:p>
        </w:tc>
        <w:tc>
          <w:tcPr>
            <w:tcW w:w="931" w:type="dxa"/>
            <w:tcBorders>
              <w:top w:val="single" w:sz="24" w:space="0" w:color="auto"/>
              <w:bottom w:val="single" w:sz="24" w:space="0" w:color="auto"/>
            </w:tcBorders>
            <w:shd w:val="clear" w:color="auto" w:fill="C5E0B3" w:themeFill="accent6" w:themeFillTint="66"/>
            <w:vAlign w:val="bottom"/>
          </w:tcPr>
          <w:p w14:paraId="3984895E" w14:textId="7C4B5A45" w:rsidR="00EF3C05" w:rsidRDefault="00EF3C05" w:rsidP="00EF3C05">
            <w:pPr>
              <w:rPr>
                <w:rFonts w:ascii="Calibri" w:hAnsi="Calibri" w:cs="Calibri"/>
                <w:color w:val="000000"/>
              </w:rPr>
            </w:pPr>
            <w:r>
              <w:rPr>
                <w:rFonts w:ascii="Calibri" w:hAnsi="Calibri" w:cs="Calibri"/>
                <w:color w:val="000000"/>
              </w:rPr>
              <w:t>88.64</w:t>
            </w:r>
          </w:p>
        </w:tc>
        <w:tc>
          <w:tcPr>
            <w:tcW w:w="901" w:type="dxa"/>
            <w:tcBorders>
              <w:top w:val="single" w:sz="24" w:space="0" w:color="auto"/>
              <w:bottom w:val="single" w:sz="24" w:space="0" w:color="auto"/>
            </w:tcBorders>
            <w:shd w:val="clear" w:color="auto" w:fill="C5E0B3" w:themeFill="accent6" w:themeFillTint="66"/>
            <w:vAlign w:val="bottom"/>
          </w:tcPr>
          <w:p w14:paraId="2C96A208" w14:textId="71D2F376" w:rsidR="00EF3C05" w:rsidRDefault="00EF3C05" w:rsidP="00EF3C05">
            <w:pPr>
              <w:rPr>
                <w:rFonts w:ascii="Calibri" w:hAnsi="Calibri" w:cs="Calibri"/>
                <w:color w:val="000000"/>
              </w:rPr>
            </w:pPr>
            <w:r>
              <w:rPr>
                <w:rFonts w:ascii="Calibri" w:hAnsi="Calibri" w:cs="Calibri"/>
                <w:color w:val="000000"/>
              </w:rPr>
              <w:t>73.45</w:t>
            </w:r>
          </w:p>
        </w:tc>
        <w:tc>
          <w:tcPr>
            <w:tcW w:w="990" w:type="dxa"/>
            <w:tcBorders>
              <w:top w:val="single" w:sz="24" w:space="0" w:color="auto"/>
              <w:bottom w:val="single" w:sz="24" w:space="0" w:color="auto"/>
            </w:tcBorders>
            <w:shd w:val="clear" w:color="auto" w:fill="C5E0B3" w:themeFill="accent6" w:themeFillTint="66"/>
            <w:vAlign w:val="bottom"/>
          </w:tcPr>
          <w:p w14:paraId="29D2E04E" w14:textId="31FE58C3" w:rsidR="00EF3C05" w:rsidRDefault="00EF3C05" w:rsidP="00EF3C05">
            <w:pPr>
              <w:rPr>
                <w:lang w:val="en-US"/>
              </w:rPr>
            </w:pPr>
            <w:r>
              <w:rPr>
                <w:lang w:val="en-US"/>
              </w:rPr>
              <w:t>1.33</w:t>
            </w:r>
          </w:p>
        </w:tc>
        <w:tc>
          <w:tcPr>
            <w:tcW w:w="962" w:type="dxa"/>
            <w:tcBorders>
              <w:top w:val="single" w:sz="24" w:space="0" w:color="auto"/>
              <w:bottom w:val="single" w:sz="24" w:space="0" w:color="auto"/>
              <w:right w:val="single" w:sz="24" w:space="0" w:color="auto"/>
            </w:tcBorders>
            <w:shd w:val="clear" w:color="auto" w:fill="C5E0B3" w:themeFill="accent6" w:themeFillTint="66"/>
          </w:tcPr>
          <w:p w14:paraId="19F3CA2F" w14:textId="0EAD06D1" w:rsidR="00EF3C05" w:rsidRDefault="00EF3C05" w:rsidP="00EF3C05">
            <w:pPr>
              <w:rPr>
                <w:rFonts w:ascii="Calibri" w:hAnsi="Calibri" w:cs="Calibri"/>
                <w:color w:val="000000"/>
              </w:rPr>
            </w:pPr>
            <w:r>
              <w:rPr>
                <w:rFonts w:ascii="Calibri" w:hAnsi="Calibri" w:cs="Calibri"/>
                <w:color w:val="000000"/>
              </w:rPr>
              <w:t>I</w:t>
            </w:r>
          </w:p>
        </w:tc>
      </w:tr>
    </w:tbl>
    <w:p w14:paraId="412DEF05" w14:textId="08DEBE14" w:rsidR="00D4221C" w:rsidRDefault="00D4221C" w:rsidP="00D4221C">
      <w:pPr>
        <w:rPr>
          <w:lang w:val="en-US"/>
        </w:rPr>
      </w:pPr>
    </w:p>
    <w:p w14:paraId="642EC5DA" w14:textId="4E7FFC13" w:rsidR="005B5AC6" w:rsidRDefault="005B5AC6" w:rsidP="005B5AC6">
      <w:pPr>
        <w:pStyle w:val="Caption"/>
      </w:pPr>
      <w:bookmarkStart w:id="2" w:name="_Ref124421022"/>
      <w:r>
        <w:t xml:space="preserve">Table </w:t>
      </w:r>
      <w:fldSimple w:instr=" SEQ Table \* ARABIC ">
        <w:r w:rsidR="00191924">
          <w:rPr>
            <w:noProof/>
          </w:rPr>
          <w:t>2</w:t>
        </w:r>
      </w:fldSimple>
      <w:bookmarkEnd w:id="2"/>
      <w:r>
        <w:t xml:space="preserve">.  Experimental information for CSD entries for </w:t>
      </w:r>
      <w:r w:rsidR="00FF64AB">
        <w:t>Fena</w:t>
      </w:r>
      <w:r w:rsidR="007F3E15">
        <w:t>mic Acid</w:t>
      </w:r>
      <w:r>
        <w:t>.</w:t>
      </w:r>
    </w:p>
    <w:tbl>
      <w:tblPr>
        <w:tblStyle w:val="TableGrid"/>
        <w:tblW w:w="0" w:type="auto"/>
        <w:tblLook w:val="04A0" w:firstRow="1" w:lastRow="0" w:firstColumn="1" w:lastColumn="0" w:noHBand="0" w:noVBand="1"/>
      </w:tblPr>
      <w:tblGrid>
        <w:gridCol w:w="1218"/>
        <w:gridCol w:w="1303"/>
        <w:gridCol w:w="918"/>
        <w:gridCol w:w="622"/>
        <w:gridCol w:w="663"/>
        <w:gridCol w:w="4842"/>
      </w:tblGrid>
      <w:tr w:rsidR="00EF3C05" w14:paraId="00583F7B" w14:textId="775E891B" w:rsidTr="005825DC">
        <w:tc>
          <w:tcPr>
            <w:tcW w:w="0" w:type="auto"/>
          </w:tcPr>
          <w:p w14:paraId="7516CB56" w14:textId="77777777" w:rsidR="005B5AC6" w:rsidRDefault="005B5AC6" w:rsidP="00365009">
            <w:pPr>
              <w:rPr>
                <w:lang w:val="en-US"/>
              </w:rPr>
            </w:pPr>
            <w:r>
              <w:rPr>
                <w:lang w:val="en-US"/>
              </w:rPr>
              <w:t>REFCODE</w:t>
            </w:r>
          </w:p>
        </w:tc>
        <w:tc>
          <w:tcPr>
            <w:tcW w:w="0" w:type="auto"/>
          </w:tcPr>
          <w:p w14:paraId="068390D7" w14:textId="77777777" w:rsidR="005B5AC6" w:rsidRDefault="005B5AC6" w:rsidP="00365009">
            <w:pPr>
              <w:rPr>
                <w:lang w:val="en-US"/>
              </w:rPr>
            </w:pPr>
            <w:r>
              <w:rPr>
                <w:lang w:val="en-US"/>
              </w:rPr>
              <w:t>space group</w:t>
            </w:r>
          </w:p>
        </w:tc>
        <w:tc>
          <w:tcPr>
            <w:tcW w:w="0" w:type="auto"/>
          </w:tcPr>
          <w:p w14:paraId="297FBD37" w14:textId="7BA57C0F" w:rsidR="005B5AC6" w:rsidRDefault="005B5AC6" w:rsidP="00365009">
            <w:pPr>
              <w:rPr>
                <w:lang w:val="en-US"/>
              </w:rPr>
            </w:pPr>
            <w:r>
              <w:rPr>
                <w:lang w:val="en-US"/>
              </w:rPr>
              <w:t>R factor</w:t>
            </w:r>
          </w:p>
        </w:tc>
        <w:tc>
          <w:tcPr>
            <w:tcW w:w="0" w:type="auto"/>
          </w:tcPr>
          <w:p w14:paraId="7D9D4516" w14:textId="70D2B7F1" w:rsidR="005B5AC6" w:rsidRDefault="005B5AC6" w:rsidP="00365009">
            <w:pPr>
              <w:rPr>
                <w:lang w:val="en-US"/>
              </w:rPr>
            </w:pPr>
            <w:r>
              <w:rPr>
                <w:lang w:val="en-US"/>
              </w:rPr>
              <w:t>T / K</w:t>
            </w:r>
          </w:p>
        </w:tc>
        <w:tc>
          <w:tcPr>
            <w:tcW w:w="0" w:type="auto"/>
          </w:tcPr>
          <w:p w14:paraId="2EE01D5D" w14:textId="367EDDFB" w:rsidR="005B5AC6" w:rsidRDefault="005B5AC6" w:rsidP="00365009">
            <w:pPr>
              <w:rPr>
                <w:lang w:val="en-US"/>
              </w:rPr>
            </w:pPr>
            <w:r>
              <w:rPr>
                <w:lang w:val="en-US"/>
              </w:rPr>
              <w:t>Year</w:t>
            </w:r>
          </w:p>
        </w:tc>
        <w:tc>
          <w:tcPr>
            <w:tcW w:w="0" w:type="auto"/>
          </w:tcPr>
          <w:p w14:paraId="00BEB837" w14:textId="6FE904B1" w:rsidR="005B5AC6" w:rsidRDefault="005B5AC6" w:rsidP="00365009">
            <w:pPr>
              <w:rPr>
                <w:lang w:val="en-US"/>
              </w:rPr>
            </w:pPr>
            <w:r>
              <w:rPr>
                <w:lang w:val="en-US"/>
              </w:rPr>
              <w:t>Comments</w:t>
            </w:r>
          </w:p>
        </w:tc>
      </w:tr>
      <w:tr w:rsidR="00EF3C05" w14:paraId="09C22672" w14:textId="2FADBC92" w:rsidTr="00783A7E">
        <w:tc>
          <w:tcPr>
            <w:tcW w:w="0" w:type="auto"/>
            <w:vAlign w:val="bottom"/>
          </w:tcPr>
          <w:p w14:paraId="54880E13" w14:textId="61641BBD" w:rsidR="00EF3C05" w:rsidRDefault="00EF3C05" w:rsidP="00EF3C05">
            <w:pPr>
              <w:rPr>
                <w:lang w:val="en-US"/>
              </w:rPr>
            </w:pPr>
            <w:r>
              <w:rPr>
                <w:rFonts w:ascii="Calibri" w:hAnsi="Calibri" w:cs="Calibri"/>
                <w:color w:val="000000"/>
              </w:rPr>
              <w:t>QQQBTY</w:t>
            </w:r>
          </w:p>
        </w:tc>
        <w:tc>
          <w:tcPr>
            <w:tcW w:w="0" w:type="auto"/>
            <w:vAlign w:val="bottom"/>
          </w:tcPr>
          <w:p w14:paraId="0290D82F" w14:textId="1BBD5CCF" w:rsidR="00EF3C05" w:rsidRDefault="00EF3C05" w:rsidP="00EF3C05">
            <w:pPr>
              <w:rPr>
                <w:lang w:val="en-US"/>
              </w:rPr>
            </w:pPr>
            <w:r>
              <w:rPr>
                <w:rFonts w:ascii="Calibri" w:hAnsi="Calibri" w:cs="Calibri"/>
                <w:color w:val="000000"/>
              </w:rPr>
              <w:t>P-1</w:t>
            </w:r>
          </w:p>
        </w:tc>
        <w:tc>
          <w:tcPr>
            <w:tcW w:w="0" w:type="auto"/>
            <w:vAlign w:val="bottom"/>
          </w:tcPr>
          <w:p w14:paraId="768D7291" w14:textId="76F8BA42" w:rsidR="00EF3C05" w:rsidRDefault="00EF3C05" w:rsidP="00EF3C05">
            <w:pPr>
              <w:rPr>
                <w:rFonts w:ascii="Calibri" w:hAnsi="Calibri" w:cs="Calibri"/>
                <w:color w:val="000000"/>
              </w:rPr>
            </w:pPr>
            <w:r>
              <w:rPr>
                <w:rFonts w:ascii="Calibri" w:hAnsi="Calibri" w:cs="Calibri"/>
                <w:color w:val="000000"/>
              </w:rPr>
              <w:t>0</w:t>
            </w:r>
          </w:p>
        </w:tc>
        <w:tc>
          <w:tcPr>
            <w:tcW w:w="0" w:type="auto"/>
          </w:tcPr>
          <w:p w14:paraId="1260C821" w14:textId="35E80E28" w:rsidR="00EF3C05" w:rsidRDefault="00EF3C05" w:rsidP="00EF3C05">
            <w:pPr>
              <w:rPr>
                <w:rFonts w:ascii="Calibri" w:hAnsi="Calibri" w:cs="Calibri"/>
                <w:color w:val="000000"/>
              </w:rPr>
            </w:pPr>
            <w:r>
              <w:rPr>
                <w:rFonts w:ascii="Calibri" w:hAnsi="Calibri" w:cs="Calibri"/>
                <w:color w:val="000000"/>
              </w:rPr>
              <w:t>RT</w:t>
            </w:r>
          </w:p>
        </w:tc>
        <w:tc>
          <w:tcPr>
            <w:tcW w:w="0" w:type="auto"/>
            <w:vAlign w:val="bottom"/>
          </w:tcPr>
          <w:p w14:paraId="5160D4F7" w14:textId="51067C8F" w:rsidR="00EF3C05" w:rsidRDefault="00EF3C05" w:rsidP="00EF3C05">
            <w:pPr>
              <w:rPr>
                <w:rFonts w:ascii="Calibri" w:hAnsi="Calibri" w:cs="Calibri"/>
                <w:color w:val="000000"/>
              </w:rPr>
            </w:pPr>
            <w:r>
              <w:rPr>
                <w:rFonts w:ascii="Calibri" w:hAnsi="Calibri" w:cs="Calibri"/>
                <w:color w:val="000000"/>
              </w:rPr>
              <w:t>1969</w:t>
            </w:r>
          </w:p>
        </w:tc>
        <w:tc>
          <w:tcPr>
            <w:tcW w:w="0" w:type="auto"/>
          </w:tcPr>
          <w:p w14:paraId="3727F56C" w14:textId="510CEC06" w:rsidR="00EF3C05" w:rsidRPr="00EF3C05" w:rsidRDefault="00EF3C05" w:rsidP="00EF3C05">
            <w:pPr>
              <w:rPr>
                <w:rFonts w:ascii="Calibri" w:hAnsi="Calibri" w:cs="Calibri"/>
                <w:color w:val="000000"/>
              </w:rPr>
            </w:pPr>
            <w:r>
              <w:rPr>
                <w:rFonts w:ascii="Calibri" w:hAnsi="Calibri" w:cs="Calibri"/>
                <w:color w:val="000000"/>
              </w:rPr>
              <w:t xml:space="preserve">Indian Journal of Physics, (1969), </w:t>
            </w:r>
            <w:r>
              <w:rPr>
                <w:rFonts w:ascii="Calibri" w:hAnsi="Calibri" w:cs="Calibri"/>
                <w:b/>
                <w:bCs/>
                <w:color w:val="000000"/>
              </w:rPr>
              <w:t>42</w:t>
            </w:r>
            <w:r>
              <w:rPr>
                <w:rFonts w:ascii="Calibri" w:hAnsi="Calibri" w:cs="Calibri"/>
                <w:color w:val="000000"/>
              </w:rPr>
              <w:t>, p672</w:t>
            </w:r>
          </w:p>
        </w:tc>
      </w:tr>
      <w:tr w:rsidR="00EF3C05" w14:paraId="1228351F" w14:textId="12FF010C" w:rsidTr="00783A7E">
        <w:tc>
          <w:tcPr>
            <w:tcW w:w="0" w:type="auto"/>
            <w:vAlign w:val="bottom"/>
          </w:tcPr>
          <w:p w14:paraId="78498CB3" w14:textId="342AA1E5" w:rsidR="00EF3C05" w:rsidRDefault="00EF3C05" w:rsidP="00EF3C05">
            <w:pPr>
              <w:rPr>
                <w:lang w:val="en-US"/>
              </w:rPr>
            </w:pPr>
            <w:r>
              <w:rPr>
                <w:rFonts w:ascii="Calibri" w:hAnsi="Calibri" w:cs="Calibri"/>
                <w:color w:val="000000"/>
              </w:rPr>
              <w:t>QQQBTY01</w:t>
            </w:r>
          </w:p>
        </w:tc>
        <w:tc>
          <w:tcPr>
            <w:tcW w:w="0" w:type="auto"/>
            <w:vAlign w:val="bottom"/>
          </w:tcPr>
          <w:p w14:paraId="38A7A315" w14:textId="0697E739" w:rsidR="00EF3C05" w:rsidRDefault="00EF3C05" w:rsidP="00EF3C05">
            <w:pPr>
              <w:rPr>
                <w:lang w:val="en-US"/>
              </w:rPr>
            </w:pPr>
            <w:r>
              <w:rPr>
                <w:rFonts w:ascii="Calibri" w:hAnsi="Calibri" w:cs="Calibri"/>
                <w:color w:val="000000"/>
              </w:rPr>
              <w:t>P-1</w:t>
            </w:r>
          </w:p>
        </w:tc>
        <w:tc>
          <w:tcPr>
            <w:tcW w:w="0" w:type="auto"/>
            <w:vAlign w:val="bottom"/>
          </w:tcPr>
          <w:p w14:paraId="2D02B01C" w14:textId="29E6C84E" w:rsidR="00EF3C05" w:rsidRDefault="00EF3C05" w:rsidP="00EF3C05">
            <w:pPr>
              <w:rPr>
                <w:rFonts w:ascii="Calibri" w:hAnsi="Calibri" w:cs="Calibri"/>
                <w:color w:val="000000"/>
              </w:rPr>
            </w:pPr>
            <w:r>
              <w:rPr>
                <w:rFonts w:ascii="Calibri" w:hAnsi="Calibri" w:cs="Calibri"/>
                <w:color w:val="000000"/>
              </w:rPr>
              <w:t>7.4</w:t>
            </w:r>
          </w:p>
        </w:tc>
        <w:tc>
          <w:tcPr>
            <w:tcW w:w="0" w:type="auto"/>
          </w:tcPr>
          <w:p w14:paraId="291ABADC" w14:textId="7C6E501A" w:rsidR="00EF3C05" w:rsidRDefault="00EF3C05" w:rsidP="00EF3C05">
            <w:pPr>
              <w:rPr>
                <w:rFonts w:ascii="Calibri" w:hAnsi="Calibri" w:cs="Calibri"/>
                <w:color w:val="000000"/>
              </w:rPr>
            </w:pPr>
            <w:r>
              <w:rPr>
                <w:rFonts w:ascii="Calibri" w:hAnsi="Calibri" w:cs="Calibri"/>
                <w:color w:val="000000"/>
              </w:rPr>
              <w:t>RT</w:t>
            </w:r>
          </w:p>
        </w:tc>
        <w:tc>
          <w:tcPr>
            <w:tcW w:w="0" w:type="auto"/>
            <w:vAlign w:val="bottom"/>
          </w:tcPr>
          <w:p w14:paraId="6FE357DB" w14:textId="7C8C52DB" w:rsidR="00EF3C05" w:rsidRDefault="00EF3C05" w:rsidP="00EF3C05">
            <w:pPr>
              <w:rPr>
                <w:rFonts w:ascii="Calibri" w:hAnsi="Calibri" w:cs="Calibri"/>
                <w:color w:val="000000"/>
              </w:rPr>
            </w:pPr>
            <w:r>
              <w:rPr>
                <w:rFonts w:ascii="Calibri" w:hAnsi="Calibri" w:cs="Calibri"/>
                <w:color w:val="000000"/>
              </w:rPr>
              <w:t>1987</w:t>
            </w:r>
          </w:p>
        </w:tc>
        <w:tc>
          <w:tcPr>
            <w:tcW w:w="0" w:type="auto"/>
          </w:tcPr>
          <w:p w14:paraId="5BD7EC32" w14:textId="1C163D87" w:rsidR="00EF3C05" w:rsidRDefault="00EF3C05" w:rsidP="00EF3C05">
            <w:pPr>
              <w:rPr>
                <w:rFonts w:ascii="Calibri" w:hAnsi="Calibri" w:cs="Calibri"/>
                <w:color w:val="000000"/>
              </w:rPr>
            </w:pPr>
            <w:r>
              <w:rPr>
                <w:rFonts w:ascii="Calibri" w:hAnsi="Calibri" w:cs="Calibri"/>
                <w:color w:val="000000"/>
              </w:rPr>
              <w:t>Crystallized from a 50:50 ethanol acetone solution.</w:t>
            </w:r>
            <w:r>
              <w:rPr>
                <w:rFonts w:ascii="Calibri" w:hAnsi="Calibri" w:cs="Calibri"/>
                <w:color w:val="000000"/>
              </w:rPr>
              <w:fldChar w:fldCharType="begin"/>
            </w:r>
            <w:r>
              <w:rPr>
                <w:rFonts w:ascii="Calibri" w:hAnsi="Calibri" w:cs="Calibri"/>
                <w:color w:val="000000"/>
              </w:rPr>
              <w:instrText xml:space="preserve"> ADDIN EN.CITE &lt;EndNote&gt;&lt;Cite&gt;&lt;Author&gt;Sbit&lt;/Author&gt;&lt;Year&gt;1987&lt;/Year&gt;&lt;IDText&gt;Structure de l`acide diphenylamino-2-carboxylique&lt;/IDText&gt;&lt;DisplayText&gt;&lt;style face="superscript"&gt;1&lt;/style&gt;&lt;/DisplayText&gt;&lt;record&gt;&lt;dates&gt;&lt;pub-dates&gt;&lt;date&gt;05/15&lt;/date&gt;&lt;/pub-dates&gt;&lt;year&gt;1987&lt;/year&gt;&lt;/dates&gt;&lt;urls&gt;&lt;related-urls&gt;&lt;url&gt;https://doi.org/10.1107/S0108270187093557&lt;/url&gt;&lt;/related-urls&gt;&lt;/urls&gt;&lt;isbn&gt;0108-2701&lt;/isbn&gt;&lt;titles&gt;&lt;title&gt;Structure de l`acide diphenylamino-2-carboxylique&lt;/title&gt;&lt;secondary-title&gt;Acta Crystallographica Section C&lt;/secondary-title&gt;&lt;/titles&gt;&lt;pages&gt;926-928&lt;/pages&gt;&lt;number&gt;5&lt;/number&gt;&lt;contributors&gt;&lt;authors&gt;&lt;author&gt;Sbit, M.&lt;/author&gt;&lt;author&gt;Dupont, L.&lt;/author&gt;&lt;author&gt;Dideberg, O.&lt;/author&gt;&lt;author&gt;Liegeois, J. F.&lt;/author&gt;&lt;author&gt;Delarge, J.&lt;/author&gt;&lt;/authors&gt;&lt;/contributors&gt;&lt;added-date format="utc"&gt;1677588392&lt;/added-date&gt;&lt;ref-type name="Journal Article"&gt;17&lt;/ref-type&gt;&lt;rec-number&gt;8308&lt;/rec-number&gt;&lt;publisher&gt;International Union of Crystallography&lt;/publisher&gt;&lt;last-updated-date format="utc"&gt;1677588392&lt;/last-updated-date&gt;&lt;volume&gt;43&lt;/volume&gt;&lt;/record&gt;&lt;/Cite&gt;&lt;/EndNote&gt;</w:instrText>
            </w:r>
            <w:r>
              <w:rPr>
                <w:rFonts w:ascii="Calibri" w:hAnsi="Calibri" w:cs="Calibri"/>
                <w:color w:val="000000"/>
              </w:rPr>
              <w:fldChar w:fldCharType="separate"/>
            </w:r>
            <w:r w:rsidRPr="00EF3C05">
              <w:rPr>
                <w:rFonts w:ascii="Calibri" w:hAnsi="Calibri" w:cs="Calibri"/>
                <w:noProof/>
                <w:color w:val="000000"/>
                <w:vertAlign w:val="superscript"/>
              </w:rPr>
              <w:t>1</w:t>
            </w:r>
            <w:r>
              <w:rPr>
                <w:rFonts w:ascii="Calibri" w:hAnsi="Calibri" w:cs="Calibri"/>
                <w:color w:val="000000"/>
              </w:rPr>
              <w:fldChar w:fldCharType="end"/>
            </w:r>
          </w:p>
        </w:tc>
      </w:tr>
      <w:tr w:rsidR="00EF3C05" w14:paraId="5D2F70BC" w14:textId="77777777" w:rsidTr="00783A7E">
        <w:tc>
          <w:tcPr>
            <w:tcW w:w="0" w:type="auto"/>
            <w:vAlign w:val="bottom"/>
          </w:tcPr>
          <w:p w14:paraId="4E598E6C" w14:textId="0C8E2DAF" w:rsidR="00EF3C05" w:rsidRPr="00E80FC6" w:rsidRDefault="00EF3C05" w:rsidP="00EF3C05">
            <w:r>
              <w:rPr>
                <w:rFonts w:ascii="Calibri" w:hAnsi="Calibri" w:cs="Calibri"/>
                <w:color w:val="000000"/>
              </w:rPr>
              <w:t>QQQBTY02</w:t>
            </w:r>
          </w:p>
        </w:tc>
        <w:tc>
          <w:tcPr>
            <w:tcW w:w="0" w:type="auto"/>
            <w:vAlign w:val="bottom"/>
          </w:tcPr>
          <w:p w14:paraId="5CB9988E" w14:textId="457B39FD" w:rsidR="00EF3C05" w:rsidRPr="00644FFA" w:rsidRDefault="00EF3C05" w:rsidP="00EF3C05">
            <w:r>
              <w:rPr>
                <w:rFonts w:ascii="Calibri" w:hAnsi="Calibri" w:cs="Calibri"/>
                <w:color w:val="000000"/>
              </w:rPr>
              <w:t>P-1</w:t>
            </w:r>
          </w:p>
        </w:tc>
        <w:tc>
          <w:tcPr>
            <w:tcW w:w="0" w:type="auto"/>
            <w:vAlign w:val="bottom"/>
          </w:tcPr>
          <w:p w14:paraId="571E58D3" w14:textId="159F0E96" w:rsidR="00EF3C05" w:rsidRDefault="00EF3C05" w:rsidP="00EF3C05">
            <w:pPr>
              <w:rPr>
                <w:rFonts w:ascii="Calibri" w:hAnsi="Calibri" w:cs="Calibri"/>
                <w:color w:val="000000"/>
              </w:rPr>
            </w:pPr>
            <w:r>
              <w:rPr>
                <w:rFonts w:ascii="Calibri" w:hAnsi="Calibri" w:cs="Calibri"/>
                <w:color w:val="000000"/>
              </w:rPr>
              <w:t>4.89</w:t>
            </w:r>
          </w:p>
        </w:tc>
        <w:tc>
          <w:tcPr>
            <w:tcW w:w="0" w:type="auto"/>
          </w:tcPr>
          <w:p w14:paraId="42427D4E" w14:textId="09CBA880" w:rsidR="00EF3C05" w:rsidRDefault="00EF3C05" w:rsidP="00EF3C05">
            <w:pPr>
              <w:rPr>
                <w:rFonts w:ascii="Calibri" w:hAnsi="Calibri" w:cs="Calibri"/>
                <w:color w:val="000000"/>
              </w:rPr>
            </w:pPr>
            <w:r>
              <w:rPr>
                <w:rFonts w:ascii="Calibri" w:hAnsi="Calibri" w:cs="Calibri"/>
                <w:color w:val="000000"/>
              </w:rPr>
              <w:t>293</w:t>
            </w:r>
          </w:p>
        </w:tc>
        <w:tc>
          <w:tcPr>
            <w:tcW w:w="0" w:type="auto"/>
            <w:vAlign w:val="bottom"/>
          </w:tcPr>
          <w:p w14:paraId="0BCDED56" w14:textId="2E539FF6" w:rsidR="00EF3C05" w:rsidRDefault="00EF3C05" w:rsidP="00EF3C05">
            <w:pPr>
              <w:rPr>
                <w:rFonts w:ascii="Calibri" w:hAnsi="Calibri" w:cs="Calibri"/>
                <w:color w:val="000000"/>
              </w:rPr>
            </w:pPr>
            <w:r>
              <w:rPr>
                <w:rFonts w:ascii="Calibri" w:hAnsi="Calibri" w:cs="Calibri"/>
                <w:color w:val="000000"/>
              </w:rPr>
              <w:t>2009</w:t>
            </w:r>
          </w:p>
        </w:tc>
        <w:tc>
          <w:tcPr>
            <w:tcW w:w="0" w:type="auto"/>
          </w:tcPr>
          <w:p w14:paraId="7616A11B" w14:textId="32B25AAF" w:rsidR="00EF3C05" w:rsidRDefault="00EF3C05" w:rsidP="00EF3C05">
            <w:pPr>
              <w:rPr>
                <w:rFonts w:ascii="Calibri" w:hAnsi="Calibri" w:cs="Calibri"/>
                <w:color w:val="000000"/>
              </w:rPr>
            </w:pPr>
            <w:r>
              <w:rPr>
                <w:rFonts w:ascii="Calibri" w:hAnsi="Calibri" w:cs="Calibri"/>
                <w:color w:val="000000"/>
              </w:rPr>
              <w:t>Sublimation</w:t>
            </w:r>
            <w:r>
              <w:rPr>
                <w:rFonts w:ascii="Calibri" w:hAnsi="Calibri" w:cs="Calibri"/>
                <w:color w:val="000000"/>
              </w:rPr>
              <w:fldChar w:fldCharType="begin"/>
            </w:r>
            <w:r>
              <w:rPr>
                <w:rFonts w:ascii="Calibri" w:hAnsi="Calibri" w:cs="Calibri"/>
                <w:color w:val="000000"/>
              </w:rPr>
              <w:instrText xml:space="preserve"> ADDIN EN.CITE &lt;EndNote&gt;&lt;Cite&gt;&lt;Author&gt;Zhou&lt;/Author&gt;&lt;Year&gt;2009&lt;/Year&gt;&lt;IDText&gt;Hydrogen-bonded dimer stacking induced emission of aminobenzoic acid compounds&lt;/IDText&gt;&lt;DisplayText&gt;&lt;style face="superscript"&gt;2&lt;/style&gt;&lt;/DisplayText&gt;&lt;record&gt;&lt;urls&gt;&lt;related-urls&gt;&lt;url&gt;http://dx.doi.org/10.1039/B900476A&lt;/url&gt;&lt;/related-urls&gt;&lt;/urls&gt;&lt;titles&gt;&lt;title&gt;Hydrogen-bonded dimer stacking induced emission of aminobenzoic acid compounds&lt;/title&gt;&lt;secondary-title&gt;Chemical Communications&lt;/secondary-title&gt;&lt;/titles&gt;&lt;pages&gt;3199-3201&lt;/pages&gt;&lt;number&gt;22&lt;/number&gt;&lt;contributors&gt;&lt;authors&gt;&lt;author&gt;Zhou, T.&lt;/author&gt;&lt;author&gt;Li, F.&lt;/author&gt;&lt;author&gt;Fan, Y.&lt;/author&gt;&lt;author&gt;Song, W.&lt;/author&gt;&lt;author&gt;Mu, X.&lt;/author&gt;&lt;author&gt;Zhang, H.&lt;/author&gt;&lt;author&gt;Wang, Y.&lt;/author&gt;&lt;/authors&gt;&lt;/contributors&gt;&lt;reprint-edition&gt;NOT IN FILE&lt;/reprint-edition&gt;&lt;added-date format="utc"&gt;1399987275&lt;/added-date&gt;&lt;ref-type name="Journal Article"&gt;17&lt;/ref-type&gt;&lt;dates&gt;&lt;year&gt;2009&lt;/year&gt;&lt;/dates&gt;&lt;rec-number&gt;4723&lt;/rec-number&gt;&lt;last-updated-date format="utc"&gt;1399987275&lt;/last-updated-date&gt;&lt;/record&gt;&lt;/Cite&gt;&lt;/EndNote&gt;</w:instrText>
            </w:r>
            <w:r>
              <w:rPr>
                <w:rFonts w:ascii="Calibri" w:hAnsi="Calibri" w:cs="Calibri"/>
                <w:color w:val="000000"/>
              </w:rPr>
              <w:fldChar w:fldCharType="separate"/>
            </w:r>
            <w:r w:rsidRPr="00EF3C05">
              <w:rPr>
                <w:rFonts w:ascii="Calibri" w:hAnsi="Calibri" w:cs="Calibri"/>
                <w:noProof/>
                <w:color w:val="000000"/>
                <w:vertAlign w:val="superscript"/>
              </w:rPr>
              <w:t>2</w:t>
            </w:r>
            <w:r>
              <w:rPr>
                <w:rFonts w:ascii="Calibri" w:hAnsi="Calibri" w:cs="Calibri"/>
                <w:color w:val="000000"/>
              </w:rPr>
              <w:fldChar w:fldCharType="end"/>
            </w:r>
          </w:p>
        </w:tc>
      </w:tr>
    </w:tbl>
    <w:p w14:paraId="56DE86EE" w14:textId="16F2AA42" w:rsidR="005B5AC6" w:rsidRDefault="005B5AC6" w:rsidP="005B5AC6"/>
    <w:p w14:paraId="0C073798" w14:textId="7EF7B3C2" w:rsidR="005878AA" w:rsidRDefault="005A2716" w:rsidP="00094CBE">
      <w:pPr>
        <w:pStyle w:val="Heading1"/>
        <w:rPr>
          <w:lang w:val="en-US"/>
        </w:rPr>
      </w:pPr>
      <w:r>
        <w:rPr>
          <w:lang w:val="en-US"/>
        </w:rPr>
        <w:t>Other notes</w:t>
      </w:r>
    </w:p>
    <w:p w14:paraId="6BEB915F" w14:textId="6118EA13" w:rsidR="000420BD" w:rsidRDefault="004E649F" w:rsidP="000420BD">
      <w:pPr>
        <w:rPr>
          <w:lang w:val="en-US"/>
        </w:rPr>
      </w:pPr>
      <w:r>
        <w:rPr>
          <w:lang w:val="en-US"/>
        </w:rPr>
        <w:t>The original study indicated that structure 22 was a reasonable approximation to the experimental Z’=2 structure.  Louise thinks that structures 2 and 58 are closer.  For the time being, nothing is marked as the experimental structure apart from the Z’=2 structure.</w:t>
      </w:r>
    </w:p>
    <w:p w14:paraId="4963BA85" w14:textId="35285FBE" w:rsidR="004E649F" w:rsidRDefault="004E649F" w:rsidP="000420BD">
      <w:pPr>
        <w:rPr>
          <w:lang w:val="en-US"/>
        </w:rPr>
      </w:pPr>
      <w:r>
        <w:rPr>
          <w:lang w:val="en-US"/>
        </w:rPr>
        <w:t>This needs to be expanded on.</w:t>
      </w:r>
    </w:p>
    <w:p w14:paraId="256321B9" w14:textId="77777777" w:rsidR="00805EEC" w:rsidRDefault="00805EEC" w:rsidP="00805EEC">
      <w:r>
        <w:rPr>
          <w:noProof/>
        </w:rPr>
        <w:drawing>
          <wp:inline distT="0" distB="0" distL="0" distR="0" wp14:anchorId="5DD71D2A" wp14:editId="2086BC43">
            <wp:extent cx="6645910" cy="2842260"/>
            <wp:effectExtent l="0" t="0" r="2540" b="0"/>
            <wp:docPr id="680005971" name="Picture 68000597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6645910" cy="2842260"/>
                    </a:xfrm>
                    <a:prstGeom prst="rect">
                      <a:avLst/>
                    </a:prstGeom>
                  </pic:spPr>
                </pic:pic>
              </a:graphicData>
            </a:graphic>
          </wp:inline>
        </w:drawing>
      </w:r>
    </w:p>
    <w:p w14:paraId="67118BEC" w14:textId="77777777" w:rsidR="00805EEC" w:rsidRDefault="00805EEC" w:rsidP="00805EEC">
      <w:pPr>
        <w:pStyle w:val="Caption"/>
      </w:pPr>
      <w:r>
        <w:t xml:space="preserve">Figure </w:t>
      </w:r>
      <w:fldSimple w:instr=" SEQ Figure \* ARABIC ">
        <w:r>
          <w:rPr>
            <w:noProof/>
          </w:rPr>
          <w:t>3</w:t>
        </w:r>
      </w:fldSimple>
      <w:r>
        <w:t>.  The packing in CSD entry QQQBTY, showing the slightly different ring orientations in the two crystallographically independent molecules.</w:t>
      </w:r>
    </w:p>
    <w:p w14:paraId="2731D525" w14:textId="77777777" w:rsidR="00805EEC" w:rsidRPr="00BA2A4E" w:rsidRDefault="00805EEC" w:rsidP="00805EEC">
      <w:r>
        <w:t xml:space="preserve">Of the 77 CSP-generated crystal structures on the CrystalOptimizer landscape, all have </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(8)</m:t>
        </m:r>
      </m:oMath>
      <w:r>
        <w:rPr>
          <w:rFonts w:eastAsiaTheme="minorEastAsia"/>
        </w:rPr>
        <w:t xml:space="preserve"> hydrogen bonding apart from structures 249, 352, 415, 450, which have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4</m:t>
            </m:r>
          </m:e>
        </m:d>
      </m:oMath>
      <w:r>
        <w:rPr>
          <w:rFonts w:eastAsiaTheme="minorEastAsia"/>
        </w:rPr>
        <w:t xml:space="preserve"> hydrogen bonding, and structure 5675 which has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(12)</m:t>
        </m:r>
      </m:oMath>
      <w:r>
        <w:rPr>
          <w:rFonts w:eastAsiaTheme="minorEastAsia"/>
        </w:rPr>
        <w:t xml:space="preserve"> hydrogen bonding (NH···O=C).  </w:t>
      </w:r>
    </w:p>
    <w:tbl>
      <w:tblPr>
        <w:tblStyle w:val="TableGrid"/>
        <w:tblW w:w="0" w:type="auto"/>
        <w:tblLook w:val="04A0" w:firstRow="1" w:lastRow="0" w:firstColumn="1" w:lastColumn="0" w:noHBand="0" w:noVBand="1"/>
      </w:tblPr>
      <w:tblGrid>
        <w:gridCol w:w="5228"/>
        <w:gridCol w:w="5228"/>
      </w:tblGrid>
      <w:tr w:rsidR="00805EEC" w14:paraId="765A90EB" w14:textId="77777777" w:rsidTr="008F2BE0">
        <w:tc>
          <w:tcPr>
            <w:tcW w:w="5228" w:type="dxa"/>
          </w:tcPr>
          <w:p w14:paraId="3DCAC24F" w14:textId="77777777" w:rsidR="00805EEC" w:rsidRPr="00265A42" w:rsidRDefault="00805EEC" w:rsidP="008F2BE0">
            <w:r>
              <w:t>df415, E</w:t>
            </w:r>
            <w:r>
              <w:rPr>
                <w:vertAlign w:val="subscript"/>
              </w:rPr>
              <w:t>latt</w:t>
            </w:r>
            <w:r>
              <w:t>=-119.731 kJ mol</w:t>
            </w:r>
            <w:r>
              <w:rPr>
                <w:vertAlign w:val="superscript"/>
              </w:rPr>
              <w:t>-1</w:t>
            </w:r>
            <w:r>
              <w:t xml:space="preserve"> (+10.28 kJ mol</w:t>
            </w:r>
            <w:r>
              <w:rPr>
                <w:vertAlign w:val="superscript"/>
              </w:rPr>
              <w:t>-1</w:t>
            </w:r>
            <w:r>
              <w:t>)</w:t>
            </w:r>
          </w:p>
          <w:p w14:paraId="268D30AF" w14:textId="77777777" w:rsidR="00805EEC" w:rsidRDefault="00805EEC" w:rsidP="008F2BE0">
            <w:r>
              <w:rPr>
                <w:noProof/>
              </w:rPr>
              <w:drawing>
                <wp:inline distT="0" distB="0" distL="0" distR="0" wp14:anchorId="6BF10E4F" wp14:editId="65F00DC0">
                  <wp:extent cx="3240000" cy="1404537"/>
                  <wp:effectExtent l="0" t="0" r="0" b="5715"/>
                  <wp:docPr id="2" name="Picture 2" descr="A structure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tructure of a molecule&#10;&#10;Description automatically generated"/>
                          <pic:cNvPicPr/>
                        </pic:nvPicPr>
                        <pic:blipFill>
                          <a:blip r:embed="rId12"/>
                          <a:stretch>
                            <a:fillRect/>
                          </a:stretch>
                        </pic:blipFill>
                        <pic:spPr>
                          <a:xfrm>
                            <a:off x="0" y="0"/>
                            <a:ext cx="3240000" cy="1404537"/>
                          </a:xfrm>
                          <a:prstGeom prst="rect">
                            <a:avLst/>
                          </a:prstGeom>
                        </pic:spPr>
                      </pic:pic>
                    </a:graphicData>
                  </a:graphic>
                </wp:inline>
              </w:drawing>
            </w:r>
          </w:p>
        </w:tc>
        <w:tc>
          <w:tcPr>
            <w:tcW w:w="5228" w:type="dxa"/>
          </w:tcPr>
          <w:p w14:paraId="11917734" w14:textId="77777777" w:rsidR="00805EEC" w:rsidRPr="00265A42" w:rsidRDefault="00805EEC" w:rsidP="008F2BE0">
            <w:r>
              <w:t>df5675, E</w:t>
            </w:r>
            <w:r>
              <w:rPr>
                <w:vertAlign w:val="subscript"/>
              </w:rPr>
              <w:t>latt</w:t>
            </w:r>
            <w:r>
              <w:t>=-109.158 kJ mol</w:t>
            </w:r>
            <w:r>
              <w:rPr>
                <w:vertAlign w:val="superscript"/>
              </w:rPr>
              <w:t>-1</w:t>
            </w:r>
            <w:r>
              <w:t xml:space="preserve"> (+20.85 kJ mol</w:t>
            </w:r>
            <w:r>
              <w:rPr>
                <w:vertAlign w:val="superscript"/>
              </w:rPr>
              <w:t>-1</w:t>
            </w:r>
            <w:r>
              <w:t>)</w:t>
            </w:r>
          </w:p>
          <w:p w14:paraId="1496C043" w14:textId="77777777" w:rsidR="00805EEC" w:rsidRDefault="00805EEC" w:rsidP="008F2BE0">
            <w:r>
              <w:rPr>
                <w:noProof/>
              </w:rPr>
              <w:drawing>
                <wp:inline distT="0" distB="0" distL="0" distR="0" wp14:anchorId="4AC46090" wp14:editId="454C7DE7">
                  <wp:extent cx="3240000" cy="1404537"/>
                  <wp:effectExtent l="0" t="0" r="0" b="5715"/>
                  <wp:docPr id="1708539751" name="Picture 1708539751" descr="A molecule structure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39751" name="Picture 1708539751" descr="A molecule structure with red and blue lines&#10;&#10;Description automatically generated"/>
                          <pic:cNvPicPr/>
                        </pic:nvPicPr>
                        <pic:blipFill>
                          <a:blip r:embed="rId13"/>
                          <a:stretch>
                            <a:fillRect/>
                          </a:stretch>
                        </pic:blipFill>
                        <pic:spPr>
                          <a:xfrm>
                            <a:off x="0" y="0"/>
                            <a:ext cx="3240000" cy="1404537"/>
                          </a:xfrm>
                          <a:prstGeom prst="rect">
                            <a:avLst/>
                          </a:prstGeom>
                        </pic:spPr>
                      </pic:pic>
                    </a:graphicData>
                  </a:graphic>
                </wp:inline>
              </w:drawing>
            </w:r>
          </w:p>
        </w:tc>
      </w:tr>
    </w:tbl>
    <w:p w14:paraId="0B768BA0" w14:textId="77777777" w:rsidR="00805EEC" w:rsidRPr="00720F85" w:rsidRDefault="00805EEC" w:rsidP="00805EEC">
      <w:pPr>
        <w:pStyle w:val="Caption"/>
      </w:pPr>
      <w:r>
        <w:t xml:space="preserve">Figure </w:t>
      </w:r>
      <w:fldSimple w:instr=" SEQ Figure \* ARABIC ">
        <w:r>
          <w:rPr>
            <w:noProof/>
          </w:rPr>
          <w:t>4</w:t>
        </w:r>
      </w:fldSimple>
      <w:r>
        <w:t>.  The alternative hydrogen bonding motifs in fenamic acid CSP-generated structures.</w:t>
      </w:r>
    </w:p>
    <w:p w14:paraId="3F1BB7B3" w14:textId="77777777" w:rsidR="00805EEC" w:rsidRPr="005A2716" w:rsidRDefault="00805EEC" w:rsidP="000420BD">
      <w:pPr>
        <w:rPr>
          <w:lang w:val="en-US"/>
        </w:rPr>
      </w:pPr>
    </w:p>
    <w:p w14:paraId="32980089" w14:textId="77777777" w:rsidR="000420BD" w:rsidRDefault="000420BD" w:rsidP="005878AA">
      <w:pPr>
        <w:rPr>
          <w:lang w:val="en-US"/>
        </w:rPr>
      </w:pPr>
    </w:p>
    <w:p w14:paraId="7BCE028B" w14:textId="77777777" w:rsidR="00EF3C05" w:rsidRPr="00EF3C05" w:rsidRDefault="000420BD" w:rsidP="00EF3C05">
      <w:pPr>
        <w:pStyle w:val="EndNoteBibliography"/>
        <w:spacing w:after="0"/>
        <w:ind w:left="720" w:hanging="720"/>
      </w:pPr>
      <w:r>
        <w:fldChar w:fldCharType="begin"/>
      </w:r>
      <w:r>
        <w:instrText xml:space="preserve"> ADDIN EN.REFLIST </w:instrText>
      </w:r>
      <w:r>
        <w:fldChar w:fldCharType="separate"/>
      </w:r>
      <w:r w:rsidR="00EF3C05" w:rsidRPr="00EF3C05">
        <w:t>1.</w:t>
      </w:r>
      <w:r w:rsidR="00EF3C05" w:rsidRPr="00EF3C05">
        <w:tab/>
        <w:t xml:space="preserve">M. Sbit, L. Dupont, O. Dideberg, J. F. Liegeois and J. Delarge, </w:t>
      </w:r>
      <w:r w:rsidR="00EF3C05" w:rsidRPr="00EF3C05">
        <w:rPr>
          <w:i/>
        </w:rPr>
        <w:t>Acta Crystallographica Section C</w:t>
      </w:r>
      <w:r w:rsidR="00EF3C05" w:rsidRPr="00EF3C05">
        <w:t xml:space="preserve">, 1987, </w:t>
      </w:r>
      <w:r w:rsidR="00EF3C05" w:rsidRPr="00EF3C05">
        <w:rPr>
          <w:b/>
        </w:rPr>
        <w:t>43</w:t>
      </w:r>
      <w:r w:rsidR="00EF3C05" w:rsidRPr="00EF3C05">
        <w:t>, 926-928.</w:t>
      </w:r>
    </w:p>
    <w:p w14:paraId="473FCE0C" w14:textId="77777777" w:rsidR="00EF3C05" w:rsidRPr="00EF3C05" w:rsidRDefault="00EF3C05" w:rsidP="00EF3C05">
      <w:pPr>
        <w:pStyle w:val="EndNoteBibliography"/>
        <w:ind w:left="720" w:hanging="720"/>
      </w:pPr>
      <w:r w:rsidRPr="00EF3C05">
        <w:t>2.</w:t>
      </w:r>
      <w:r w:rsidRPr="00EF3C05">
        <w:tab/>
        <w:t xml:space="preserve">T. Zhou, F. Li, Y. Fan, W. Song, X. Mu, H. Zhang and Y. Wang, </w:t>
      </w:r>
      <w:r w:rsidRPr="00EF3C05">
        <w:rPr>
          <w:i/>
        </w:rPr>
        <w:t>Chemical Communications</w:t>
      </w:r>
      <w:r w:rsidRPr="00EF3C05">
        <w:t>, 2009, 3199-3201.</w:t>
      </w:r>
    </w:p>
    <w:p w14:paraId="08580BC1" w14:textId="2944961E" w:rsidR="005878AA" w:rsidRDefault="000420BD" w:rsidP="005878AA">
      <w:pPr>
        <w:rPr>
          <w:lang w:val="en-US"/>
        </w:rPr>
      </w:pPr>
      <w:r>
        <w:rPr>
          <w:lang w:val="en-US"/>
        </w:rPr>
        <w:fldChar w:fldCharType="end"/>
      </w:r>
    </w:p>
    <w:sectPr w:rsidR="005878AA" w:rsidSect="00D422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839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420BD"/>
    <w:rsid w:val="00094CBE"/>
    <w:rsid w:val="000D7232"/>
    <w:rsid w:val="001020BF"/>
    <w:rsid w:val="00191924"/>
    <w:rsid w:val="001A3932"/>
    <w:rsid w:val="0022014E"/>
    <w:rsid w:val="003C5B33"/>
    <w:rsid w:val="00432537"/>
    <w:rsid w:val="004E649F"/>
    <w:rsid w:val="00501FB9"/>
    <w:rsid w:val="005023C9"/>
    <w:rsid w:val="005825DC"/>
    <w:rsid w:val="005878AA"/>
    <w:rsid w:val="005A2716"/>
    <w:rsid w:val="005B5AC6"/>
    <w:rsid w:val="00634218"/>
    <w:rsid w:val="0069766E"/>
    <w:rsid w:val="006B315C"/>
    <w:rsid w:val="007F3E15"/>
    <w:rsid w:val="00805EEC"/>
    <w:rsid w:val="00A03B65"/>
    <w:rsid w:val="00A82E93"/>
    <w:rsid w:val="00B21E4D"/>
    <w:rsid w:val="00CF0893"/>
    <w:rsid w:val="00D05024"/>
    <w:rsid w:val="00D4221C"/>
    <w:rsid w:val="00D72C06"/>
    <w:rsid w:val="00D90329"/>
    <w:rsid w:val="00E40068"/>
    <w:rsid w:val="00EF3C05"/>
    <w:rsid w:val="00FF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8A9030"/>
  <w15:chartTrackingRefBased/>
  <w15:docId w15:val="{1225D40E-5588-4635-A6C2-6C56210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420BD"/>
    <w:rPr>
      <w:color w:val="0563C1"/>
      <w:u w:val="single"/>
    </w:rPr>
  </w:style>
  <w:style w:type="paragraph" w:styleId="NormalWeb">
    <w:name w:val="Normal (Web)"/>
    <w:basedOn w:val="Normal"/>
    <w:uiPriority w:val="99"/>
    <w:semiHidden/>
    <w:unhideWhenUsed/>
    <w:rsid w:val="000420BD"/>
    <w:pPr>
      <w:spacing w:before="100" w:beforeAutospacing="1" w:after="100" w:afterAutospacing="1" w:line="240" w:lineRule="auto"/>
    </w:pPr>
    <w:rPr>
      <w:rFonts w:ascii="Calibri" w:hAnsi="Calibri" w:cs="Calibri"/>
      <w:lang w:eastAsia="en-GB"/>
    </w:rPr>
  </w:style>
  <w:style w:type="paragraph" w:customStyle="1" w:styleId="EndNoteBibliographyTitle">
    <w:name w:val="EndNote Bibliography Title"/>
    <w:basedOn w:val="Normal"/>
    <w:link w:val="EndNoteBibliographyTitleChar"/>
    <w:rsid w:val="000420B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420BD"/>
    <w:rPr>
      <w:rFonts w:ascii="Calibri" w:hAnsi="Calibri" w:cs="Calibri"/>
      <w:noProof/>
      <w:lang w:val="en-US"/>
    </w:rPr>
  </w:style>
  <w:style w:type="paragraph" w:customStyle="1" w:styleId="EndNoteBibliography">
    <w:name w:val="EndNote Bibliography"/>
    <w:basedOn w:val="Normal"/>
    <w:link w:val="EndNoteBibliographyChar"/>
    <w:rsid w:val="000420B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420B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2102">
      <w:bodyDiv w:val="1"/>
      <w:marLeft w:val="0"/>
      <w:marRight w:val="0"/>
      <w:marTop w:val="0"/>
      <w:marBottom w:val="0"/>
      <w:divBdr>
        <w:top w:val="none" w:sz="0" w:space="0" w:color="auto"/>
        <w:left w:val="none" w:sz="0" w:space="0" w:color="auto"/>
        <w:bottom w:val="none" w:sz="0" w:space="0" w:color="auto"/>
        <w:right w:val="none" w:sz="0" w:space="0" w:color="auto"/>
      </w:divBdr>
    </w:div>
    <w:div w:id="789662863">
      <w:bodyDiv w:val="1"/>
      <w:marLeft w:val="0"/>
      <w:marRight w:val="0"/>
      <w:marTop w:val="0"/>
      <w:marBottom w:val="0"/>
      <w:divBdr>
        <w:top w:val="none" w:sz="0" w:space="0" w:color="auto"/>
        <w:left w:val="none" w:sz="0" w:space="0" w:color="auto"/>
        <w:bottom w:val="none" w:sz="0" w:space="0" w:color="auto"/>
        <w:right w:val="none" w:sz="0" w:space="0" w:color="auto"/>
      </w:divBdr>
    </w:div>
    <w:div w:id="1043213725">
      <w:bodyDiv w:val="1"/>
      <w:marLeft w:val="0"/>
      <w:marRight w:val="0"/>
      <w:marTop w:val="0"/>
      <w:marBottom w:val="0"/>
      <w:divBdr>
        <w:top w:val="none" w:sz="0" w:space="0" w:color="auto"/>
        <w:left w:val="none" w:sz="0" w:space="0" w:color="auto"/>
        <w:bottom w:val="none" w:sz="0" w:space="0" w:color="auto"/>
        <w:right w:val="none" w:sz="0" w:space="0" w:color="auto"/>
      </w:divBdr>
    </w:div>
    <w:div w:id="1817066888">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B9B0-A48F-4313-867B-E4BBDC5A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Louise Price</cp:lastModifiedBy>
  <cp:revision>7</cp:revision>
  <dcterms:created xsi:type="dcterms:W3CDTF">2023-02-28T11:44:00Z</dcterms:created>
  <dcterms:modified xsi:type="dcterms:W3CDTF">2024-11-18T12:16:00Z</dcterms:modified>
</cp:coreProperties>
</file>