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0FA0E688" w:rsidR="00E40068" w:rsidRDefault="006D01D9" w:rsidP="00D4221C">
      <w:pPr>
        <w:pStyle w:val="Title"/>
        <w:rPr>
          <w:lang w:val="en-US"/>
        </w:rPr>
      </w:pPr>
      <w:r>
        <w:rPr>
          <w:lang w:val="en-US"/>
        </w:rPr>
        <w:t>Lactide</w:t>
      </w:r>
    </w:p>
    <w:p w14:paraId="0622A8AA" w14:textId="7150306B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6D01D9">
        <w:rPr>
          <w:lang w:val="en-US"/>
        </w:rPr>
        <w:t>24 March 2025</w:t>
      </w:r>
      <w:r>
        <w:rPr>
          <w:lang w:val="en-US"/>
        </w:rPr>
        <w:t>)</w:t>
      </w:r>
    </w:p>
    <w:p w14:paraId="36C236EE" w14:textId="2FCF041A" w:rsidR="00D4221C" w:rsidRDefault="00A2253E" w:rsidP="00D4221C">
      <w:pPr>
        <w:rPr>
          <w:lang w:val="en-US"/>
        </w:rPr>
      </w:pPr>
      <w:r>
        <w:object w:dxaOrig="1980" w:dyaOrig="1080" w14:anchorId="34495E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4pt" o:ole="">
            <v:imagedata r:id="rId6" o:title=""/>
          </v:shape>
          <o:OLEObject Type="Embed" ProgID="ACD.ChemSketch.20" ShapeID="_x0000_i1025" DrawAspect="Content" ObjectID="_1805199569" r:id="rId7"/>
        </w:object>
      </w:r>
    </w:p>
    <w:p w14:paraId="5B1AA517" w14:textId="6B25A786" w:rsidR="00D4221C" w:rsidRDefault="00D4221C" w:rsidP="00D4221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A2253E">
        <w:t>Lactide</w:t>
      </w:r>
      <w:r>
        <w:t>.</w:t>
      </w:r>
    </w:p>
    <w:p w14:paraId="1200074B" w14:textId="1774329C" w:rsidR="00D93AB6" w:rsidRPr="00D93AB6" w:rsidRDefault="00D93AB6" w:rsidP="00D93AB6">
      <w:r>
        <w:rPr>
          <w:lang w:val="en-US"/>
        </w:rPr>
        <w:t xml:space="preserve">This molecule has two </w:t>
      </w:r>
      <w:proofErr w:type="spellStart"/>
      <w:r>
        <w:rPr>
          <w:lang w:val="en-US"/>
        </w:rPr>
        <w:t>stereocentres</w:t>
      </w:r>
      <w:proofErr w:type="spellEnd"/>
      <w:r>
        <w:rPr>
          <w:lang w:val="en-US"/>
        </w:rPr>
        <w:t xml:space="preserve">.  meso-Lactide has one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of each type, and hence the molecule is not chiral.  Both chiral molecules (LL-Lactide and DD-Lactide) and the racemic mixture of the two have determinations on the CSD.  Meso-Lactide was not included in the original CSP (it is a different molecule).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8800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0"/>
        <w:gridCol w:w="6440"/>
      </w:tblGrid>
      <w:tr w:rsidR="00927165" w:rsidRPr="00927165" w14:paraId="398CA151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4B6CC52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63C93895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BICVIS</w:t>
            </w:r>
          </w:p>
        </w:tc>
      </w:tr>
      <w:tr w:rsidR="00927165" w:rsidRPr="00927165" w14:paraId="7DCBF373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3157D8F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4A7ECEAF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C6 H8 O4</w:t>
            </w:r>
          </w:p>
        </w:tc>
      </w:tr>
      <w:tr w:rsidR="00927165" w:rsidRPr="00927165" w14:paraId="2DD395D8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44787DA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17338074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DD,LL-lactide</w:t>
            </w:r>
          </w:p>
        </w:tc>
      </w:tr>
      <w:tr w:rsidR="00927165" w:rsidRPr="00927165" w14:paraId="4B51884B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9283FAF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6440" w:type="dxa"/>
            <w:shd w:val="clear" w:color="auto" w:fill="auto"/>
            <w:noWrap/>
            <w:vAlign w:val="bottom"/>
            <w:hideMark/>
          </w:tcPr>
          <w:p w14:paraId="081FE99B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rac-3,6-dimethyl-1,4-dioxane-2,5-dione</w:t>
            </w:r>
          </w:p>
        </w:tc>
      </w:tr>
      <w:tr w:rsidR="00927165" w:rsidRPr="00927165" w14:paraId="6D21983F" w14:textId="77777777" w:rsidTr="00F12F5B">
        <w:trPr>
          <w:trHeight w:val="255"/>
        </w:trPr>
        <w:tc>
          <w:tcPr>
            <w:tcW w:w="2360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5A63C22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CSD </w:t>
            </w: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Refcodes</w:t>
            </w:r>
            <w:proofErr w:type="spellEnd"/>
          </w:p>
        </w:tc>
        <w:tc>
          <w:tcPr>
            <w:tcW w:w="6440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55DDE30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BICVIS, NAHNOZ01, TOFTIV, BEYDEO01</w:t>
            </w:r>
          </w:p>
        </w:tc>
      </w:tr>
      <w:tr w:rsidR="00927165" w:rsidRPr="00927165" w14:paraId="4CFA3476" w14:textId="77777777" w:rsidTr="00F12F5B">
        <w:trPr>
          <w:trHeight w:val="255"/>
        </w:trPr>
        <w:tc>
          <w:tcPr>
            <w:tcW w:w="236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5B09D6C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6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93ED0F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927165" w:rsidRPr="00927165" w14:paraId="18FD1CEE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BB6ECE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96A9CD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Rebecca Hylton</w:t>
            </w:r>
          </w:p>
        </w:tc>
      </w:tr>
      <w:tr w:rsidR="00927165" w:rsidRPr="00927165" w14:paraId="71303FD7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14B88E3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CF4FAC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2014</w:t>
            </w:r>
          </w:p>
        </w:tc>
      </w:tr>
      <w:tr w:rsidR="00927165" w:rsidRPr="00927165" w14:paraId="0524FF3F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630E0A72" w14:textId="77777777" w:rsidR="00927165" w:rsidRPr="00927165" w:rsidRDefault="00927165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CB3B49F" w14:textId="539D29E3" w:rsidR="00927165" w:rsidRPr="00927165" w:rsidRDefault="00AB7D98" w:rsidP="009271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AB7D9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Buchholz HK, Hylton RK, Brandenburg JG, Seidel-Morgenstern A, Lorenz H, Stein M, Price SL, </w:t>
            </w:r>
            <w:proofErr w:type="spellStart"/>
            <w:r w:rsidRPr="00AB7D9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</w:t>
            </w:r>
            <w:proofErr w:type="spellEnd"/>
            <w:r w:rsidRPr="00AB7D9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Growth Des 2017, 17 (9), 4676-4686</w:t>
            </w:r>
          </w:p>
        </w:tc>
      </w:tr>
      <w:tr w:rsidR="009B60A8" w:rsidRPr="00927165" w14:paraId="02E040DB" w14:textId="77777777" w:rsidTr="00F12F5B">
        <w:trPr>
          <w:trHeight w:val="255"/>
        </w:trPr>
        <w:tc>
          <w:tcPr>
            <w:tcW w:w="2360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6E8187E1" w14:textId="3E106EAB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440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7A46A2CB" w14:textId="22E7BCFF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9B60A8" w:rsidRPr="00927165" w14:paraId="70B3A306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347EA487" w14:textId="17727522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6440" w:type="dxa"/>
            <w:shd w:val="clear" w:color="auto" w:fill="auto"/>
            <w:noWrap/>
            <w:vAlign w:val="bottom"/>
          </w:tcPr>
          <w:p w14:paraId="797AA25C" w14:textId="505DA1ED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</w:t>
            </w:r>
          </w:p>
        </w:tc>
      </w:tr>
      <w:tr w:rsidR="009B60A8" w:rsidRPr="00927165" w14:paraId="3D4F0073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124B35DE" w14:textId="1D04591E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6440" w:type="dxa"/>
            <w:shd w:val="clear" w:color="auto" w:fill="auto"/>
            <w:noWrap/>
            <w:vAlign w:val="bottom"/>
          </w:tcPr>
          <w:p w14:paraId="6A5E4376" w14:textId="2CAF0476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B60A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Rigid Crystal Predictor (x), DMACRYS (2.0.8)</w:t>
            </w:r>
          </w:p>
        </w:tc>
      </w:tr>
      <w:tr w:rsidR="009B60A8" w:rsidRPr="00927165" w14:paraId="244031B0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26F0EABF" w14:textId="4ADB9D7A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6440" w:type="dxa"/>
            <w:shd w:val="clear" w:color="auto" w:fill="auto"/>
            <w:noWrap/>
            <w:vAlign w:val="bottom"/>
          </w:tcPr>
          <w:p w14:paraId="036A68B9" w14:textId="7D0A0694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\CHEMISTRY_CPOSS\Lactides\racemic-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</w:p>
        </w:tc>
      </w:tr>
      <w:tr w:rsidR="009B60A8" w:rsidRPr="00927165" w14:paraId="0174CAC3" w14:textId="77777777" w:rsidTr="00F12F5B">
        <w:trPr>
          <w:trHeight w:val="255"/>
        </w:trPr>
        <w:tc>
          <w:tcPr>
            <w:tcW w:w="2360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50E772E8" w14:textId="66353965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6440" w:type="dxa"/>
            <w:tcBorders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5A3013CF" w14:textId="04AB53E1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CrystalPredictor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GDMA2.2(PBE0/6-31G(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d,p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)) + FIT</w:t>
            </w:r>
          </w:p>
        </w:tc>
      </w:tr>
      <w:tr w:rsidR="009B60A8" w:rsidRPr="00927165" w14:paraId="5C19588A" w14:textId="77777777" w:rsidTr="00F12F5B">
        <w:trPr>
          <w:trHeight w:val="255"/>
        </w:trPr>
        <w:tc>
          <w:tcPr>
            <w:tcW w:w="236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3F9CF26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18CA818" w14:textId="48D8E794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(published)</w:t>
            </w:r>
          </w:p>
        </w:tc>
      </w:tr>
      <w:tr w:rsidR="009B60A8" w:rsidRPr="00927165" w14:paraId="68F31C56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3668C56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20228FCB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</w:t>
            </w:r>
          </w:p>
        </w:tc>
      </w:tr>
      <w:tr w:rsidR="009B60A8" w:rsidRPr="00927165" w14:paraId="37626A16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192F4EB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DCAC7DF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=20, </w:t>
            </w: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(2.3), DMACRYS (2.0.8)</w:t>
            </w:r>
          </w:p>
        </w:tc>
      </w:tr>
      <w:tr w:rsidR="009B60A8" w:rsidRPr="00927165" w14:paraId="35EC74AA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558CB10C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170F826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\CHEMISTRY_CPOSS\Lactides\</w:t>
            </w: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</w:p>
        </w:tc>
      </w:tr>
      <w:tr w:rsidR="009B60A8" w:rsidRPr="00927165" w14:paraId="4CBBE6B0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4B4473B3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1C1780FB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CrystalOptimizer</w:t>
            </w:r>
            <w:proofErr w:type="spellEnd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PBE1PBE/6-31G(</w:t>
            </w: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 intramolecular + GDMA2.2(PBE1PBE/6-31G(</w:t>
            </w: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)) DMA + FIT</w:t>
            </w:r>
          </w:p>
        </w:tc>
      </w:tr>
      <w:tr w:rsidR="009B60A8" w:rsidRPr="00927165" w14:paraId="31161763" w14:textId="77777777" w:rsidTr="00F12F5B">
        <w:trPr>
          <w:trHeight w:val="255"/>
        </w:trPr>
        <w:tc>
          <w:tcPr>
            <w:tcW w:w="236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BDC1E4B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440" w:type="dxa"/>
            <w:tcBorders>
              <w:top w:val="single" w:sz="24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6832B04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</w:t>
            </w:r>
          </w:p>
        </w:tc>
      </w:tr>
      <w:tr w:rsidR="009B60A8" w:rsidRPr="00927165" w14:paraId="01FC7CDB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78C1020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3536954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30</w:t>
            </w:r>
          </w:p>
        </w:tc>
      </w:tr>
      <w:tr w:rsidR="009B60A8" w:rsidRPr="00927165" w14:paraId="5C51E313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E4EA005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95DBE14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=10, DMACRYS (2.0.8)</w:t>
            </w:r>
          </w:p>
        </w:tc>
      </w:tr>
      <w:tr w:rsidR="009B60A8" w:rsidRPr="00927165" w14:paraId="702149DF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C8139A0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48C9448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\CHEMISTRY_CPOSS\Lactides\PCM_cuto15</w:t>
            </w:r>
          </w:p>
        </w:tc>
      </w:tr>
      <w:tr w:rsidR="009B60A8" w:rsidRPr="00927165" w14:paraId="1D6A8A12" w14:textId="77777777" w:rsidTr="00F12F5B">
        <w:trPr>
          <w:trHeight w:val="255"/>
        </w:trPr>
        <w:tc>
          <w:tcPr>
            <w:tcW w:w="236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481BE74C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6440" w:type="dxa"/>
            <w:tcBorders>
              <w:top w:val="single" w:sz="6" w:space="0" w:color="auto"/>
              <w:bottom w:val="single" w:sz="24" w:space="0" w:color="auto"/>
            </w:tcBorders>
            <w:shd w:val="clear" w:color="auto" w:fill="auto"/>
            <w:noWrap/>
            <w:vAlign w:val="bottom"/>
          </w:tcPr>
          <w:p w14:paraId="71852F0A" w14:textId="77777777" w:rsidR="009B60A8" w:rsidRPr="00927165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GDMA2.2(PCMdielectric3(PBE1PBE/6-31G(</w:t>
            </w:r>
            <w:proofErr w:type="spellStart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r w:rsidRPr="009271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))) + FIT with 15A cutoff</w:t>
            </w:r>
          </w:p>
        </w:tc>
      </w:tr>
      <w:tr w:rsidR="009B60A8" w:rsidRPr="00F12F5B" w14:paraId="525CEE4A" w14:textId="77777777" w:rsidTr="00F12F5B">
        <w:trPr>
          <w:trHeight w:val="255"/>
        </w:trPr>
        <w:tc>
          <w:tcPr>
            <w:tcW w:w="2360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61B22DE5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6440" w:type="dxa"/>
            <w:tcBorders>
              <w:top w:val="single" w:sz="24" w:space="0" w:color="auto"/>
            </w:tcBorders>
            <w:shd w:val="clear" w:color="auto" w:fill="auto"/>
            <w:noWrap/>
            <w:vAlign w:val="bottom"/>
          </w:tcPr>
          <w:p w14:paraId="0B979C89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</w:tr>
      <w:tr w:rsidR="009B60A8" w:rsidRPr="00F12F5B" w14:paraId="49996AE4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522E6167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</w:p>
        </w:tc>
        <w:tc>
          <w:tcPr>
            <w:tcW w:w="6440" w:type="dxa"/>
            <w:shd w:val="clear" w:color="auto" w:fill="auto"/>
            <w:noWrap/>
            <w:vAlign w:val="bottom"/>
          </w:tcPr>
          <w:p w14:paraId="585B820F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</w:t>
            </w:r>
          </w:p>
        </w:tc>
      </w:tr>
      <w:tr w:rsidR="009B60A8" w:rsidRPr="00F12F5B" w14:paraId="3C225BEB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1DA686D2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6440" w:type="dxa"/>
            <w:shd w:val="clear" w:color="auto" w:fill="auto"/>
            <w:noWrap/>
            <w:vAlign w:val="bottom"/>
          </w:tcPr>
          <w:p w14:paraId="188EDF89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  <w:proofErr w:type="spellEnd"/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=10, DMACRYS (2.0.8)</w:t>
            </w:r>
          </w:p>
        </w:tc>
      </w:tr>
      <w:tr w:rsidR="009B60A8" w:rsidRPr="00F12F5B" w14:paraId="1F72BB21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0D2D1559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6440" w:type="dxa"/>
            <w:shd w:val="clear" w:color="auto" w:fill="auto"/>
            <w:noWrap/>
            <w:vAlign w:val="bottom"/>
          </w:tcPr>
          <w:p w14:paraId="1598BC0B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\CHEMISTRY_CPOSS\Lactides\PCM_cuto30</w:t>
            </w:r>
          </w:p>
        </w:tc>
      </w:tr>
      <w:tr w:rsidR="009B60A8" w:rsidRPr="00F12F5B" w14:paraId="4C928990" w14:textId="77777777" w:rsidTr="00F12F5B">
        <w:trPr>
          <w:trHeight w:val="255"/>
        </w:trPr>
        <w:tc>
          <w:tcPr>
            <w:tcW w:w="2360" w:type="dxa"/>
            <w:shd w:val="clear" w:color="auto" w:fill="auto"/>
            <w:noWrap/>
            <w:vAlign w:val="bottom"/>
          </w:tcPr>
          <w:p w14:paraId="0F819F42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6440" w:type="dxa"/>
            <w:shd w:val="clear" w:color="auto" w:fill="auto"/>
            <w:noWrap/>
            <w:vAlign w:val="bottom"/>
          </w:tcPr>
          <w:p w14:paraId="7AC75847" w14:textId="77777777" w:rsidR="009B60A8" w:rsidRPr="00F12F5B" w:rsidRDefault="009B60A8" w:rsidP="009B60A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GDMA2.2(PCMdielectric3(PBE1PBE/6-31G(</w:t>
            </w:r>
            <w:proofErr w:type="spellStart"/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d,p</w:t>
            </w:r>
            <w:proofErr w:type="spellEnd"/>
            <w:r w:rsidRPr="00F12F5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))) + FIT with 30A cutoff</w:t>
            </w:r>
          </w:p>
        </w:tc>
      </w:tr>
    </w:tbl>
    <w:p w14:paraId="2D64244B" w14:textId="765778B0" w:rsidR="00D4221C" w:rsidRPr="00927165" w:rsidRDefault="00D4221C" w:rsidP="00D4221C"/>
    <w:p w14:paraId="14BDEF9A" w14:textId="24A87F46" w:rsidR="005A2716" w:rsidRDefault="00927165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F2762F7" wp14:editId="034A0B8C">
            <wp:extent cx="6645910" cy="4822825"/>
            <wp:effectExtent l="0" t="0" r="2540" b="0"/>
            <wp:docPr id="1626762340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62340" name="Picture 1" descr="A screen 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5C46" w14:textId="2AB69CC9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23595C">
        <w:t>Lactide</w:t>
      </w:r>
      <w:r>
        <w:t xml:space="preserve"> from previous work.</w:t>
      </w:r>
    </w:p>
    <w:p w14:paraId="29042A5F" w14:textId="212D8110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A2253E">
        <w:rPr>
          <w:lang w:val="en-US"/>
        </w:rPr>
        <w:t>6</w:t>
      </w:r>
      <w:r w:rsidRPr="005A2716">
        <w:rPr>
          <w:lang w:val="en-US"/>
        </w:rPr>
        <w:t xml:space="preserve"> with </w:t>
      </w:r>
      <w:r w:rsidR="00A2253E">
        <w:rPr>
          <w:lang w:val="en-US"/>
        </w:rPr>
        <w:t>Feb</w:t>
      </w:r>
      <w:r w:rsidRPr="005A2716">
        <w:rPr>
          <w:lang w:val="en-US"/>
        </w:rPr>
        <w:t xml:space="preserve"> 202</w:t>
      </w:r>
      <w:r w:rsidR="00A2253E">
        <w:rPr>
          <w:lang w:val="en-US"/>
        </w:rPr>
        <w:t>5</w:t>
      </w:r>
      <w:r w:rsidRPr="005A2716">
        <w:rPr>
          <w:lang w:val="en-US"/>
        </w:rPr>
        <w:t xml:space="preserve"> update</w:t>
      </w:r>
      <w:r w:rsidR="005A2716">
        <w:rPr>
          <w:lang w:val="en-US"/>
        </w:rPr>
        <w:t>)</w:t>
      </w:r>
    </w:p>
    <w:p w14:paraId="4E52BAC9" w14:textId="04122F28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A2253E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A2253E">
        <w:t>Lactide</w:t>
      </w:r>
      <w:r>
        <w:t>.  Different polymorphs are coloured differently.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231"/>
        <w:gridCol w:w="374"/>
        <w:gridCol w:w="831"/>
        <w:gridCol w:w="943"/>
        <w:gridCol w:w="943"/>
        <w:gridCol w:w="562"/>
        <w:gridCol w:w="943"/>
        <w:gridCol w:w="542"/>
        <w:gridCol w:w="898"/>
        <w:gridCol w:w="1956"/>
      </w:tblGrid>
      <w:tr w:rsidR="005825DC" w14:paraId="1887575A" w14:textId="78F9D7AA" w:rsidTr="00D93AB6">
        <w:tc>
          <w:tcPr>
            <w:tcW w:w="0" w:type="auto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0" w:type="auto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0" w:type="auto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0" w:type="auto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0" w:type="auto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0" w:type="auto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0" w:type="auto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898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1956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D93AB6" w14:paraId="079EEFAC" w14:textId="0670F9D8" w:rsidTr="00D93AB6">
        <w:tc>
          <w:tcPr>
            <w:tcW w:w="0" w:type="auto"/>
            <w:shd w:val="clear" w:color="auto" w:fill="C5E0B3" w:themeFill="accent6" w:themeFillTint="66"/>
            <w:vAlign w:val="bottom"/>
          </w:tcPr>
          <w:p w14:paraId="1B2ED6A3" w14:textId="64C05B31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BEYDEO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EECF4DE" w14:textId="4277442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0CB0DAB1" w14:textId="747EBF2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137AD7B2" w14:textId="3D78D28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7.73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6AB182A1" w14:textId="5F305855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9.836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36ED58D1" w14:textId="5CB99AE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9.402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4A752D35" w14:textId="5779856F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0C541795" w14:textId="6C00DF85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110.03</w:t>
            </w:r>
          </w:p>
        </w:tc>
        <w:tc>
          <w:tcPr>
            <w:tcW w:w="0" w:type="auto"/>
            <w:shd w:val="clear" w:color="auto" w:fill="C5E0B3" w:themeFill="accent6" w:themeFillTint="66"/>
            <w:vAlign w:val="bottom"/>
          </w:tcPr>
          <w:p w14:paraId="111973FE" w14:textId="788BD63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shd w:val="clear" w:color="auto" w:fill="C5E0B3" w:themeFill="accent6" w:themeFillTint="66"/>
            <w:vAlign w:val="bottom"/>
          </w:tcPr>
          <w:p w14:paraId="188387FB" w14:textId="27A6FC24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1.425</w:t>
            </w:r>
          </w:p>
        </w:tc>
        <w:tc>
          <w:tcPr>
            <w:tcW w:w="1956" w:type="dxa"/>
            <w:shd w:val="clear" w:color="auto" w:fill="C5E0B3" w:themeFill="accent6" w:themeFillTint="66"/>
          </w:tcPr>
          <w:p w14:paraId="372D7D94" w14:textId="7EC9F495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DL Form I</w:t>
            </w:r>
          </w:p>
        </w:tc>
      </w:tr>
      <w:tr w:rsidR="00D93AB6" w14:paraId="133F158B" w14:textId="673773C0" w:rsidTr="00CE4FB1"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39F141A6" w14:textId="4C23AF0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BEYDEO01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978F2E3" w14:textId="0FFF1B28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200AAAA2" w14:textId="48C17F0F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440DD38" w14:textId="42343EC3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7.7308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739B6A" w14:textId="6958904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9.8306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091E04D5" w14:textId="05A42B5F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9.3925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FAC1241" w14:textId="06208FB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7452E43" w14:textId="2A37104A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110.039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640CBAB2" w14:textId="1D78BD6D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bottom w:val="single" w:sz="24" w:space="0" w:color="auto"/>
            </w:tcBorders>
            <w:shd w:val="clear" w:color="auto" w:fill="C5E0B3" w:themeFill="accent6" w:themeFillTint="66"/>
            <w:vAlign w:val="bottom"/>
          </w:tcPr>
          <w:p w14:paraId="57633041" w14:textId="3C07D092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1.428</w:t>
            </w:r>
          </w:p>
        </w:tc>
        <w:tc>
          <w:tcPr>
            <w:tcW w:w="1956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5560768C" w14:textId="79732D67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DL Form I</w:t>
            </w:r>
          </w:p>
        </w:tc>
      </w:tr>
      <w:tr w:rsidR="00D93AB6" w14:paraId="66609675" w14:textId="70B0C4FA" w:rsidTr="00CE4FB1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71C92DC" w14:textId="12D93FF1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BICVIS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58ECF606" w14:textId="3376BE4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15A7248A" w14:textId="6D6F107F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48318C3D" w14:textId="58D8BC64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8.05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2FDDCC4A" w14:textId="0DC023A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9.086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AF2FB56" w14:textId="1F251AB5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9.713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06A104E3" w14:textId="6D7E6572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A4528A4" w14:textId="2506C27F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102.86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7A3513E9" w14:textId="0F60543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BDD6EE" w:themeFill="accent5" w:themeFillTint="66"/>
            <w:vAlign w:val="bottom"/>
          </w:tcPr>
          <w:p w14:paraId="6149C6E8" w14:textId="7D8A64F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1.382</w:t>
            </w:r>
          </w:p>
        </w:tc>
        <w:tc>
          <w:tcPr>
            <w:tcW w:w="195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DD6EE" w:themeFill="accent5" w:themeFillTint="66"/>
          </w:tcPr>
          <w:p w14:paraId="4881AF25" w14:textId="381403C1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Racemic Form I</w:t>
            </w:r>
          </w:p>
        </w:tc>
      </w:tr>
      <w:tr w:rsidR="00D93AB6" w14:paraId="14565170" w14:textId="3228EFE4" w:rsidTr="00CE4FB1"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4DFA2C36" w14:textId="414F518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BICVIS01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4CDE7962" w14:textId="1AF7C27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0DE383FD" w14:textId="2DEC5D4C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6C4B3D26" w14:textId="5FC3EF12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8.046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1D75DC82" w14:textId="7AB763CC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9.081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4D992AE3" w14:textId="687C7647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9.711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080F2122" w14:textId="09D274A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4776C096" w14:textId="69D23C54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103.06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31C70CEA" w14:textId="4161408D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</w:tcBorders>
            <w:shd w:val="clear" w:color="auto" w:fill="BDD6EE" w:themeFill="accent5" w:themeFillTint="66"/>
            <w:vAlign w:val="bottom"/>
          </w:tcPr>
          <w:p w14:paraId="3C473F5B" w14:textId="4AF6397D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1.385</w:t>
            </w:r>
          </w:p>
        </w:tc>
        <w:tc>
          <w:tcPr>
            <w:tcW w:w="1956" w:type="dxa"/>
            <w:tcBorders>
              <w:top w:val="single" w:sz="24" w:space="0" w:color="auto"/>
            </w:tcBorders>
            <w:shd w:val="clear" w:color="auto" w:fill="BDD6EE" w:themeFill="accent5" w:themeFillTint="66"/>
          </w:tcPr>
          <w:p w14:paraId="6787C24F" w14:textId="618E2237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Racemic Form I</w:t>
            </w:r>
          </w:p>
        </w:tc>
      </w:tr>
      <w:tr w:rsidR="00D93AB6" w14:paraId="0B74FBBB" w14:textId="5E3651A6" w:rsidTr="00D93AB6">
        <w:tc>
          <w:tcPr>
            <w:tcW w:w="0" w:type="auto"/>
            <w:shd w:val="clear" w:color="auto" w:fill="BDD6EE" w:themeFill="accent5" w:themeFillTint="66"/>
            <w:vAlign w:val="bottom"/>
          </w:tcPr>
          <w:p w14:paraId="69FD970E" w14:textId="63084933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BICVIS02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44346B56" w14:textId="4FED0CB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A068B00" w14:textId="540E4EA7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80F40C9" w14:textId="43EC4C03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7.9754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C354B4A" w14:textId="5B2CE5C8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9.1391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039641C9" w14:textId="6478099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9.4798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36665EB6" w14:textId="6C13C655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104C49C8" w14:textId="4DAC8FB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106.551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9B73314" w14:textId="7012E5A7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shd w:val="clear" w:color="auto" w:fill="BDD6EE" w:themeFill="accent5" w:themeFillTint="66"/>
            <w:vAlign w:val="bottom"/>
          </w:tcPr>
          <w:p w14:paraId="642F73A9" w14:textId="20012704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1.445</w:t>
            </w:r>
          </w:p>
        </w:tc>
        <w:tc>
          <w:tcPr>
            <w:tcW w:w="1956" w:type="dxa"/>
            <w:shd w:val="clear" w:color="auto" w:fill="BDD6EE" w:themeFill="accent5" w:themeFillTint="66"/>
          </w:tcPr>
          <w:p w14:paraId="64E73E4B" w14:textId="75A4F732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Racemic Form I</w:t>
            </w:r>
          </w:p>
        </w:tc>
      </w:tr>
      <w:tr w:rsidR="00D93AB6" w14:paraId="671E5D4D" w14:textId="77777777" w:rsidTr="00D93AB6">
        <w:tc>
          <w:tcPr>
            <w:tcW w:w="0" w:type="auto"/>
            <w:shd w:val="clear" w:color="auto" w:fill="BDD6EE" w:themeFill="accent5" w:themeFillTint="66"/>
            <w:vAlign w:val="bottom"/>
          </w:tcPr>
          <w:p w14:paraId="59F57419" w14:textId="674274E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BICVIS03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3873D14D" w14:textId="7B8CBC4D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4E31583B" w14:textId="6120E11D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612A06E" w14:textId="4568FB36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8.0248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3A1835D" w14:textId="677A331C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9.0748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063953BE" w14:textId="5607B9F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9.71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604E420A" w14:textId="01766884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3548654E" w14:textId="3694486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103.122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35633BDA" w14:textId="71A95C1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shd w:val="clear" w:color="auto" w:fill="BDD6EE" w:themeFill="accent5" w:themeFillTint="66"/>
            <w:vAlign w:val="bottom"/>
          </w:tcPr>
          <w:p w14:paraId="3AFBDDDB" w14:textId="093F0C7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1.39</w:t>
            </w:r>
          </w:p>
        </w:tc>
        <w:tc>
          <w:tcPr>
            <w:tcW w:w="1956" w:type="dxa"/>
            <w:shd w:val="clear" w:color="auto" w:fill="BDD6EE" w:themeFill="accent5" w:themeFillTint="66"/>
          </w:tcPr>
          <w:p w14:paraId="6B7AF538" w14:textId="64A93074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Racemic Form I</w:t>
            </w:r>
          </w:p>
        </w:tc>
      </w:tr>
      <w:tr w:rsidR="00A2253E" w14:paraId="68C4419A" w14:textId="77777777" w:rsidTr="00D93AB6"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0D416EE" w14:textId="52CEF658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NAHNOZ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380848D" w14:textId="68CD6D2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1469D1C5" w14:textId="2BE058B1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AA11D0D" w14:textId="58B73FA3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9.329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51E45530" w14:textId="0911390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13.615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FA4E7A2" w14:textId="74C612E4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16.822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456F97C" w14:textId="6DCFA1FF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7ADD667" w14:textId="5186A68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306E46B" w14:textId="35AE67E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A759CC9" w14:textId="7ED3BB03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1.344</w:t>
            </w:r>
          </w:p>
        </w:tc>
        <w:tc>
          <w:tcPr>
            <w:tcW w:w="1956" w:type="dxa"/>
            <w:tcBorders>
              <w:bottom w:val="single" w:sz="24" w:space="0" w:color="auto"/>
            </w:tcBorders>
            <w:shd w:val="clear" w:color="auto" w:fill="FFE599" w:themeFill="accent4" w:themeFillTint="66"/>
          </w:tcPr>
          <w:p w14:paraId="7D0CA288" w14:textId="66CEEAE7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LL Form I</w:t>
            </w:r>
          </w:p>
        </w:tc>
      </w:tr>
      <w:tr w:rsidR="00A2253E" w14:paraId="0D02EE24" w14:textId="77777777" w:rsidTr="00D93AB6"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B4B1B1A" w14:textId="1BBA5C9A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NAHNOZ01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B5B9255" w14:textId="577F32D2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4309A836" w14:textId="45CD88F1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6486F795" w14:textId="790B598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9.2439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28D4F269" w14:textId="43771B16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13.467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C647379" w14:textId="4B5702EB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16.669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04AEADD2" w14:textId="6417C8BC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C4F01FE" w14:textId="7F7CCC8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3E0C49A9" w14:textId="71C051E1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  <w:bottom w:val="single" w:sz="24" w:space="0" w:color="auto"/>
            </w:tcBorders>
            <w:shd w:val="clear" w:color="auto" w:fill="FFE599" w:themeFill="accent4" w:themeFillTint="66"/>
            <w:vAlign w:val="bottom"/>
          </w:tcPr>
          <w:p w14:paraId="7872B0CF" w14:textId="7A120CF6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1.384</w:t>
            </w:r>
          </w:p>
        </w:tc>
        <w:tc>
          <w:tcPr>
            <w:tcW w:w="195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E599" w:themeFill="accent4" w:themeFillTint="66"/>
          </w:tcPr>
          <w:p w14:paraId="62F5DBED" w14:textId="73657C80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LL Form I</w:t>
            </w:r>
          </w:p>
        </w:tc>
      </w:tr>
      <w:tr w:rsidR="00A2253E" w14:paraId="798019B8" w14:textId="77777777" w:rsidTr="00D93AB6"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098C994" w14:textId="21882CAF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TOFTIV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079EA97" w14:textId="0026FE09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602962B2" w14:textId="72EC452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2EBC22B6" w14:textId="6D26F277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9.3208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28C7BC2" w14:textId="0A30B818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13.6137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62747A92" w14:textId="0A1323C0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16.8173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298F1C9E" w14:textId="1B4F249D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7249A140" w14:textId="463C66CA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DBC1BE0" w14:textId="16401F5D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90</w:t>
            </w:r>
          </w:p>
        </w:tc>
        <w:tc>
          <w:tcPr>
            <w:tcW w:w="898" w:type="dxa"/>
            <w:tcBorders>
              <w:top w:val="single" w:sz="24" w:space="0" w:color="auto"/>
            </w:tcBorders>
            <w:shd w:val="clear" w:color="auto" w:fill="FFE599" w:themeFill="accent4" w:themeFillTint="66"/>
            <w:vAlign w:val="bottom"/>
          </w:tcPr>
          <w:p w14:paraId="04860B2A" w14:textId="34FFED4E" w:rsidR="00A2253E" w:rsidRDefault="00A2253E" w:rsidP="00A2253E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1.346</w:t>
            </w:r>
          </w:p>
        </w:tc>
        <w:tc>
          <w:tcPr>
            <w:tcW w:w="1956" w:type="dxa"/>
            <w:tcBorders>
              <w:top w:val="single" w:sz="24" w:space="0" w:color="auto"/>
            </w:tcBorders>
            <w:shd w:val="clear" w:color="auto" w:fill="FFE599" w:themeFill="accent4" w:themeFillTint="66"/>
          </w:tcPr>
          <w:p w14:paraId="2566F2DF" w14:textId="18031462" w:rsidR="00A2253E" w:rsidRDefault="00A2253E" w:rsidP="00A225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DD Form I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1FEC01CE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D93AB6">
        <w:t>Lactide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116"/>
        <w:gridCol w:w="813"/>
        <w:gridCol w:w="578"/>
        <w:gridCol w:w="663"/>
        <w:gridCol w:w="6053"/>
      </w:tblGrid>
      <w:tr w:rsidR="00B93503" w14:paraId="00583F7B" w14:textId="775E891B" w:rsidTr="005825DC">
        <w:tc>
          <w:tcPr>
            <w:tcW w:w="0" w:type="auto"/>
          </w:tcPr>
          <w:p w14:paraId="7516CB56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5B5AC6" w:rsidRDefault="005B5AC6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B93503" w14:paraId="09C22672" w14:textId="2FADBC92" w:rsidTr="002C5B12">
        <w:tc>
          <w:tcPr>
            <w:tcW w:w="0" w:type="auto"/>
            <w:vAlign w:val="bottom"/>
          </w:tcPr>
          <w:p w14:paraId="54880E13" w14:textId="32035841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BEYDEO</w:t>
            </w:r>
          </w:p>
        </w:tc>
        <w:tc>
          <w:tcPr>
            <w:tcW w:w="0" w:type="auto"/>
            <w:vAlign w:val="bottom"/>
          </w:tcPr>
          <w:p w14:paraId="0290D82F" w14:textId="455D8B2E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768D7291" w14:textId="0407B899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8.9</w:t>
            </w:r>
          </w:p>
        </w:tc>
        <w:tc>
          <w:tcPr>
            <w:tcW w:w="0" w:type="auto"/>
            <w:vAlign w:val="bottom"/>
          </w:tcPr>
          <w:p w14:paraId="1260C821" w14:textId="3741783C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101</w:t>
            </w:r>
          </w:p>
        </w:tc>
        <w:tc>
          <w:tcPr>
            <w:tcW w:w="0" w:type="auto"/>
            <w:vAlign w:val="bottom"/>
          </w:tcPr>
          <w:p w14:paraId="5160D4F7" w14:textId="65AE678B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0" w:type="auto"/>
          </w:tcPr>
          <w:p w14:paraId="3727F56C" w14:textId="68A78A83" w:rsidR="00D93AB6" w:rsidRDefault="00B93503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mentioned.  The paper was about polymerization.  The sample was sublimed twice to purify it, but it was a single crystal that was measured.</w:t>
            </w:r>
          </w:p>
        </w:tc>
      </w:tr>
      <w:tr w:rsidR="00B93503" w14:paraId="1228351F" w14:textId="12FF010C" w:rsidTr="002C5B12">
        <w:tc>
          <w:tcPr>
            <w:tcW w:w="0" w:type="auto"/>
            <w:vAlign w:val="bottom"/>
          </w:tcPr>
          <w:p w14:paraId="78498CB3" w14:textId="30B14E2F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BEYDEO01</w:t>
            </w:r>
          </w:p>
        </w:tc>
        <w:tc>
          <w:tcPr>
            <w:tcW w:w="0" w:type="auto"/>
            <w:vAlign w:val="bottom"/>
          </w:tcPr>
          <w:p w14:paraId="38A7A315" w14:textId="1D113F30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2D02B01C" w14:textId="6EC71FDA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7.21</w:t>
            </w:r>
          </w:p>
        </w:tc>
        <w:tc>
          <w:tcPr>
            <w:tcW w:w="0" w:type="auto"/>
            <w:vAlign w:val="bottom"/>
          </w:tcPr>
          <w:p w14:paraId="291ABADC" w14:textId="681DDEA9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6FE357DB" w14:textId="5CF3EBF5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2009</w:t>
            </w:r>
          </w:p>
        </w:tc>
        <w:tc>
          <w:tcPr>
            <w:tcW w:w="0" w:type="auto"/>
          </w:tcPr>
          <w:p w14:paraId="5BD7EC32" w14:textId="09C2B791" w:rsidR="00D93AB6" w:rsidRDefault="00B93503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toluene/hexane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&lt;EndNote&gt;&lt;Cite&gt;&lt;Author&gt;Fedushkin&lt;/Author&gt;&lt;Year&gt;2009&lt;/Year&gt;&lt;IDText&gt;Magnesium(II) Complexes of the dpp-BIAN Radical-Anion: Synthesis, Molecular Structure, and Catalytic Activity in Lactide Polymerization&lt;/IDText&gt;&lt;DisplayText&gt;&lt;style face="superscript"&gt;1&lt;/style&gt;&lt;/DisplayText&gt;&lt;record&gt;&lt;urls&gt;&lt;related-urls&gt;&lt;url&gt;http://dx.doi.org/10.1002/ejic.200900710&lt;/url&gt;&lt;/related-urls&gt;&lt;/urls&gt;&lt;titles&gt;&lt;title&gt;Magnesium(II) Complexes of the dpp-BIAN Radical-Anion: Synthesis, Molecular Structure, and Catalytic Activity in Lactide Polymerization&lt;/title&gt;&lt;secondary-title&gt;European Journal of Inorganic Chemistry&lt;/secondary-title&gt;&lt;/titles&gt;&lt;pages&gt;4995-5003&lt;/pages&gt;&lt;number&gt;33&lt;/number&gt;&lt;contributors&gt;&lt;authors&gt;&lt;author&gt;Fedushkin, I. L.&lt;/author&gt;&lt;author&gt;Morozov, A. G.&lt;/author&gt;&lt;author&gt;Chudakova, V. A.&lt;/author&gt;&lt;author&gt;Fukin, G. K.&lt;/author&gt;&lt;author&gt;Cherkasov, V. K.&lt;/author&gt;&lt;/authors&gt;&lt;/contributors&gt;&lt;reprint-edition&gt;NOT IN FILE&lt;/reprint-edition&gt;&lt;added-date format="utc"&gt;1399987332&lt;/added-date&gt;&lt;ref-type name="Journal Article"&gt;17&lt;/ref-type&gt;&lt;dates&gt;&lt;year&gt;2009&lt;/year&gt;&lt;/dates&gt;&lt;rec-number&gt;5285&lt;/rec-number&gt;&lt;last-updated-date format="utc"&gt;1462451874&lt;/last-updated-date&gt;&lt;volume&gt;2009&lt;/volume&gt;&lt;/record&gt;&lt;/Cite&gt;&lt;/EndNote&gt;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93503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B93503" w14:paraId="650E684B" w14:textId="058D14E8" w:rsidTr="002C5B12">
        <w:tc>
          <w:tcPr>
            <w:tcW w:w="0" w:type="auto"/>
            <w:vAlign w:val="bottom"/>
          </w:tcPr>
          <w:p w14:paraId="2B8AAD98" w14:textId="39B1CD4F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BICVIS</w:t>
            </w:r>
          </w:p>
        </w:tc>
        <w:tc>
          <w:tcPr>
            <w:tcW w:w="0" w:type="auto"/>
            <w:vAlign w:val="bottom"/>
          </w:tcPr>
          <w:p w14:paraId="02327711" w14:textId="751E245E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18FF08B1" w14:textId="14B00BCB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3.8</w:t>
            </w:r>
          </w:p>
        </w:tc>
        <w:tc>
          <w:tcPr>
            <w:tcW w:w="0" w:type="auto"/>
            <w:vAlign w:val="bottom"/>
          </w:tcPr>
          <w:p w14:paraId="0DFAEED6" w14:textId="40C132E7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6027F6D3" w14:textId="4ECA9EAF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1982</w:t>
            </w:r>
          </w:p>
        </w:tc>
        <w:tc>
          <w:tcPr>
            <w:tcW w:w="0" w:type="auto"/>
          </w:tcPr>
          <w:p w14:paraId="1067BA7D" w14:textId="0376BFED" w:rsidR="00D93AB6" w:rsidRDefault="00B93503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dry ether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&lt;EndNote&gt;&lt;Cite&gt;&lt;Author&gt;van Hummel&lt;/Author&gt;&lt;Year&gt;1982&lt;/Year&gt;&lt;IDText&gt;Structure of 3,6-dimethyl-1,4-dioxane-2,5-dione [d-,d-(l-,l-)lactide]&lt;/IDText&gt;&lt;DisplayText&gt;&lt;style face="superscript"&gt;2&lt;/style&gt;&lt;/DisplayText&gt;&lt;record&gt;&lt;urls&gt;&lt;related-urls&gt;&lt;url&gt;http://dx.doi.org/10.1107/S0567740882006840&lt;/url&gt;&lt;/related-urls&gt;&lt;/urls&gt;&lt;titles&gt;&lt;title&gt;Structure of 3,6-dimethyl-1,4-dioxane-2,5-dione [d-,d-(l-,l-)lactide]&lt;/title&gt;&lt;secondary-title&gt;Acta Crystallographica Section B&lt;/secondary-title&gt;&lt;/titles&gt;&lt;pages&gt;1679-1681&lt;/pages&gt;&lt;number&gt;5&lt;/number&gt;&lt;contributors&gt;&lt;authors&gt;&lt;author&gt;van Hummel, G. J.&lt;/author&gt;&lt;author&gt;Harkema, S.&lt;/author&gt;&lt;author&gt;Kohn, F. E.&lt;/author&gt;&lt;author&gt;Feijen, J.&lt;/author&gt;&lt;/authors&gt;&lt;/contributors&gt;&lt;reprint-edition&gt;NOT IN FILE&lt;/reprint-edition&gt;&lt;added-date format="utc"&gt;1399987332&lt;/added-date&gt;&lt;ref-type name="Journal Article"&gt;17&lt;/ref-type&gt;&lt;dates&gt;&lt;year&gt;1982&lt;/year&gt;&lt;/dates&gt;&lt;rec-number&gt;5284&lt;/rec-number&gt;&lt;last-updated-date format="utc"&gt;1399987332&lt;/last-updated-date&gt;&lt;electronic-resource-num&gt;10.1107/S0567740882006840&lt;/electronic-resource-num&gt;&lt;volume&gt;38&lt;/volume&gt;&lt;/record&gt;&lt;/Cite&gt;&lt;/EndNote&gt;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93503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B93503" w14:paraId="31028B3A" w14:textId="77777777" w:rsidTr="002C5B12">
        <w:tc>
          <w:tcPr>
            <w:tcW w:w="0" w:type="auto"/>
            <w:vAlign w:val="bottom"/>
          </w:tcPr>
          <w:p w14:paraId="07A4CF0D" w14:textId="20660DBB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BICVIS01</w:t>
            </w:r>
          </w:p>
        </w:tc>
        <w:tc>
          <w:tcPr>
            <w:tcW w:w="0" w:type="auto"/>
            <w:vAlign w:val="bottom"/>
          </w:tcPr>
          <w:p w14:paraId="58A7E868" w14:textId="062981D9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3C8BD0F2" w14:textId="4E368673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4.89</w:t>
            </w:r>
          </w:p>
        </w:tc>
        <w:tc>
          <w:tcPr>
            <w:tcW w:w="0" w:type="auto"/>
            <w:vAlign w:val="bottom"/>
          </w:tcPr>
          <w:p w14:paraId="5ADBB4B8" w14:textId="1CD0D2AE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39B0EAC2" w14:textId="122F1C14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1997</w:t>
            </w:r>
          </w:p>
        </w:tc>
        <w:tc>
          <w:tcPr>
            <w:tcW w:w="0" w:type="auto"/>
          </w:tcPr>
          <w:p w14:paraId="532AEE3D" w14:textId="5D42037C" w:rsidR="00D93AB6" w:rsidRDefault="00B93503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online</w:t>
            </w:r>
          </w:p>
        </w:tc>
      </w:tr>
      <w:tr w:rsidR="00B93503" w14:paraId="0AF9B453" w14:textId="77777777" w:rsidTr="002C5B12">
        <w:tc>
          <w:tcPr>
            <w:tcW w:w="0" w:type="auto"/>
            <w:vAlign w:val="bottom"/>
          </w:tcPr>
          <w:p w14:paraId="05EB1792" w14:textId="01671D2E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BICVIS02</w:t>
            </w:r>
          </w:p>
        </w:tc>
        <w:tc>
          <w:tcPr>
            <w:tcW w:w="0" w:type="auto"/>
            <w:vAlign w:val="bottom"/>
          </w:tcPr>
          <w:p w14:paraId="26F3FDC1" w14:textId="6BD71BCA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795A940D" w14:textId="3454EDF4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3.9</w:t>
            </w:r>
          </w:p>
        </w:tc>
        <w:tc>
          <w:tcPr>
            <w:tcW w:w="0" w:type="auto"/>
            <w:vAlign w:val="bottom"/>
          </w:tcPr>
          <w:p w14:paraId="22EEA6BE" w14:textId="39397671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387F8FC8" w14:textId="6C81ADDB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2009</w:t>
            </w:r>
          </w:p>
        </w:tc>
        <w:tc>
          <w:tcPr>
            <w:tcW w:w="0" w:type="auto"/>
          </w:tcPr>
          <w:p w14:paraId="10BBAD72" w14:textId="63A7C07F" w:rsidR="00D93AB6" w:rsidRDefault="00B93503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Recrystallization from diethylether</w:t>
            </w:r>
            <w:r>
              <w:rPr>
                <w:rFonts w:ascii="Calibri" w:hAnsi="Calibri" w:cs="Calibri"/>
                <w:color w:val="000000"/>
              </w:rPr>
              <w:fldChar w:fldCharType="begin"/>
            </w:r>
            <w:r>
              <w:rPr>
                <w:rFonts w:ascii="Calibri" w:hAnsi="Calibri" w:cs="Calibri"/>
                <w:color w:val="000000"/>
              </w:rPr>
              <w:instrText xml:space="preserve"> ADDIN EN.CITE &lt;EndNote&gt;&lt;Cite&gt;&lt;Author&gt;Fedushkin&lt;/Author&gt;&lt;Year&gt;2009&lt;/Year&gt;&lt;IDText&gt;Magnesium(II) Complexes of the dpp-BIAN Radical-Anion: Synthesis, Molecular Structure, and Catalytic Activity in Lactide Polymerization&lt;/IDText&gt;&lt;DisplayText&gt;&lt;style face="superscript"&gt;1&lt;/style&gt;&lt;/DisplayText&gt;&lt;record&gt;&lt;urls&gt;&lt;related-urls&gt;&lt;url&gt;http://dx.doi.org/10.1002/ejic.200900710&lt;/url&gt;&lt;/related-urls&gt;&lt;/urls&gt;&lt;titles&gt;&lt;title&gt;Magnesium(II) Complexes of the dpp-BIAN Radical-Anion: Synthesis, Molecular Structure, and Catalytic Activity in Lactide Polymerization&lt;/title&gt;&lt;secondary-title&gt;European Journal of Inorganic Chemistry&lt;/secondary-title&gt;&lt;/titles&gt;&lt;pages&gt;4995-5003&lt;/pages&gt;&lt;number&gt;33&lt;/number&gt;&lt;contributors&gt;&lt;authors&gt;&lt;author&gt;Fedushkin, I. L.&lt;/author&gt;&lt;author&gt;Morozov, A. G.&lt;/author&gt;&lt;author&gt;Chudakova, V. A.&lt;/author&gt;&lt;author&gt;Fukin, G. K.&lt;/author&gt;&lt;author&gt;Cherkasov, V. K.&lt;/author&gt;&lt;/authors&gt;&lt;/contributors&gt;&lt;reprint-edition&gt;NOT IN FILE&lt;/reprint-edition&gt;&lt;added-date format="utc"&gt;1399987332&lt;/added-date&gt;&lt;ref-type name="Journal Article"&gt;17&lt;/ref-type&gt;&lt;dates&gt;&lt;year&gt;2009&lt;/year&gt;&lt;/dates&gt;&lt;rec-number&gt;5285&lt;/rec-number&gt;&lt;last-updated-date format="utc"&gt;1462451874&lt;/last-updated-date&gt;&lt;volume&gt;2009&lt;/volume&gt;&lt;/record&gt;&lt;/Cite&gt;&lt;/EndNote&gt;</w:instrText>
            </w:r>
            <w:r>
              <w:rPr>
                <w:rFonts w:ascii="Calibri" w:hAnsi="Calibri" w:cs="Calibri"/>
                <w:color w:val="000000"/>
              </w:rPr>
              <w:fldChar w:fldCharType="separate"/>
            </w:r>
            <w:r w:rsidRPr="00B93503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B93503" w14:paraId="77EBA66A" w14:textId="77777777" w:rsidTr="002C5B12">
        <w:tc>
          <w:tcPr>
            <w:tcW w:w="0" w:type="auto"/>
            <w:vAlign w:val="bottom"/>
          </w:tcPr>
          <w:p w14:paraId="670E5C56" w14:textId="3652096C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BICVIS03</w:t>
            </w:r>
          </w:p>
        </w:tc>
        <w:tc>
          <w:tcPr>
            <w:tcW w:w="0" w:type="auto"/>
            <w:vAlign w:val="bottom"/>
          </w:tcPr>
          <w:p w14:paraId="2CF949C0" w14:textId="04404EFA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P21/c</w:t>
            </w:r>
          </w:p>
        </w:tc>
        <w:tc>
          <w:tcPr>
            <w:tcW w:w="0" w:type="auto"/>
            <w:vAlign w:val="bottom"/>
          </w:tcPr>
          <w:p w14:paraId="728F23E9" w14:textId="45F79E79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6.25</w:t>
            </w:r>
          </w:p>
        </w:tc>
        <w:tc>
          <w:tcPr>
            <w:tcW w:w="0" w:type="auto"/>
            <w:vAlign w:val="bottom"/>
          </w:tcPr>
          <w:p w14:paraId="7861A7B0" w14:textId="478761CC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556B097E" w14:textId="2FBFA0C8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2024</w:t>
            </w:r>
          </w:p>
        </w:tc>
        <w:tc>
          <w:tcPr>
            <w:tcW w:w="0" w:type="auto"/>
          </w:tcPr>
          <w:p w14:paraId="0657F8AD" w14:textId="219CADC9" w:rsidR="00D93AB6" w:rsidRDefault="00DE08A0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mentioned.  Another paper on polymerization.</w:t>
            </w:r>
          </w:p>
        </w:tc>
      </w:tr>
      <w:tr w:rsidR="00B93503" w14:paraId="2F969AA7" w14:textId="77777777" w:rsidTr="002C5B12">
        <w:tc>
          <w:tcPr>
            <w:tcW w:w="0" w:type="auto"/>
            <w:vAlign w:val="bottom"/>
          </w:tcPr>
          <w:p w14:paraId="176BBB81" w14:textId="32227F06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NAHNOZ</w:t>
            </w:r>
          </w:p>
        </w:tc>
        <w:tc>
          <w:tcPr>
            <w:tcW w:w="0" w:type="auto"/>
            <w:vAlign w:val="bottom"/>
          </w:tcPr>
          <w:p w14:paraId="1B04EF40" w14:textId="706FD77A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275B243F" w14:textId="6587F20B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2.61</w:t>
            </w:r>
          </w:p>
        </w:tc>
        <w:tc>
          <w:tcPr>
            <w:tcW w:w="0" w:type="auto"/>
            <w:vAlign w:val="bottom"/>
          </w:tcPr>
          <w:p w14:paraId="6E8A4EFD" w14:textId="2B5D8496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295</w:t>
            </w:r>
          </w:p>
        </w:tc>
        <w:tc>
          <w:tcPr>
            <w:tcW w:w="0" w:type="auto"/>
            <w:vAlign w:val="bottom"/>
          </w:tcPr>
          <w:p w14:paraId="4B053266" w14:textId="3DB43A3F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1997</w:t>
            </w:r>
          </w:p>
        </w:tc>
        <w:tc>
          <w:tcPr>
            <w:tcW w:w="0" w:type="auto"/>
          </w:tcPr>
          <w:p w14:paraId="216B61E0" w14:textId="60478E3E" w:rsidR="00D93AB6" w:rsidRDefault="00DE08A0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online</w:t>
            </w:r>
          </w:p>
        </w:tc>
      </w:tr>
      <w:tr w:rsidR="00B93503" w14:paraId="6656CF8E" w14:textId="7669F558" w:rsidTr="002C5B12">
        <w:tc>
          <w:tcPr>
            <w:tcW w:w="0" w:type="auto"/>
            <w:vAlign w:val="bottom"/>
          </w:tcPr>
          <w:p w14:paraId="74C3EA06" w14:textId="0DAA5C68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NAHNOZ01</w:t>
            </w:r>
          </w:p>
        </w:tc>
        <w:tc>
          <w:tcPr>
            <w:tcW w:w="0" w:type="auto"/>
            <w:vAlign w:val="bottom"/>
          </w:tcPr>
          <w:p w14:paraId="1AF5E4CA" w14:textId="5BA7C9A3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2B398A26" w14:textId="462B4EDD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2.57</w:t>
            </w:r>
          </w:p>
        </w:tc>
        <w:tc>
          <w:tcPr>
            <w:tcW w:w="0" w:type="auto"/>
            <w:vAlign w:val="bottom"/>
          </w:tcPr>
          <w:p w14:paraId="6D9F4D06" w14:textId="067D552C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150</w:t>
            </w:r>
          </w:p>
        </w:tc>
        <w:tc>
          <w:tcPr>
            <w:tcW w:w="0" w:type="auto"/>
            <w:vAlign w:val="bottom"/>
          </w:tcPr>
          <w:p w14:paraId="22933DB8" w14:textId="11392725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2005</w:t>
            </w:r>
          </w:p>
        </w:tc>
        <w:tc>
          <w:tcPr>
            <w:tcW w:w="0" w:type="auto"/>
          </w:tcPr>
          <w:p w14:paraId="59F62A0D" w14:textId="459EA06A" w:rsidR="00D93AB6" w:rsidRDefault="00DE08A0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</w:tr>
      <w:tr w:rsidR="00B93503" w14:paraId="45FA6332" w14:textId="53B822F1" w:rsidTr="002C5B12">
        <w:tc>
          <w:tcPr>
            <w:tcW w:w="0" w:type="auto"/>
            <w:vAlign w:val="bottom"/>
          </w:tcPr>
          <w:p w14:paraId="2B6560F1" w14:textId="4EEF5379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TOFTIV</w:t>
            </w:r>
          </w:p>
        </w:tc>
        <w:tc>
          <w:tcPr>
            <w:tcW w:w="0" w:type="auto"/>
            <w:vAlign w:val="bottom"/>
          </w:tcPr>
          <w:p w14:paraId="6B44B5AB" w14:textId="4E6219F4" w:rsidR="00D93AB6" w:rsidRDefault="00D93AB6" w:rsidP="00D93AB6">
            <w:pPr>
              <w:rPr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P212121</w:t>
            </w:r>
          </w:p>
        </w:tc>
        <w:tc>
          <w:tcPr>
            <w:tcW w:w="0" w:type="auto"/>
            <w:vAlign w:val="bottom"/>
          </w:tcPr>
          <w:p w14:paraId="105D1E18" w14:textId="589F65B8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6.89</w:t>
            </w:r>
          </w:p>
        </w:tc>
        <w:tc>
          <w:tcPr>
            <w:tcW w:w="0" w:type="auto"/>
            <w:vAlign w:val="bottom"/>
          </w:tcPr>
          <w:p w14:paraId="1D306745" w14:textId="760E3548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293</w:t>
            </w:r>
          </w:p>
        </w:tc>
        <w:tc>
          <w:tcPr>
            <w:tcW w:w="0" w:type="auto"/>
            <w:vAlign w:val="bottom"/>
          </w:tcPr>
          <w:p w14:paraId="4FE4ECE9" w14:textId="1A1F0B83" w:rsidR="00D93AB6" w:rsidRDefault="00D93AB6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2024</w:t>
            </w:r>
          </w:p>
        </w:tc>
        <w:tc>
          <w:tcPr>
            <w:tcW w:w="0" w:type="auto"/>
          </w:tcPr>
          <w:p w14:paraId="5A2158CE" w14:textId="6C77738E" w:rsidR="00D93AB6" w:rsidRDefault="00DE08A0" w:rsidP="00D93A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mentioned.  Another paper on polymerization.</w:t>
            </w:r>
          </w:p>
        </w:tc>
      </w:tr>
    </w:tbl>
    <w:p w14:paraId="56DE86EE" w14:textId="16F2AA42" w:rsidR="005B5AC6" w:rsidRDefault="005B5AC6" w:rsidP="005B5AC6"/>
    <w:p w14:paraId="331F97D4" w14:textId="6BE31F25" w:rsidR="00D93AB6" w:rsidRDefault="00D93AB6" w:rsidP="005B5AC6">
      <w:r>
        <w:t xml:space="preserve">BICVIS02 does not overlay very well with the other determinations of this structure.  </w:t>
      </w:r>
      <w:r w:rsidR="00684902">
        <w:t>Both BICVIS and BICVIS02 were checked against structures, and the former found to match better.  This was used as the reference.</w:t>
      </w:r>
    </w:p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ECEA21" w14:textId="77777777" w:rsidR="00094CBE" w:rsidRPr="00094CBE" w:rsidRDefault="00094CBE" w:rsidP="00094CBE">
      <w:pPr>
        <w:rPr>
          <w:lang w:val="en-US"/>
        </w:rPr>
      </w:pPr>
    </w:p>
    <w:p w14:paraId="08A6A4FE" w14:textId="77777777" w:rsidR="00B93503" w:rsidRDefault="00B93503" w:rsidP="005878AA">
      <w:pPr>
        <w:rPr>
          <w:lang w:val="en-US"/>
        </w:rPr>
      </w:pPr>
    </w:p>
    <w:p w14:paraId="30F91AA3" w14:textId="77777777" w:rsidR="00B93503" w:rsidRDefault="00B93503" w:rsidP="005878AA">
      <w:pPr>
        <w:rPr>
          <w:lang w:val="en-US"/>
        </w:rPr>
      </w:pPr>
    </w:p>
    <w:p w14:paraId="556C5860" w14:textId="77777777" w:rsidR="00B93503" w:rsidRPr="00B93503" w:rsidRDefault="00B93503" w:rsidP="00B93503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93503">
        <w:t xml:space="preserve">(1) Fedushkin, I. L.; Morozov, A. G.; Chudakova, V. A.; Fukin, G. K.; Cherkasov, V. K. Magnesium(II) Complexes of the dpp-BIAN Radical-Anion: Synthesis, Molecular Structure, and Catalytic Activity in Lactide Polymerization. </w:t>
      </w:r>
      <w:r w:rsidRPr="00B93503">
        <w:rPr>
          <w:i/>
        </w:rPr>
        <w:t xml:space="preserve">European Journal of Inorganic Chemistry </w:t>
      </w:r>
      <w:r w:rsidRPr="00B93503">
        <w:rPr>
          <w:b/>
        </w:rPr>
        <w:t>2009</w:t>
      </w:r>
      <w:r w:rsidRPr="00B93503">
        <w:t xml:space="preserve">, </w:t>
      </w:r>
      <w:r w:rsidRPr="00B93503">
        <w:rPr>
          <w:i/>
        </w:rPr>
        <w:t>2009</w:t>
      </w:r>
      <w:r w:rsidRPr="00B93503">
        <w:t xml:space="preserve"> (33), 4995-5003.</w:t>
      </w:r>
    </w:p>
    <w:p w14:paraId="76C8606D" w14:textId="77777777" w:rsidR="00B93503" w:rsidRPr="00B93503" w:rsidRDefault="00B93503" w:rsidP="00B93503">
      <w:pPr>
        <w:pStyle w:val="EndNoteBibliography"/>
      </w:pPr>
      <w:r w:rsidRPr="00B93503">
        <w:t xml:space="preserve">(2) van Hummel, G. J.; Harkema, S.; Kohn, F. E.; Feijen, J. Structure of 3,6-dimethyl-1,4-dioxane-2,5-dione [d-,d-(l-,l-)lactide]. </w:t>
      </w:r>
      <w:r w:rsidRPr="00B93503">
        <w:rPr>
          <w:i/>
        </w:rPr>
        <w:t xml:space="preserve">Acta Crystallographica Section B </w:t>
      </w:r>
      <w:r w:rsidRPr="00B93503">
        <w:rPr>
          <w:b/>
        </w:rPr>
        <w:t>1982</w:t>
      </w:r>
      <w:r w:rsidRPr="00B93503">
        <w:t xml:space="preserve">, </w:t>
      </w:r>
      <w:r w:rsidRPr="00B93503">
        <w:rPr>
          <w:i/>
        </w:rPr>
        <w:t>38</w:t>
      </w:r>
      <w:r w:rsidRPr="00B93503">
        <w:t xml:space="preserve"> (5), 1679-1681. DOI: 10.1107/S0567740882006840.</w:t>
      </w:r>
    </w:p>
    <w:p w14:paraId="08580BC1" w14:textId="39651AF8" w:rsidR="005878AA" w:rsidRPr="005878AA" w:rsidRDefault="00B93503" w:rsidP="005878AA">
      <w:pPr>
        <w:rPr>
          <w:lang w:val="en-US"/>
        </w:rPr>
      </w:pPr>
      <w:r>
        <w:rPr>
          <w:lang w:val="en-US"/>
        </w:rPr>
        <w:fldChar w:fldCharType="end"/>
      </w:r>
    </w:p>
    <w:sectPr w:rsidR="005878AA" w:rsidRPr="005878AA" w:rsidSect="00F85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C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4CBE"/>
    <w:rsid w:val="000D7232"/>
    <w:rsid w:val="00191924"/>
    <w:rsid w:val="001A3932"/>
    <w:rsid w:val="0023595C"/>
    <w:rsid w:val="003C5B33"/>
    <w:rsid w:val="00501FB9"/>
    <w:rsid w:val="005023C9"/>
    <w:rsid w:val="00544784"/>
    <w:rsid w:val="005825DC"/>
    <w:rsid w:val="005878AA"/>
    <w:rsid w:val="005A2716"/>
    <w:rsid w:val="005B5AC6"/>
    <w:rsid w:val="00634218"/>
    <w:rsid w:val="00684902"/>
    <w:rsid w:val="0069766E"/>
    <w:rsid w:val="006D01D9"/>
    <w:rsid w:val="00874C05"/>
    <w:rsid w:val="00887C15"/>
    <w:rsid w:val="00927165"/>
    <w:rsid w:val="009B60A8"/>
    <w:rsid w:val="00A2253E"/>
    <w:rsid w:val="00A657FE"/>
    <w:rsid w:val="00A82E93"/>
    <w:rsid w:val="00AB7D98"/>
    <w:rsid w:val="00B21E4D"/>
    <w:rsid w:val="00B93503"/>
    <w:rsid w:val="00CE4FB1"/>
    <w:rsid w:val="00D05024"/>
    <w:rsid w:val="00D4221C"/>
    <w:rsid w:val="00D72C06"/>
    <w:rsid w:val="00D93AB6"/>
    <w:rsid w:val="00DE08A0"/>
    <w:rsid w:val="00E40068"/>
    <w:rsid w:val="00ED6E6D"/>
    <w:rsid w:val="00F12F5B"/>
    <w:rsid w:val="00F8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9350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3503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9350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93503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4</cp:revision>
  <dcterms:created xsi:type="dcterms:W3CDTF">2025-03-24T18:23:00Z</dcterms:created>
  <dcterms:modified xsi:type="dcterms:W3CDTF">2025-04-03T14:33:00Z</dcterms:modified>
</cp:coreProperties>
</file>