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19E1674A" w:rsidR="00E40068" w:rsidRDefault="008C53C4" w:rsidP="00D4221C">
      <w:pPr>
        <w:pStyle w:val="Title"/>
        <w:rPr>
          <w:lang w:val="en-US"/>
        </w:rPr>
      </w:pPr>
      <w:r>
        <w:rPr>
          <w:lang w:val="en-US"/>
        </w:rPr>
        <w:t>Trinitrobenzene</w:t>
      </w:r>
    </w:p>
    <w:p w14:paraId="0622A8AA" w14:textId="33DDCD79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C54D10">
        <w:rPr>
          <w:lang w:val="en-US"/>
        </w:rPr>
        <w:t>17 December 2024</w:t>
      </w:r>
      <w:r>
        <w:rPr>
          <w:lang w:val="en-US"/>
        </w:rPr>
        <w:t>)</w:t>
      </w:r>
    </w:p>
    <w:p w14:paraId="36C236EE" w14:textId="23581A82" w:rsidR="00D4221C" w:rsidRDefault="00C54D10" w:rsidP="00D4221C">
      <w:pPr>
        <w:rPr>
          <w:lang w:val="en-US"/>
        </w:rPr>
      </w:pPr>
      <w:r>
        <w:object w:dxaOrig="2220" w:dyaOrig="2025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101.25pt" o:ole="">
            <v:imagedata r:id="rId6" o:title=""/>
          </v:shape>
          <o:OLEObject Type="Embed" ProgID="ACD.ChemSketch.20" ShapeID="_x0000_i1025" DrawAspect="Content" ObjectID="_1798293071" r:id="rId7"/>
        </w:object>
      </w:r>
    </w:p>
    <w:p w14:paraId="5B1AA517" w14:textId="425D6EC4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FA4755">
        <w:t>trinitrobenzene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p w14:paraId="2D64244B" w14:textId="64C0F2BB" w:rsidR="00D4221C" w:rsidRDefault="008811C4" w:rsidP="00D4221C">
      <w:pPr>
        <w:rPr>
          <w:lang w:val="en-US"/>
        </w:rPr>
      </w:pPr>
      <w:r>
        <w:rPr>
          <w:lang w:val="en-US"/>
        </w:rPr>
        <w:t>A lot of the stored crystal structures are bad structures, with molecules too close to symmetry elements and clashing.  Since there are 180 problematic structures, these have been</w:t>
      </w:r>
      <w:r w:rsidR="00E852A2">
        <w:rPr>
          <w:lang w:val="en-US"/>
        </w:rPr>
        <w:t xml:space="preserve"> ignored rather than manually checked.</w:t>
      </w:r>
    </w:p>
    <w:p w14:paraId="2B27EA59" w14:textId="45EA81C7" w:rsidR="00E852A2" w:rsidRDefault="00E852A2" w:rsidP="00D4221C">
      <w:pPr>
        <w:rPr>
          <w:lang w:val="en-US"/>
        </w:rPr>
      </w:pPr>
      <w:r>
        <w:rPr>
          <w:lang w:val="en-US"/>
        </w:rPr>
        <w:t>A total of 1</w:t>
      </w:r>
      <w:r w:rsidR="006C2439">
        <w:rPr>
          <w:lang w:val="en-US"/>
        </w:rPr>
        <w:t>35</w:t>
      </w:r>
      <w:r>
        <w:rPr>
          <w:lang w:val="en-US"/>
        </w:rPr>
        <w:t xml:space="preserve"> structures matched form III across the </w:t>
      </w:r>
      <w:r w:rsidR="006C2439">
        <w:rPr>
          <w:lang w:val="en-US"/>
        </w:rPr>
        <w:t>9</w:t>
      </w:r>
      <w:r>
        <w:rPr>
          <w:lang w:val="en-US"/>
        </w:rPr>
        <w:t xml:space="preserve"> searches.</w:t>
      </w:r>
      <w:r w:rsidR="006C2439">
        <w:rPr>
          <w:lang w:val="en-US"/>
        </w:rPr>
        <w:t xml:space="preserve">  Matches to forms I and II could only be achieved by increasing the tolerances in Compack.</w:t>
      </w:r>
    </w:p>
    <w:p w14:paraId="51132A2E" w14:textId="79703EAE" w:rsidR="00557385" w:rsidRDefault="00557385" w:rsidP="00D4221C">
      <w:pPr>
        <w:rPr>
          <w:lang w:val="en-US"/>
        </w:rPr>
      </w:pPr>
      <w:r>
        <w:rPr>
          <w:lang w:val="en-US"/>
        </w:rPr>
        <w:t>For all searches, a single CrystalPredictor search was carried out, followed by DMACRYS optimization with the appropriate potential.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7742"/>
      </w:tblGrid>
      <w:tr w:rsidR="005C7854" w:rsidRPr="00557385" w14:paraId="1DD5984D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FA81C69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7742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F56BE76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TNBENZ</w:t>
            </w:r>
          </w:p>
        </w:tc>
      </w:tr>
      <w:tr w:rsidR="005C7854" w:rsidRPr="00557385" w14:paraId="042D8718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64076E0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7742" w:type="dxa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21D2BFF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C6 H3 N3 O6</w:t>
            </w:r>
          </w:p>
        </w:tc>
      </w:tr>
      <w:tr w:rsidR="005C7854" w:rsidRPr="00557385" w14:paraId="5ED421CC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2D5337D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7742" w:type="dxa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8250240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Trinitrobenzene</w:t>
            </w:r>
          </w:p>
        </w:tc>
      </w:tr>
      <w:tr w:rsidR="005C7854" w:rsidRPr="00557385" w14:paraId="70FA31E7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B217311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7742" w:type="dxa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D48127E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1,3,5-trinitrobenzene</w:t>
            </w:r>
          </w:p>
        </w:tc>
      </w:tr>
      <w:tr w:rsidR="005C7854" w:rsidRPr="00557385" w14:paraId="67B3D353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7D276B7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CSD Refcodes</w:t>
            </w:r>
          </w:p>
        </w:tc>
        <w:tc>
          <w:tcPr>
            <w:tcW w:w="7742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021472A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TNBENZ11, TNBENZ12, TNBENZ13</w:t>
            </w:r>
          </w:p>
        </w:tc>
      </w:tr>
      <w:tr w:rsidR="00557385" w:rsidRPr="00557385" w14:paraId="1C92F7CE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auto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40B19A6E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7742" w:type="dxa"/>
            <w:tcBorders>
              <w:top w:val="single" w:sz="24" w:space="0" w:color="auto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787E33B7" w14:textId="7777777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557385" w:rsidRPr="00557385" w14:paraId="47EF1BF6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46A3115" w14:textId="095416EB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7742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8E9AF19" w14:textId="79FFE83F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5C7854" w:rsidRPr="00557385" w14:paraId="4F46119F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2DD0BB80" w14:textId="77777777" w:rsidR="00557385" w:rsidRPr="00557385" w:rsidRDefault="00557385" w:rsidP="00103E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3BB5FA09" w14:textId="77777777" w:rsidR="00557385" w:rsidRPr="00557385" w:rsidRDefault="00557385" w:rsidP="00103E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Alex Aina</w:t>
            </w:r>
          </w:p>
        </w:tc>
      </w:tr>
      <w:tr w:rsidR="005C7854" w:rsidRPr="00557385" w14:paraId="43658702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E1EDF3F" w14:textId="77777777" w:rsidR="00557385" w:rsidRPr="00557385" w:rsidRDefault="00557385" w:rsidP="00103E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11674F9A" w14:textId="77777777" w:rsidR="00557385" w:rsidRPr="00557385" w:rsidRDefault="00557385" w:rsidP="00103E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2020</w:t>
            </w:r>
          </w:p>
        </w:tc>
      </w:tr>
      <w:tr w:rsidR="005C7854" w:rsidRPr="00557385" w14:paraId="0FE5A1C7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28F93D2E" w14:textId="77777777" w:rsidR="00557385" w:rsidRPr="00557385" w:rsidRDefault="00557385" w:rsidP="00103E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7CACE54C" w14:textId="77777777" w:rsidR="00557385" w:rsidRPr="00557385" w:rsidRDefault="00557385" w:rsidP="00103E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Aina AA, Misquitta, AJ, Price SL, J Chem Phys 2021, 154(9) 094123</w:t>
            </w:r>
          </w:p>
        </w:tc>
      </w:tr>
      <w:tr w:rsidR="00557385" w:rsidRPr="00557385" w14:paraId="63EFD058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0698F577" w14:textId="77777777" w:rsidR="00557385" w:rsidRPr="00557385" w:rsidRDefault="00557385" w:rsidP="00103E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7742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350D8D3B" w14:textId="77777777" w:rsidR="00557385" w:rsidRPr="00557385" w:rsidRDefault="00557385" w:rsidP="00103E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Rigid CrystalPredictor (2.0.1), DMACRYS (2.2.1.1)</w:t>
            </w:r>
          </w:p>
        </w:tc>
      </w:tr>
      <w:tr w:rsidR="00557385" w:rsidRPr="00557385" w14:paraId="5E2A6B0D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2948DF6" w14:textId="740BAD59" w:rsid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742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816CFB0" w14:textId="7F0625B8" w:rsid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5C7854" w:rsidRPr="00557385" w14:paraId="5971D2F5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545A66F2" w14:textId="77777777" w:rsidR="00557385" w:rsidRPr="00557385" w:rsidRDefault="00557385" w:rsidP="00103E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2B2C3173" w14:textId="77777777" w:rsidR="00557385" w:rsidRPr="00557385" w:rsidRDefault="00557385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</w:t>
            </w:r>
          </w:p>
        </w:tc>
      </w:tr>
      <w:tr w:rsidR="00557385" w:rsidRPr="00557385" w14:paraId="79127689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E44FEF2" w14:textId="75184DF6" w:rsid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7F55032" w14:textId="4073BE85" w:rsid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\CHEMISTRY_CPOSS\Trinitrobenzene\DIFF</w:t>
            </w:r>
          </w:p>
        </w:tc>
      </w:tr>
      <w:tr w:rsidR="00557385" w:rsidRPr="00557385" w14:paraId="48709BF0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0444BF26" w14:textId="231B30BD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7742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C65CCDA" w14:textId="65298160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738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ISA-DMA(PBE0/augA-sadlej) + non-empirical potential with an anisotropic repulsion fit to 2nd order dimer energies and a C10 damped isotropic dispersion, and rank 1 anisotropic polarization model</w:t>
            </w:r>
          </w:p>
        </w:tc>
      </w:tr>
      <w:tr w:rsidR="00557385" w:rsidRPr="00557385" w14:paraId="58043449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61AED567" w14:textId="0119593C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742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B3DAC35" w14:textId="44810513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557385" w:rsidRPr="00557385" w14:paraId="6B96AC93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62C2BC2C" w14:textId="7BB9D85D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3B9D7BF" w14:textId="23AE630B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557385" w:rsidRPr="00557385" w14:paraId="7329077E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79E2281" w14:textId="34434B86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89E7CDC" w14:textId="14B5290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\CHEMISTRY_CPOSS\Trinitrobenzene\DIFF_no_pol</w:t>
            </w:r>
          </w:p>
        </w:tc>
      </w:tr>
      <w:tr w:rsidR="00557385" w:rsidRPr="00557385" w14:paraId="4462599F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1C004939" w14:textId="04F3A0C0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742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205D251" w14:textId="116AA9DD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ISA-DMA(PBE0/augA-sadlej) + non-empirical potential with an anisotropic repulsion fit to 2nd order dimer energies and a C10 damped isotropic dispersion, with no polarization model</w:t>
            </w:r>
          </w:p>
        </w:tc>
      </w:tr>
      <w:tr w:rsidR="00557385" w:rsidRPr="00557385" w14:paraId="56C3E709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08DA819C" w14:textId="18E7A487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742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1AAF69E" w14:textId="099F921C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</w:tr>
      <w:tr w:rsidR="00557385" w:rsidRPr="00557385" w14:paraId="231C403C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F86E2A9" w14:textId="04BC97BA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4B2315A" w14:textId="52157158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557385" w:rsidRPr="00557385" w14:paraId="499D9001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693F2F0" w14:textId="307E5773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4DBA6E0" w14:textId="79EDB1E3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\CHEMISTRY_CPOSS\Trinitrobenzene\diff+e_3</w:t>
            </w:r>
          </w:p>
        </w:tc>
      </w:tr>
      <w:tr w:rsidR="00557385" w:rsidRPr="00557385" w14:paraId="2718D220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25558228" w14:textId="2ECE4CE0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742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C6EF0CD" w14:textId="3B67E725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ISA-DMA(PBE0/augA-sadlej) under polarizable continuum model with a dielectric constant of 3 + non-empirical potential with an anisotropic repulsion fit to 2nd order dimer energies and a C10 damped isotropic dispersio</w:t>
            </w:r>
          </w:p>
        </w:tc>
      </w:tr>
      <w:tr w:rsidR="00557385" w:rsidRPr="00557385" w14:paraId="4CA3BE53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14DA1F3" w14:textId="10C95FA9" w:rsidR="00557385" w:rsidRPr="00557385" w:rsidRDefault="005C7854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742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A4AA4DE" w14:textId="18678F6B" w:rsidR="00557385" w:rsidRPr="00557385" w:rsidRDefault="005C7854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</w:tr>
      <w:tr w:rsidR="005C7854" w:rsidRPr="00557385" w14:paraId="450F49F2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3AF1E014" w14:textId="6CBE8B46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C2E3E0C" w14:textId="64F1DB5D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</w:tr>
      <w:tr w:rsidR="005C7854" w:rsidRPr="00557385" w14:paraId="11A9EA03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962513E" w14:textId="00B10F37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BD3A691" w14:textId="23A15B78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\CHEMISTRY_CPOSS\Trinitrobenzene\diff+e_7</w:t>
            </w:r>
          </w:p>
        </w:tc>
      </w:tr>
      <w:tr w:rsidR="005C7854" w:rsidRPr="00557385" w14:paraId="3BA5BBDA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14111C75" w14:textId="003EBDB3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Potential Description</w:t>
            </w:r>
          </w:p>
        </w:tc>
        <w:tc>
          <w:tcPr>
            <w:tcW w:w="7742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F7D795C" w14:textId="0200365D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ISA-DMA(PBE0/augA-sadlej) under polarizable continuum model with a dielectric constant of 7 + non-empirical potential with an anisotropic repulsion fit to 2nd order dimer energies and a C10 damped isotropic dispersio</w:t>
            </w:r>
          </w:p>
        </w:tc>
      </w:tr>
      <w:tr w:rsidR="00557385" w:rsidRPr="00557385" w14:paraId="1507D247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DBC3100" w14:textId="5F2C60B6" w:rsidR="00557385" w:rsidRPr="00557385" w:rsidRDefault="005C7854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742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7B0CF27" w14:textId="44871B4E" w:rsidR="00557385" w:rsidRPr="00557385" w:rsidRDefault="005C7854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</w:tr>
      <w:tr w:rsidR="005C7854" w:rsidRPr="00557385" w14:paraId="17571940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0A5DF1F4" w14:textId="126A813E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117C115" w14:textId="1AECE019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5C7854" w:rsidRPr="00557385" w14:paraId="1A4C3320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62351139" w14:textId="1223B263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8E2A7CD" w14:textId="7E7F3DB4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\CHEMISTRY_CPOSS\Trinitrobenzene\diff+e_11</w:t>
            </w:r>
          </w:p>
        </w:tc>
      </w:tr>
      <w:tr w:rsidR="005C7854" w:rsidRPr="00557385" w14:paraId="274D36A1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71F652A9" w14:textId="726F1601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742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1CE02C7" w14:textId="2AAC08B2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ISA-DMA(PBE0/augA-sadlej) under polarizable continuum model with a dielectric constant of 11 + non-empirical potential with an anisotropic repulsion fit to 2nd order dimer energies and a C10 damped isotropic dispersio</w:t>
            </w:r>
          </w:p>
        </w:tc>
      </w:tr>
      <w:tr w:rsidR="00557385" w:rsidRPr="00557385" w14:paraId="56DEC7CC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D8229B6" w14:textId="32620A48" w:rsidR="00557385" w:rsidRPr="00557385" w:rsidRDefault="005C7854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742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586FE82" w14:textId="763133A3" w:rsidR="00557385" w:rsidRPr="00557385" w:rsidRDefault="005C7854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</w:tr>
      <w:tr w:rsidR="005C7854" w:rsidRPr="00557385" w14:paraId="505A06E3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3DA593FC" w14:textId="76C7AA7D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42AFDDF" w14:textId="64E485C7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5C7854" w:rsidRPr="00557385" w14:paraId="6EF89879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2B6D876C" w14:textId="3AB881CE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3F0FBCC" w14:textId="53588B56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\CHEMISTRY_CPOSS\Trinitrobenzene\Model0_Aniso</w:t>
            </w:r>
          </w:p>
        </w:tc>
      </w:tr>
      <w:tr w:rsidR="005C7854" w:rsidRPr="00557385" w14:paraId="5D958C42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678BA386" w14:textId="06E6315F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742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30D3ACC" w14:textId="4800B5CB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ISA-DMA(PBE0/augA-sadlej) + non-empirical potential with an anisotropic repulsion fit to 1st order dimer energies and a C10 damped isotropic dispersion, and rank 1 anisotropic polarization model</w:t>
            </w:r>
          </w:p>
        </w:tc>
      </w:tr>
      <w:tr w:rsidR="00557385" w:rsidRPr="00557385" w14:paraId="28F79CD7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A4433DA" w14:textId="08FCFEB5" w:rsidR="00557385" w:rsidRPr="00557385" w:rsidRDefault="005C7854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742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58636F8" w14:textId="6CC408AB" w:rsidR="00557385" w:rsidRPr="00557385" w:rsidRDefault="005C7854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</w:tr>
      <w:tr w:rsidR="005C7854" w:rsidRPr="00557385" w14:paraId="29D09DA1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653DCF7A" w14:textId="4C70024F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F4D76BB" w14:textId="0015654C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5C7854" w:rsidRPr="00557385" w14:paraId="4E31CE51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66D3397A" w14:textId="3ADFCF3A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050FE1F" w14:textId="371DAFF9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\CHEMISTRY_CPOSS\Trinitrobenzene\Model0_Iso</w:t>
            </w:r>
          </w:p>
        </w:tc>
      </w:tr>
      <w:tr w:rsidR="005C7854" w:rsidRPr="00557385" w14:paraId="20F10694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69D34120" w14:textId="08F4BD60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742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8766441" w14:textId="3011BE27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ISA-DMA(PBE0/augA-sadlej) + non-empirical potential with an isotropic repulsion fit to 1st order dimer energies and a C10 damped isotropic dispersion, and rank 1 anisotropic polarization model.</w:t>
            </w:r>
          </w:p>
        </w:tc>
      </w:tr>
      <w:tr w:rsidR="00557385" w:rsidRPr="00557385" w14:paraId="26C77B45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D59DE44" w14:textId="7748FFD3" w:rsidR="00557385" w:rsidRPr="00557385" w:rsidRDefault="005C7854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742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BB0C020" w14:textId="468B4C7F" w:rsidR="00557385" w:rsidRPr="00557385" w:rsidRDefault="005C7854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</w:tr>
      <w:tr w:rsidR="005C7854" w:rsidRPr="00557385" w14:paraId="2C9855F3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42B59EE" w14:textId="3C9D4AC1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1E25D63B" w14:textId="79499B23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C7854" w:rsidRPr="00557385" w14:paraId="57087479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0063381" w14:textId="4DFCC324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8F2D5FF" w14:textId="74D72640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\CHEMISTRY_CPOSS\Trinitrobenzene\FIT+ISA</w:t>
            </w:r>
          </w:p>
        </w:tc>
      </w:tr>
      <w:tr w:rsidR="005C7854" w:rsidRPr="00557385" w14:paraId="7CAF7918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65794B2B" w14:textId="7CE34DD9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742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9458FED" w14:textId="372E6D8D" w:rsidR="005C7854" w:rsidRPr="00557385" w:rsidRDefault="005C7854" w:rsidP="005C7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ISA-DMA(PBE0/augA-sadlej) + FIT</w:t>
            </w:r>
          </w:p>
        </w:tc>
      </w:tr>
      <w:tr w:rsidR="00557385" w:rsidRPr="00557385" w14:paraId="0C89CA83" w14:textId="77777777" w:rsidTr="005C7854">
        <w:trPr>
          <w:trHeight w:val="255"/>
        </w:trPr>
        <w:tc>
          <w:tcPr>
            <w:tcW w:w="2664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08B686CF" w14:textId="0DEBA43D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742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D5E7A61" w14:textId="24087574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</w:tr>
      <w:tr w:rsidR="00557385" w:rsidRPr="00557385" w14:paraId="2C29CE26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2BFDD4B" w14:textId="681727D0" w:rsid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5997BA9" w14:textId="5B5F40F6" w:rsid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557385" w:rsidRPr="00557385" w14:paraId="23AA07C4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0912FEFC" w14:textId="76E7D0F4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742" w:type="dxa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8CCCB8F" w14:textId="36481D2C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\CHEMISTRY_CPOSS\Trinitrobenzene\FIT+GDMA</w:t>
            </w:r>
          </w:p>
        </w:tc>
      </w:tr>
      <w:tr w:rsidR="00557385" w:rsidRPr="00557385" w14:paraId="5340DBAA" w14:textId="77777777" w:rsidTr="005C7854">
        <w:trPr>
          <w:trHeight w:val="255"/>
        </w:trPr>
        <w:tc>
          <w:tcPr>
            <w:tcW w:w="2664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192B402F" w14:textId="0793F6A2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742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B4A0F7C" w14:textId="52694991" w:rsidR="00557385" w:rsidRPr="00557385" w:rsidRDefault="00557385" w:rsidP="005573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GDMA(PBE0/6-31(d,p)) + FIT</w:t>
            </w:r>
          </w:p>
        </w:tc>
      </w:tr>
    </w:tbl>
    <w:p w14:paraId="14BDEF9A" w14:textId="77777777" w:rsidR="005A2716" w:rsidRDefault="005A2716" w:rsidP="00D4221C"/>
    <w:p w14:paraId="2CF00295" w14:textId="6CC7A4A6" w:rsidR="00557385" w:rsidRPr="00557385" w:rsidRDefault="005C7854" w:rsidP="00D4221C">
      <w:r>
        <w:rPr>
          <w:noProof/>
        </w:rPr>
        <w:lastRenderedPageBreak/>
        <w:drawing>
          <wp:inline distT="0" distB="0" distL="0" distR="0" wp14:anchorId="42047448" wp14:editId="2AB712F8">
            <wp:extent cx="6645910" cy="4822825"/>
            <wp:effectExtent l="0" t="0" r="2540" b="0"/>
            <wp:docPr id="258280277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80277" name="Picture 2" descr="A screen 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C46" w14:textId="2A5219DE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5C7854">
        <w:t>trinitrobenzene with the DIFF potential</w:t>
      </w:r>
      <w:r>
        <w:t>.</w:t>
      </w:r>
    </w:p>
    <w:p w14:paraId="29042A5F" w14:textId="01A9D7F1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5.43 with Mar</w:t>
      </w:r>
      <w:r w:rsidR="001A3932">
        <w:rPr>
          <w:lang w:val="en-US"/>
        </w:rPr>
        <w:t>,</w:t>
      </w:r>
      <w:r w:rsidRPr="005A2716">
        <w:rPr>
          <w:lang w:val="en-US"/>
        </w:rPr>
        <w:t xml:space="preserve"> Jun</w:t>
      </w:r>
      <w:r w:rsidR="001A3932">
        <w:rPr>
          <w:lang w:val="en-US"/>
        </w:rPr>
        <w:t>, Sep and Nov</w:t>
      </w:r>
      <w:r w:rsidRPr="005A2716">
        <w:rPr>
          <w:lang w:val="en-US"/>
        </w:rPr>
        <w:t xml:space="preserve"> 2022 updates</w:t>
      </w:r>
      <w:r w:rsidR="005A2716">
        <w:rPr>
          <w:lang w:val="en-US"/>
        </w:rPr>
        <w:t>)</w:t>
      </w:r>
    </w:p>
    <w:p w14:paraId="0DF05C38" w14:textId="77777777" w:rsidR="005A2716" w:rsidRPr="005A2716" w:rsidRDefault="005A2716" w:rsidP="005A2716">
      <w:pPr>
        <w:rPr>
          <w:lang w:val="en-US"/>
        </w:rPr>
      </w:pPr>
    </w:p>
    <w:p w14:paraId="4E52BAC9" w14:textId="3B603B04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FA4755">
        <w:t>trinitrobenzene</w:t>
      </w:r>
      <w:r>
        <w:t>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71"/>
        <w:gridCol w:w="953"/>
        <w:gridCol w:w="854"/>
        <w:gridCol w:w="943"/>
        <w:gridCol w:w="939"/>
        <w:gridCol w:w="943"/>
        <w:gridCol w:w="873"/>
        <w:gridCol w:w="936"/>
        <w:gridCol w:w="892"/>
        <w:gridCol w:w="990"/>
        <w:gridCol w:w="962"/>
      </w:tblGrid>
      <w:tr w:rsidR="005825DC" w14:paraId="1887575A" w14:textId="78F9D7AA" w:rsidTr="005825DC">
        <w:tc>
          <w:tcPr>
            <w:tcW w:w="1171" w:type="dxa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57" w:type="dxa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65" w:type="dxa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03" w:type="dxa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41" w:type="dxa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33" w:type="dxa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82" w:type="dxa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1" w:type="dxa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02" w:type="dxa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93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68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C54D10" w14:paraId="079EEFAC" w14:textId="0670F9D8" w:rsidTr="00FA4755">
        <w:tc>
          <w:tcPr>
            <w:tcW w:w="117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B2ED6A3" w14:textId="4ACE87C7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TNBENZ10</w:t>
            </w:r>
          </w:p>
        </w:tc>
        <w:tc>
          <w:tcPr>
            <w:tcW w:w="957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EECF4DE" w14:textId="703BAB97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Pbca</w:t>
            </w:r>
          </w:p>
        </w:tc>
        <w:tc>
          <w:tcPr>
            <w:tcW w:w="865" w:type="dxa"/>
            <w:tcBorders>
              <w:bottom w:val="single" w:sz="24" w:space="0" w:color="auto"/>
            </w:tcBorders>
            <w:shd w:val="clear" w:color="auto" w:fill="C5E0B3"/>
            <w:vAlign w:val="bottom"/>
          </w:tcPr>
          <w:p w14:paraId="0CB0DAB1" w14:textId="3C32B8F1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37AD7B2" w14:textId="00EDBD69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9.78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B182A1" w14:textId="3B88200A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26.94</w:t>
            </w:r>
          </w:p>
        </w:tc>
        <w:tc>
          <w:tcPr>
            <w:tcW w:w="93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6ED58D1" w14:textId="7041F0A1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12.82</w:t>
            </w:r>
          </w:p>
        </w:tc>
        <w:tc>
          <w:tcPr>
            <w:tcW w:w="882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A752D35" w14:textId="2CB9435B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541795" w14:textId="5A59BF11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11973FE" w14:textId="4003D42E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88387FB" w14:textId="6DEFBCDA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1.676</w:t>
            </w:r>
          </w:p>
        </w:tc>
        <w:tc>
          <w:tcPr>
            <w:tcW w:w="968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372D7D94" w14:textId="01075B0F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C54D10" w14:paraId="133F158B" w14:textId="673773C0" w:rsidTr="00FA4755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9F141A6" w14:textId="212CF6BA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TNBENZ11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978F2E3" w14:textId="5501F70A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Pbca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00AAAA2" w14:textId="476F20AF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440DD38" w14:textId="0D45C28D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12.587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739B6A" w14:textId="4845610E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9.684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91E04D5" w14:textId="28A93B04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26.86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FAC1241" w14:textId="7F49D5A0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7452E43" w14:textId="4E955EC6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40CBAB2" w14:textId="5361B150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633041" w14:textId="65DC2CAB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1.729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5560768C" w14:textId="123CF963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C54D10" w14:paraId="66609675" w14:textId="70B0C4FA" w:rsidTr="00FA4755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71C92DC" w14:textId="4AAA7775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TNBENZ12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8ECF606" w14:textId="08B5AD75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Pca21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5A7248A" w14:textId="3CCC0ED6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8318C3D" w14:textId="7B61FD75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9.297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FDDCC4A" w14:textId="794569E9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18.73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AF2FB56" w14:textId="76FD0BF3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9.633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6A104E3" w14:textId="64C0504D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A4528A4" w14:textId="40D590E2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A3513E9" w14:textId="5C24120E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149C6E8" w14:textId="6ED588C3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1.688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</w:tcPr>
          <w:p w14:paraId="4881AF25" w14:textId="279EECEC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</w:tr>
      <w:tr w:rsidR="00C54D10" w14:paraId="14565170" w14:textId="3228EFE4" w:rsidTr="00FA4755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4C6E7" w:themeFill="accent1" w:themeFillTint="66"/>
            <w:vAlign w:val="bottom"/>
          </w:tcPr>
          <w:p w14:paraId="4DFA2C36" w14:textId="10EC8D57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TNBENZ13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4C6E7" w:themeFill="accent1" w:themeFillTint="66"/>
            <w:vAlign w:val="bottom"/>
          </w:tcPr>
          <w:p w14:paraId="4CDE7962" w14:textId="5DF6F6AE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4C6E7" w:themeFill="accent1" w:themeFillTint="66"/>
            <w:vAlign w:val="bottom"/>
          </w:tcPr>
          <w:p w14:paraId="0DE383FD" w14:textId="66625444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4C6E7" w:themeFill="accent1" w:themeFillTint="66"/>
            <w:vAlign w:val="bottom"/>
          </w:tcPr>
          <w:p w14:paraId="6C4B3D26" w14:textId="6547937C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12.896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4C6E7" w:themeFill="accent1" w:themeFillTint="66"/>
            <w:vAlign w:val="bottom"/>
          </w:tcPr>
          <w:p w14:paraId="1D75DC82" w14:textId="05F1F3A3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5.723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4C6E7" w:themeFill="accent1" w:themeFillTint="66"/>
            <w:vAlign w:val="bottom"/>
          </w:tcPr>
          <w:p w14:paraId="4D992AE3" w14:textId="2E1C63CC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11.287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4C6E7" w:themeFill="accent1" w:themeFillTint="66"/>
            <w:vAlign w:val="bottom"/>
          </w:tcPr>
          <w:p w14:paraId="080F2122" w14:textId="122D49B3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4C6E7" w:themeFill="accent1" w:themeFillTint="66"/>
            <w:vAlign w:val="bottom"/>
          </w:tcPr>
          <w:p w14:paraId="4776C096" w14:textId="6E712188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98.19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4C6E7" w:themeFill="accent1" w:themeFillTint="66"/>
            <w:vAlign w:val="bottom"/>
          </w:tcPr>
          <w:p w14:paraId="31C70CEA" w14:textId="05203F84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4C6E7" w:themeFill="accent1" w:themeFillTint="66"/>
            <w:vAlign w:val="bottom"/>
          </w:tcPr>
          <w:p w14:paraId="3C473F5B" w14:textId="41316E04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1.717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4C6E7" w:themeFill="accent1" w:themeFillTint="66"/>
          </w:tcPr>
          <w:p w14:paraId="6787C24F" w14:textId="3D324A27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III</w:t>
            </w:r>
          </w:p>
        </w:tc>
      </w:tr>
      <w:tr w:rsidR="00C54D10" w14:paraId="0B74FBBB" w14:textId="5E3651A6" w:rsidTr="00FA4755">
        <w:tc>
          <w:tcPr>
            <w:tcW w:w="1171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69FD970E" w14:textId="205658BC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TNBENZ14</w:t>
            </w:r>
          </w:p>
        </w:tc>
        <w:tc>
          <w:tcPr>
            <w:tcW w:w="957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44346B56" w14:textId="2B96F080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Pbca</w:t>
            </w:r>
          </w:p>
        </w:tc>
        <w:tc>
          <w:tcPr>
            <w:tcW w:w="865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2A068B00" w14:textId="58952DEC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580F40C9" w14:textId="6E0FA540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12.6388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5C354B4A" w14:textId="69438561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9.6357</w:t>
            </w:r>
          </w:p>
        </w:tc>
        <w:tc>
          <w:tcPr>
            <w:tcW w:w="933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039641C9" w14:textId="5E60C143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26.7738</w:t>
            </w:r>
          </w:p>
        </w:tc>
        <w:tc>
          <w:tcPr>
            <w:tcW w:w="882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36665EB6" w14:textId="40E31E2D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104C49C8" w14:textId="64098155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59B73314" w14:textId="5BB383AD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642F73A9" w14:textId="10CF6FF9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1.736</w:t>
            </w:r>
          </w:p>
        </w:tc>
        <w:tc>
          <w:tcPr>
            <w:tcW w:w="968" w:type="dxa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64E73E4B" w14:textId="4D538206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62FAADC6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FA4755">
        <w:t>trinitrobenzene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303"/>
        <w:gridCol w:w="918"/>
        <w:gridCol w:w="622"/>
        <w:gridCol w:w="663"/>
        <w:gridCol w:w="3680"/>
      </w:tblGrid>
      <w:tr w:rsidR="005B5AC6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C54D10" w14:paraId="09C22672" w14:textId="2FADBC92" w:rsidTr="009F6145">
        <w:tc>
          <w:tcPr>
            <w:tcW w:w="0" w:type="auto"/>
            <w:vAlign w:val="bottom"/>
          </w:tcPr>
          <w:p w14:paraId="54880E13" w14:textId="474053CF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TNBENZ10</w:t>
            </w:r>
          </w:p>
        </w:tc>
        <w:tc>
          <w:tcPr>
            <w:tcW w:w="0" w:type="auto"/>
            <w:vAlign w:val="bottom"/>
          </w:tcPr>
          <w:p w14:paraId="0290D82F" w14:textId="09DC1002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Pbca</w:t>
            </w:r>
          </w:p>
        </w:tc>
        <w:tc>
          <w:tcPr>
            <w:tcW w:w="0" w:type="auto"/>
            <w:vAlign w:val="bottom"/>
          </w:tcPr>
          <w:p w14:paraId="768D7291" w14:textId="510F410F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</w:t>
            </w:r>
          </w:p>
        </w:tc>
        <w:tc>
          <w:tcPr>
            <w:tcW w:w="0" w:type="auto"/>
            <w:vAlign w:val="bottom"/>
          </w:tcPr>
          <w:p w14:paraId="1260C821" w14:textId="513FC041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5160D4F7" w14:textId="15BF555B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1972</w:t>
            </w:r>
          </w:p>
        </w:tc>
        <w:tc>
          <w:tcPr>
            <w:tcW w:w="0" w:type="auto"/>
          </w:tcPr>
          <w:p w14:paraId="3727F56C" w14:textId="7E399E60" w:rsidR="00C54D10" w:rsidRDefault="00FA4755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Grown from the melt</w:t>
            </w:r>
            <w:r w:rsidR="00C54D10">
              <w:rPr>
                <w:rFonts w:ascii="Calibri" w:hAnsi="Calibri" w:cs="Calibri"/>
                <w:color w:val="000000"/>
              </w:rPr>
              <w:fldChar w:fldCharType="begin"/>
            </w:r>
            <w:r w:rsidR="00C54D10">
              <w:rPr>
                <w:rFonts w:ascii="Calibri" w:hAnsi="Calibri" w:cs="Calibri"/>
                <w:color w:val="000000"/>
              </w:rPr>
              <w:instrText xml:space="preserve"> ADDIN EN.CITE &lt;EndNote&gt;&lt;Cite&gt;&lt;Author&gt;Choi&lt;/Author&gt;&lt;Year&gt;1972&lt;/Year&gt;&lt;IDText&gt;The crystal structure of 1,3,5-trinitrobenzene by neutron diffraction&lt;/IDText&gt;&lt;DisplayText&gt;&lt;style face="superscript"&gt;1&lt;/style&gt;&lt;/DisplayText&gt;&lt;record&gt;&lt;urls&gt;&lt;related-urls&gt;&lt;url&gt;https://doi.org/10.1107/S0567740872002067&lt;/url&gt;&lt;/related-urls&gt;&lt;/urls&gt;&lt;isbn&gt;0567-7408&lt;/isbn&gt;&lt;titles&gt;&lt;title&gt;The crystal structure of 1,3,5-trinitrobenzene by neutron diffraction&lt;/title&gt;&lt;secondary-title&gt;Acta Crystallographica Section B&lt;/secondary-title&gt;&lt;/titles&gt;&lt;pages&gt;193-201&lt;/pages&gt;&lt;number&gt;1&lt;/number&gt;&lt;contributors&gt;&lt;authors&gt;&lt;author&gt;Choi, C. S.,&lt;/author&gt;&lt;author&gt;Abel, J. E.,&lt;/author&gt;&lt;/authors&gt;&lt;/contributors&gt;&lt;added-date format="utc"&gt;1585145294&lt;/added-date&gt;&lt;ref-type name="Journal Article"&gt;17&lt;/ref-type&gt;&lt;dates&gt;&lt;year&gt;1972&lt;/year&gt;&lt;/dates&gt;&lt;rec-number&gt;7418&lt;/rec-number&gt;&lt;last-updated-date format="utc"&gt;1585145294&lt;/last-updated-date&gt;&lt;electronic-resource-num&gt;doi:10.1107/S0567740872002067&lt;/electronic-resource-num&gt;&lt;volume&gt;28&lt;/volume&gt;&lt;/record&gt;&lt;/Cite&gt;&lt;/EndNote&gt;</w:instrText>
            </w:r>
            <w:r w:rsidR="00C54D10">
              <w:rPr>
                <w:rFonts w:ascii="Calibri" w:hAnsi="Calibri" w:cs="Calibri"/>
                <w:color w:val="000000"/>
              </w:rPr>
              <w:fldChar w:fldCharType="separate"/>
            </w:r>
            <w:r w:rsidR="00C54D10" w:rsidRPr="00C54D10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 w:rsidR="00C54D10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C54D10" w14:paraId="1228351F" w14:textId="12FF010C" w:rsidTr="009F6145">
        <w:tc>
          <w:tcPr>
            <w:tcW w:w="0" w:type="auto"/>
            <w:vAlign w:val="bottom"/>
          </w:tcPr>
          <w:p w14:paraId="78498CB3" w14:textId="5A5ECE1A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TNBENZ11</w:t>
            </w:r>
          </w:p>
        </w:tc>
        <w:tc>
          <w:tcPr>
            <w:tcW w:w="0" w:type="auto"/>
            <w:vAlign w:val="bottom"/>
          </w:tcPr>
          <w:p w14:paraId="38A7A315" w14:textId="0215B030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Pbca</w:t>
            </w:r>
          </w:p>
        </w:tc>
        <w:tc>
          <w:tcPr>
            <w:tcW w:w="0" w:type="auto"/>
            <w:vAlign w:val="bottom"/>
          </w:tcPr>
          <w:p w14:paraId="2D02B01C" w14:textId="683A526E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4.5</w:t>
            </w:r>
          </w:p>
        </w:tc>
        <w:tc>
          <w:tcPr>
            <w:tcW w:w="0" w:type="auto"/>
            <w:vAlign w:val="bottom"/>
          </w:tcPr>
          <w:p w14:paraId="291ABADC" w14:textId="20794604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183</w:t>
            </w:r>
          </w:p>
        </w:tc>
        <w:tc>
          <w:tcPr>
            <w:tcW w:w="0" w:type="auto"/>
            <w:vAlign w:val="bottom"/>
          </w:tcPr>
          <w:p w14:paraId="6FE357DB" w14:textId="677FCB30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2004</w:t>
            </w:r>
          </w:p>
        </w:tc>
        <w:tc>
          <w:tcPr>
            <w:tcW w:w="0" w:type="auto"/>
          </w:tcPr>
          <w:p w14:paraId="5BD7EC32" w14:textId="06F171F1" w:rsidR="00C54D10" w:rsidRDefault="00FA4755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specified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&lt;EndNote&gt;&lt;Cite&gt;&lt;Author&gt;Thallapally&lt;/Author&gt;&lt;Year&gt;2004&lt;/Year&gt;&lt;IDText&gt;Polymorphism of 1,3,5-trinitrobenzene induced by a trisindane additive&lt;/IDText&gt;&lt;DisplayText&gt;&lt;style face="superscript"&gt;2&lt;/style&gt;&lt;/DisplayText&gt;&lt;record&gt;&lt;titles&gt;&lt;title&gt;Polymorphism of 1,3,5-trinitrobenzene induced by a trisindane additive&lt;/title&gt;&lt;secondary-title&gt;Angewandte Chemie-International Edition&lt;/secondary-title&gt;&lt;/titles&gt;&lt;pages&gt;1149-1155&lt;/pages&gt;&lt;number&gt;9&lt;/number&gt;&lt;contributors&gt;&lt;authors&gt;&lt;author&gt;Thallapally, P. K.&lt;/author&gt;&lt;author&gt;Jetti, R. K. R.&lt;/author&gt;&lt;author&gt;Katz, A. K.&lt;/author&gt;&lt;author&gt;Carrell, H. L.&lt;/author&gt;&lt;author&gt;Singh, K.&lt;/author&gt;&lt;author&gt;Lahiri, K.&lt;/author&gt;&lt;author&gt;Kotha, S.&lt;/author&gt;&lt;author&gt;Boese, R.&lt;/author&gt;&lt;author&gt;Desiraju, G. R.&lt;/author&gt;&lt;/authors&gt;&lt;/contributors&gt;&lt;reprint-edition&gt;NOT IN FILE&lt;/reprint-edition&gt;&lt;added-date format="utc"&gt;1399986755&lt;/added-date&gt;&lt;ref-type name="Journal Article"&gt;17&lt;/ref-type&gt;&lt;dates&gt;&lt;year&gt;2004&lt;/year&gt;&lt;/dates&gt;&lt;rec-number&gt;1074&lt;/rec-number&gt;&lt;last-updated-date format="utc"&gt;1399986755&lt;/last-updated-date&gt;&lt;volume&gt;43&lt;/volume&gt;&lt;/record&gt;&lt;/Cite&gt;&lt;/EndNote&gt;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FA4755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C54D10" w14:paraId="650E684B" w14:textId="058D14E8" w:rsidTr="009F6145">
        <w:tc>
          <w:tcPr>
            <w:tcW w:w="0" w:type="auto"/>
            <w:vAlign w:val="bottom"/>
          </w:tcPr>
          <w:p w14:paraId="2B8AAD98" w14:textId="1514D4C4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TNBENZ12</w:t>
            </w:r>
          </w:p>
        </w:tc>
        <w:tc>
          <w:tcPr>
            <w:tcW w:w="0" w:type="auto"/>
            <w:vAlign w:val="bottom"/>
          </w:tcPr>
          <w:p w14:paraId="02327711" w14:textId="5B3326F0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Pca21</w:t>
            </w:r>
          </w:p>
        </w:tc>
        <w:tc>
          <w:tcPr>
            <w:tcW w:w="0" w:type="auto"/>
            <w:vAlign w:val="bottom"/>
          </w:tcPr>
          <w:p w14:paraId="18FF08B1" w14:textId="2CA2D212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3.97</w:t>
            </w:r>
          </w:p>
        </w:tc>
        <w:tc>
          <w:tcPr>
            <w:tcW w:w="0" w:type="auto"/>
            <w:vAlign w:val="bottom"/>
          </w:tcPr>
          <w:p w14:paraId="0DFAEED6" w14:textId="7D61CA03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</w:t>
            </w:r>
          </w:p>
        </w:tc>
        <w:tc>
          <w:tcPr>
            <w:tcW w:w="0" w:type="auto"/>
            <w:vAlign w:val="bottom"/>
          </w:tcPr>
          <w:p w14:paraId="6027F6D3" w14:textId="2B8FCE40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2004</w:t>
            </w:r>
          </w:p>
        </w:tc>
        <w:tc>
          <w:tcPr>
            <w:tcW w:w="0" w:type="auto"/>
          </w:tcPr>
          <w:p w14:paraId="1067BA7D" w14:textId="38482739" w:rsidR="00C54D10" w:rsidRDefault="00FA4755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Failed cocrystallization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&lt;EndNote&gt;&lt;Cite&gt;&lt;Author&gt;Thallapally&lt;/Author&gt;&lt;Year&gt;2004&lt;/Year&gt;&lt;IDText&gt;Polymorphism of 1,3,5-trinitrobenzene induced by a trisindane additive&lt;/IDText&gt;&lt;DisplayText&gt;&lt;style face="superscript"&gt;2&lt;/style&gt;&lt;/DisplayText&gt;&lt;record&gt;&lt;titles&gt;&lt;title&gt;Polymorphism of 1,3,5-trinitrobenzene induced by a trisindane additive&lt;/title&gt;&lt;secondary-title&gt;Angewandte Chemie-International Edition&lt;/secondary-title&gt;&lt;/titles&gt;&lt;pages&gt;1149-1155&lt;/pages&gt;&lt;number&gt;9&lt;/number&gt;&lt;contributors&gt;&lt;authors&gt;&lt;author&gt;Thallapally, P. K.&lt;/author&gt;&lt;author&gt;Jetti, R. K. R.&lt;/author&gt;&lt;author&gt;Katz, A. K.&lt;/author&gt;&lt;author&gt;Carrell, H. L.&lt;/author&gt;&lt;author&gt;Singh, K.&lt;/author&gt;&lt;author&gt;Lahiri, K.&lt;/author&gt;&lt;author&gt;Kotha, S.&lt;/author&gt;&lt;author&gt;Boese, R.&lt;/author&gt;&lt;author&gt;Desiraju, G. R.&lt;/author&gt;&lt;/authors&gt;&lt;/contributors&gt;&lt;reprint-edition&gt;NOT IN FILE&lt;/reprint-edition&gt;&lt;added-date format="utc"&gt;1399986755&lt;/added-date&gt;&lt;ref-type name="Journal Article"&gt;17&lt;/ref-type&gt;&lt;dates&gt;&lt;year&gt;2004&lt;/year&gt;&lt;/dates&gt;&lt;rec-number&gt;1074&lt;/rec-number&gt;&lt;last-updated-date format="utc"&gt;1399986755&lt;/last-updated-date&gt;&lt;volume&gt;43&lt;/volume&gt;&lt;/record&gt;&lt;/Cite&gt;&lt;/EndNote&gt;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FA4755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C54D10" w14:paraId="6656CF8E" w14:textId="7669F558" w:rsidTr="009F6145">
        <w:tc>
          <w:tcPr>
            <w:tcW w:w="0" w:type="auto"/>
            <w:vAlign w:val="bottom"/>
          </w:tcPr>
          <w:p w14:paraId="74C3EA06" w14:textId="5469BDD2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TNBENZ13</w:t>
            </w:r>
          </w:p>
        </w:tc>
        <w:tc>
          <w:tcPr>
            <w:tcW w:w="0" w:type="auto"/>
            <w:vAlign w:val="bottom"/>
          </w:tcPr>
          <w:p w14:paraId="1AF5E4CA" w14:textId="77A40C0F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2B398A26" w14:textId="46E83C26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6.09</w:t>
            </w:r>
          </w:p>
        </w:tc>
        <w:tc>
          <w:tcPr>
            <w:tcW w:w="0" w:type="auto"/>
            <w:vAlign w:val="bottom"/>
          </w:tcPr>
          <w:p w14:paraId="6D9F4D06" w14:textId="565861E8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183</w:t>
            </w:r>
          </w:p>
        </w:tc>
        <w:tc>
          <w:tcPr>
            <w:tcW w:w="0" w:type="auto"/>
            <w:vAlign w:val="bottom"/>
          </w:tcPr>
          <w:p w14:paraId="22933DB8" w14:textId="17B0F4E6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2004</w:t>
            </w:r>
          </w:p>
        </w:tc>
        <w:tc>
          <w:tcPr>
            <w:tcW w:w="0" w:type="auto"/>
          </w:tcPr>
          <w:p w14:paraId="59F62A0D" w14:textId="5D39A4EB" w:rsidR="00C54D10" w:rsidRDefault="00FA4755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the presence of an additive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&lt;EndNote&gt;&lt;Cite&gt;&lt;Author&gt;Thallapally&lt;/Author&gt;&lt;Year&gt;2004&lt;/Year&gt;&lt;IDText&gt;Polymorphism of 1,3,5-trinitrobenzene induced by a trisindane additive&lt;/IDText&gt;&lt;DisplayText&gt;&lt;style face="superscript"&gt;2&lt;/style&gt;&lt;/DisplayText&gt;&lt;record&gt;&lt;titles&gt;&lt;title&gt;Polymorphism of 1,3,5-trinitrobenzene induced by a trisindane additive&lt;/title&gt;&lt;secondary-title&gt;Angewandte Chemie-International Edition&lt;/secondary-title&gt;&lt;/titles&gt;&lt;pages&gt;1149-1155&lt;/pages&gt;&lt;number&gt;9&lt;/number&gt;&lt;contributors&gt;&lt;authors&gt;&lt;author&gt;Thallapally, P. K.&lt;/author&gt;&lt;author&gt;Jetti, R. K. R.&lt;/author&gt;&lt;author&gt;Katz, A. K.&lt;/author&gt;&lt;author&gt;Carrell, H. L.&lt;/author&gt;&lt;author&gt;Singh, K.&lt;/author&gt;&lt;author&gt;Lahiri, K.&lt;/author&gt;&lt;author&gt;Kotha, S.&lt;/author&gt;&lt;author&gt;Boese, R.&lt;/author&gt;&lt;author&gt;Desiraju, G. R.&lt;/author&gt;&lt;/authors&gt;&lt;/contributors&gt;&lt;reprint-edition&gt;NOT IN FILE&lt;/reprint-edition&gt;&lt;added-date format="utc"&gt;1399986755&lt;/added-date&gt;&lt;ref-type name="Journal Article"&gt;17&lt;/ref-type&gt;&lt;dates&gt;&lt;year&gt;2004&lt;/year&gt;&lt;/dates&gt;&lt;rec-number&gt;1074&lt;/rec-number&gt;&lt;last-updated-date format="utc"&gt;1399986755&lt;/last-updated-date&gt;&lt;volume&gt;43&lt;/volume&gt;&lt;/record&gt;&lt;/Cite&gt;&lt;/EndNote&gt;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FA4755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C54D10" w14:paraId="45FA6332" w14:textId="53B822F1" w:rsidTr="009F6145">
        <w:tc>
          <w:tcPr>
            <w:tcW w:w="0" w:type="auto"/>
            <w:vAlign w:val="bottom"/>
          </w:tcPr>
          <w:p w14:paraId="2B6560F1" w14:textId="6B6F956E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TNBENZ14</w:t>
            </w:r>
          </w:p>
        </w:tc>
        <w:tc>
          <w:tcPr>
            <w:tcW w:w="0" w:type="auto"/>
            <w:vAlign w:val="bottom"/>
          </w:tcPr>
          <w:p w14:paraId="6B44B5AB" w14:textId="32C49213" w:rsidR="00C54D10" w:rsidRDefault="00C54D10" w:rsidP="00C54D1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Pbca</w:t>
            </w:r>
          </w:p>
        </w:tc>
        <w:tc>
          <w:tcPr>
            <w:tcW w:w="0" w:type="auto"/>
            <w:vAlign w:val="bottom"/>
          </w:tcPr>
          <w:p w14:paraId="105D1E18" w14:textId="7AAFD971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3.73</w:t>
            </w:r>
          </w:p>
        </w:tc>
        <w:tc>
          <w:tcPr>
            <w:tcW w:w="0" w:type="auto"/>
            <w:vAlign w:val="bottom"/>
          </w:tcPr>
          <w:p w14:paraId="1D306745" w14:textId="4735C59A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</w:t>
            </w:r>
          </w:p>
        </w:tc>
        <w:tc>
          <w:tcPr>
            <w:tcW w:w="0" w:type="auto"/>
            <w:vAlign w:val="bottom"/>
          </w:tcPr>
          <w:p w14:paraId="4FE4ECE9" w14:textId="74EA8107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2020</w:t>
            </w:r>
          </w:p>
        </w:tc>
        <w:tc>
          <w:tcPr>
            <w:tcW w:w="0" w:type="auto"/>
          </w:tcPr>
          <w:p w14:paraId="5A2158CE" w14:textId="07B7D3F7" w:rsidR="00C54D10" w:rsidRDefault="00C54D10" w:rsidP="00C54D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recorded (cocrystallization paper)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 w:rsidR="00FA4755">
              <w:rPr>
                <w:rFonts w:ascii="Calibri" w:hAnsi="Calibri" w:cs="Calibri"/>
                <w:color w:val="000000"/>
              </w:rPr>
              <w:instrText xml:space="preserve"> ADDIN EN.CITE &lt;EndNote&gt;&lt;Cite&gt;&lt;Author&gt;Yang&lt;/Author&gt;&lt;Year&gt;2020&lt;/Year&gt;&lt;IDText&gt;Rapid Cocrystallization by Exploiting Differential Solubility: An Efficient and Scalable Process toward Easily Fabricating Energetic Cocrystals&lt;/IDText&gt;&lt;DisplayText&gt;&lt;style face="superscript"&gt;3&lt;/style&gt;&lt;/DisplayText&gt;&lt;record&gt;&lt;dates&gt;&lt;pub-dates&gt;&lt;date&gt;2020/04/01&lt;/date&gt;&lt;/pub-dates&gt;&lt;year&gt;2020&lt;/year&gt;&lt;/dates&gt;&lt;urls&gt;&lt;related-urls&gt;&lt;url&gt;https://doi.org/10.1021/acs.cgd.9b01449&lt;/url&gt;&lt;/related-urls&gt;&lt;/urls&gt;&lt;isbn&gt;1528-7483&lt;/isbn&gt;&lt;titles&gt;&lt;title&gt;Rapid Cocrystallization by Exploiting Differential Solubility: An Efficient and Scalable Process toward Easily Fabricating Energetic Cocrystals&lt;/title&gt;&lt;secondary-title&gt;Crystal Growth &amp;amp; Design&lt;/secondary-title&gt;&lt;/titles&gt;&lt;pages&gt;2129-2134&lt;/pages&gt;&lt;number&gt;4&lt;/number&gt;&lt;contributors&gt;&lt;authors&gt;&lt;author&gt;Yang, Zongwei&lt;/author&gt;&lt;author&gt;Wang, Haojing&lt;/author&gt;&lt;author&gt;Zhang, Jichuan&lt;/author&gt;&lt;author&gt;Ma, Yuan&lt;/author&gt;&lt;author&gt;Tan, Yanwei&lt;/author&gt;&lt;author&gt;Nie, Fude&lt;/author&gt;&lt;author&gt;Zhang, Jiaheng&lt;/author&gt;&lt;author&gt;Li, Hongzhen&lt;/author&gt;&lt;/authors&gt;&lt;/contributors&gt;&lt;added-date format="utc"&gt;1734431246&lt;/added-date&gt;&lt;ref-type name="Journal Article"&gt;17&lt;/ref-type&gt;&lt;rec-number&gt;10226&lt;/rec-number&gt;&lt;publisher&gt;American Chemical Society&lt;/publisher&gt;&lt;last-updated-date format="utc"&gt;1734431246&lt;/last-updated-date&gt;&lt;electronic-resource-num&gt;10.1021/acs.cgd.9b01449&lt;/electronic-resource-num&gt;&lt;volume&gt;20&lt;/volume&gt;&lt;/record&gt;&lt;/Cite&gt;&lt;/EndNote&gt;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="00FA4755" w:rsidRPr="00FA4755">
              <w:rPr>
                <w:rFonts w:ascii="Calibri" w:hAnsi="Calibri" w:cs="Calibri"/>
                <w:noProof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56DE86EE" w14:textId="16F2AA42" w:rsidR="005B5AC6" w:rsidRDefault="005B5AC6" w:rsidP="005B5AC6"/>
    <w:p w14:paraId="3874EC52" w14:textId="77777777" w:rsidR="00C54D10" w:rsidRDefault="00C54D10" w:rsidP="005878AA">
      <w:pPr>
        <w:rPr>
          <w:lang w:val="en-US"/>
        </w:rPr>
      </w:pPr>
    </w:p>
    <w:p w14:paraId="306727CE" w14:textId="77777777" w:rsidR="00FA4755" w:rsidRPr="00FA4755" w:rsidRDefault="00C54D10" w:rsidP="00FA475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A4755" w:rsidRPr="00FA4755">
        <w:t>1.</w:t>
      </w:r>
      <w:r w:rsidR="00FA4755" w:rsidRPr="00FA4755">
        <w:tab/>
        <w:t xml:space="preserve">C. S. Choi and J. E. Abel, </w:t>
      </w:r>
      <w:r w:rsidR="00FA4755" w:rsidRPr="00FA4755">
        <w:rPr>
          <w:i/>
        </w:rPr>
        <w:t>Acta Crystallographica Section B</w:t>
      </w:r>
      <w:r w:rsidR="00FA4755" w:rsidRPr="00FA4755">
        <w:t xml:space="preserve">, 1972, </w:t>
      </w:r>
      <w:r w:rsidR="00FA4755" w:rsidRPr="00FA4755">
        <w:rPr>
          <w:b/>
        </w:rPr>
        <w:t>28</w:t>
      </w:r>
      <w:r w:rsidR="00FA4755" w:rsidRPr="00FA4755">
        <w:t>, 193-201.</w:t>
      </w:r>
    </w:p>
    <w:p w14:paraId="781CAF34" w14:textId="77777777" w:rsidR="00FA4755" w:rsidRPr="00FA4755" w:rsidRDefault="00FA4755" w:rsidP="00FA4755">
      <w:pPr>
        <w:pStyle w:val="EndNoteBibliography"/>
        <w:spacing w:after="0"/>
        <w:ind w:left="720" w:hanging="720"/>
      </w:pPr>
      <w:r w:rsidRPr="00FA4755">
        <w:lastRenderedPageBreak/>
        <w:t>2.</w:t>
      </w:r>
      <w:r w:rsidRPr="00FA4755">
        <w:tab/>
        <w:t xml:space="preserve">P. K. Thallapally, R. K. R. Jetti, A. K. Katz, H. L. Carrell, K. Singh, K. Lahiri, S. Kotha, R. Boese and G. R. Desiraju, </w:t>
      </w:r>
      <w:r w:rsidRPr="00FA4755">
        <w:rPr>
          <w:i/>
        </w:rPr>
        <w:t>Angewandte Chemie-International Edition</w:t>
      </w:r>
      <w:r w:rsidRPr="00FA4755">
        <w:t xml:space="preserve">, 2004, </w:t>
      </w:r>
      <w:r w:rsidRPr="00FA4755">
        <w:rPr>
          <w:b/>
        </w:rPr>
        <w:t>43</w:t>
      </w:r>
      <w:r w:rsidRPr="00FA4755">
        <w:t>, 1149-1155.</w:t>
      </w:r>
    </w:p>
    <w:p w14:paraId="14999F05" w14:textId="77777777" w:rsidR="00FA4755" w:rsidRPr="00FA4755" w:rsidRDefault="00FA4755" w:rsidP="00FA4755">
      <w:pPr>
        <w:pStyle w:val="EndNoteBibliography"/>
        <w:ind w:left="720" w:hanging="720"/>
      </w:pPr>
      <w:r w:rsidRPr="00FA4755">
        <w:t>3.</w:t>
      </w:r>
      <w:r w:rsidRPr="00FA4755">
        <w:tab/>
        <w:t xml:space="preserve">Z. Yang, H. Wang, J. Zhang, Y. Ma, Y. Tan, F. Nie, J. Zhang and H. Li, </w:t>
      </w:r>
      <w:r w:rsidRPr="00FA4755">
        <w:rPr>
          <w:i/>
        </w:rPr>
        <w:t>Crystal Growth &amp; Design</w:t>
      </w:r>
      <w:r w:rsidRPr="00FA4755">
        <w:t xml:space="preserve">, 2020, </w:t>
      </w:r>
      <w:r w:rsidRPr="00FA4755">
        <w:rPr>
          <w:b/>
        </w:rPr>
        <w:t>20</w:t>
      </w:r>
      <w:r w:rsidRPr="00FA4755">
        <w:t>, 2129-2134.</w:t>
      </w:r>
    </w:p>
    <w:p w14:paraId="08580BC1" w14:textId="7F7A5EF3" w:rsidR="005878AA" w:rsidRDefault="00C54D10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94F4C"/>
    <w:multiLevelType w:val="hybridMultilevel"/>
    <w:tmpl w:val="37C01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1"/>
  </w:num>
  <w:num w:numId="2" w16cid:durableId="58349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oyal Society of 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94CBE"/>
    <w:rsid w:val="000B6805"/>
    <w:rsid w:val="000D7232"/>
    <w:rsid w:val="00191924"/>
    <w:rsid w:val="001A3932"/>
    <w:rsid w:val="003C5B33"/>
    <w:rsid w:val="003E61D1"/>
    <w:rsid w:val="00501FB9"/>
    <w:rsid w:val="005023C9"/>
    <w:rsid w:val="00557385"/>
    <w:rsid w:val="005825DC"/>
    <w:rsid w:val="005878AA"/>
    <w:rsid w:val="005A2716"/>
    <w:rsid w:val="005B5AC6"/>
    <w:rsid w:val="005C7854"/>
    <w:rsid w:val="00634218"/>
    <w:rsid w:val="0069766E"/>
    <w:rsid w:val="006C2439"/>
    <w:rsid w:val="007027F5"/>
    <w:rsid w:val="00797A97"/>
    <w:rsid w:val="008811C4"/>
    <w:rsid w:val="008C53C4"/>
    <w:rsid w:val="00A657FE"/>
    <w:rsid w:val="00A82E93"/>
    <w:rsid w:val="00B21E4D"/>
    <w:rsid w:val="00C01BC3"/>
    <w:rsid w:val="00C54D10"/>
    <w:rsid w:val="00D05024"/>
    <w:rsid w:val="00D4221C"/>
    <w:rsid w:val="00D72C06"/>
    <w:rsid w:val="00DE6D62"/>
    <w:rsid w:val="00E40068"/>
    <w:rsid w:val="00E852A2"/>
    <w:rsid w:val="00F8589A"/>
    <w:rsid w:val="00FA4755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C54D1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54D1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54D1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54D10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FA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Louise Price</cp:lastModifiedBy>
  <cp:revision>5</cp:revision>
  <dcterms:created xsi:type="dcterms:W3CDTF">2024-12-17T10:18:00Z</dcterms:created>
  <dcterms:modified xsi:type="dcterms:W3CDTF">2025-01-13T17:05:00Z</dcterms:modified>
</cp:coreProperties>
</file>