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ED65B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F27189">
            <w:pPr>
              <w:pStyle w:val="Pa16"/>
              <w:spacing w:before="20" w:after="20"/>
              <w:rPr>
                <w:rFonts w:ascii="標楷體" w:eastAsia="標楷體" w:hAnsi="標楷體" w:cs="華康明體K輀." w:hint="eastAsia"/>
                <w:color w:val="000000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），降低使用單位，如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企業的開發和維護的成本。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AF27CD">
            <w:pPr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），降低使用</w:t>
            </w:r>
            <w:bookmarkStart w:id="0" w:name="_GoBack"/>
            <w:r w:rsidRPr="00ED65B9">
              <w:rPr>
                <w:rFonts w:ascii="標楷體" w:eastAsia="標楷體" w:hAnsi="標楷體" w:cs="華康明體K輀." w:hint="eastAsia"/>
                <w:color w:val="FF0000"/>
                <w:sz w:val="24"/>
                <w:szCs w:val="24"/>
              </w:rPr>
              <w:t>費用</w:t>
            </w:r>
            <w:bookmarkEnd w:id="0"/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，如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企業的開發和維護的成本。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136DC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6</w:t>
            </w:r>
            <w:r w:rsidRPr="00136DCD">
              <w:rPr>
                <w:rFonts w:ascii="標楷體" w:eastAsia="標楷體" w:hAnsi="標楷體" w:hint="eastAsia"/>
              </w:rPr>
              <w:t>行</w:t>
            </w:r>
          </w:p>
          <w:p w:rsidR="00136DCD" w:rsidRPr="00136DCD" w:rsidRDefault="00136DCD" w:rsidP="00136DCD">
            <w:pPr>
              <w:pStyle w:val="Pa26"/>
              <w:spacing w:before="20" w:after="20"/>
              <w:jc w:val="both"/>
              <w:rPr>
                <w:color w:val="000000"/>
              </w:rPr>
            </w:pPr>
            <w:r w:rsidRPr="00136DCD">
              <w:rPr>
                <w:color w:val="000000"/>
              </w:rPr>
              <w:t xml:space="preserve"> print('%3d'%(num),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t>print('%3d'%(num), end=</w:t>
            </w:r>
            <w:r w:rsidRPr="00136DCD">
              <w:rPr>
                <w:color w:val="FF0000"/>
              </w:rPr>
              <w:t>””</w:t>
            </w:r>
            <w:r w:rsidRPr="00136DCD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136DCD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4行</w:t>
            </w:r>
          </w:p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BA0AE0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11行</w:t>
            </w:r>
          </w:p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BA0AE0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lastRenderedPageBreak/>
              <w:t>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lastRenderedPageBreak/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lastRenderedPageBreak/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C365F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A90B84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DB1F8A" w:rsidRDefault="00C365FF" w:rsidP="00C365F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B53" w:rsidRDefault="00644B53">
      <w:r>
        <w:separator/>
      </w:r>
    </w:p>
  </w:endnote>
  <w:endnote w:type="continuationSeparator" w:id="0">
    <w:p w:rsidR="00644B53" w:rsidRDefault="0064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華康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ED65B9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B53" w:rsidRDefault="00644B53">
      <w:r>
        <w:separator/>
      </w:r>
    </w:p>
  </w:footnote>
  <w:footnote w:type="continuationSeparator" w:id="0">
    <w:p w:rsidR="00644B53" w:rsidRDefault="0064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870E3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36DC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0F2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4B53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1383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0AE0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6D44"/>
    <w:rsid w:val="00CC76C7"/>
    <w:rsid w:val="00CD04B1"/>
    <w:rsid w:val="00CD7917"/>
    <w:rsid w:val="00CE2C72"/>
    <w:rsid w:val="00CE38AE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D65B9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422</cp:revision>
  <dcterms:created xsi:type="dcterms:W3CDTF">2018-05-07T03:04:00Z</dcterms:created>
  <dcterms:modified xsi:type="dcterms:W3CDTF">2019-11-19T08:09:00Z</dcterms:modified>
</cp:coreProperties>
</file>