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yyf3ixkh99t1" w:id="0"/>
      <w:bookmarkEnd w:id="0"/>
      <w:r w:rsidDel="00000000" w:rsidR="00000000" w:rsidRPr="00000000">
        <w:rPr>
          <w:rtl w:val="0"/>
        </w:rPr>
        <w:t xml:space="preserve">Deskripsi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used in this project is from an anonymous organisation’s social media ad campaign.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1.) ad_id: an unique ID for each ad.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2.) xyzcampaignid: an ID associated with each ad campaign of XYZ company.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3.) fbcampaignid: an ID associated with how Facebook tracks each campaign.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4.) age: age of the person to whom the ad is shown.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5.) gender: gender of the person to whim the add is shown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6.) interest: a code specifying the category to which the person’s interest belongs (interests are as mentioned in the person’s Facebook public profile).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7.) Impressions: the number of times the ad was shown.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8.) Clicks: number of clicks on for that ad.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9.) Spent: Amount paid by company xyz to Facebook, to show that ad.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10.) Total conversion: Total number of people who enquired about the product after seeing the 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11.) Approved conversion: Total number of people who bought the product after seeing the 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