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 audit GdP</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F-2049 est un cabinet de conseil dédié à la réindustrialisation, aux relocalisations, à la reconstitution de filières affaiblies. Leur objectif est d’aider les acteurs privés, pouvoirs publics, collectivités territoriales, associations et fédérations professionnelles à surmonter les défis de la mondialisation et à renforcer la compétitivité des entreprises françaises sur le marché local et européen.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Leur méthodologie :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éindustrialisation =Smart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ata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tratégie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ollaboration</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nous analysons des bases de données d'entreprises (</w:t>
      </w:r>
      <w:r w:rsidDel="00000000" w:rsidR="00000000" w:rsidRPr="00000000">
        <w:rPr>
          <w:color w:val="1f1f1f"/>
          <w:sz w:val="22"/>
          <w:szCs w:val="22"/>
          <w:rtl w:val="0"/>
        </w:rPr>
        <w:t xml:space="preserve">Nom, Numéro SIREN, Domaine de production, Adresse, Chiffre d'affaires, Prix des produits, Nombre d’employés, Parc machine…)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 douanes, de produits, et bien plus encore. Cette analyse détaillée nous permet d'avoir une vision précise de l'état des filières industrielles, en identifiant les forces et les faiblesses ainsi que les acteurs qui les composent. Une utilisation intensive de la big data est cruciale pour comprendre d'où l'on vient et établir une base solide pour toute stratégie.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Notre approche stratégique détermine où aller, pourquoi y aller et comment y aller. La stratégie repose sur une analyse approfondie des données pour définir les objectifs et les actions nécessaires. Qu'il s'agisse de stratégie territoriale — "Entrante" (compétences et/ou activités à attirer) ou "Sortante" (compétences et/ou activités à développer ailleurs) — ou de stratégie d'entreprise visant la diversification, une stratégie bien pensée guide les entreprises vers le succès.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 collaboration est essentielle pour exécuter la stratégie. Face à l'affaiblissement des filières, il est nécessaire de mobiliser intensivement toutes les ressources possibles. Cela inclut la recherche de partenaires industriels, commerciaux et académiques, l'utilisation de la méthode ITACC 5.0 pour analyser les projets, et l'intégration de notre accélérateur de réindustrialisation. Cette mobilisation collective assure que la stratégie est mise en œuvre efficacement et que les objectifs sont atteints.</w:t>
      </w:r>
    </w:p>
    <w:p w:rsidR="00000000" w:rsidDel="00000000" w:rsidP="00000000" w:rsidRDefault="00000000" w:rsidRPr="00000000" w14:paraId="00000008">
      <w:pPr>
        <w:spacing w:after="240" w:before="240" w:line="276" w:lineRule="auto"/>
        <w:rPr>
          <w:sz w:val="28"/>
          <w:szCs w:val="28"/>
        </w:rPr>
      </w:pPr>
      <w:r w:rsidDel="00000000" w:rsidR="00000000" w:rsidRPr="00000000">
        <w:rPr>
          <w:sz w:val="28"/>
          <w:szCs w:val="28"/>
          <w:rtl w:val="0"/>
        </w:rPr>
        <w:t xml:space="preserve">Intégration d’</w:t>
      </w:r>
      <w:r w:rsidDel="00000000" w:rsidR="00000000" w:rsidRPr="00000000">
        <w:rPr>
          <w:sz w:val="28"/>
          <w:szCs w:val="28"/>
          <w:rtl w:val="0"/>
        </w:rPr>
        <w:t xml:space="preserve">une vaste gamme de données provenant de sources diverses pour une vision exhaustive des filières industrielles :</w:t>
      </w:r>
      <w:r w:rsidDel="00000000" w:rsidR="00000000" w:rsidRPr="00000000">
        <w:rPr>
          <w:rtl w:val="0"/>
        </w:rPr>
      </w:r>
    </w:p>
    <w:p w:rsidR="00000000" w:rsidDel="00000000" w:rsidP="00000000" w:rsidRDefault="00000000" w:rsidRPr="00000000" w14:paraId="00000009">
      <w:pPr>
        <w:numPr>
          <w:ilvl w:val="0"/>
          <w:numId w:val="3"/>
        </w:numPr>
        <w:spacing w:after="0" w:afterAutospacing="0" w:before="240" w:line="276" w:lineRule="auto"/>
        <w:ind w:left="720" w:hanging="360"/>
        <w:rPr>
          <w:color w:val="000000"/>
          <w:sz w:val="28"/>
          <w:szCs w:val="28"/>
        </w:rPr>
      </w:pPr>
      <w:r w:rsidDel="00000000" w:rsidR="00000000" w:rsidRPr="00000000">
        <w:rPr>
          <w:b w:val="1"/>
          <w:bCs w:val="1"/>
          <w:sz w:val="28"/>
          <w:szCs w:val="28"/>
          <w:rtl w:val="0"/>
        </w:rPr>
        <w:t xml:space="preserve">Bases de Données d'Entreprises </w:t>
      </w:r>
      <w:r w:rsidDel="00000000" w:rsidR="00000000" w:rsidRPr="00000000">
        <w:rPr>
          <w:sz w:val="28"/>
          <w:szCs w:val="28"/>
          <w:rtl w:val="0"/>
        </w:rPr>
        <w:t xml:space="preserve">: Informations détaillées sur les éléments financiers, les activités (NAF), et les performances des entreprises.</w:t>
      </w:r>
    </w:p>
    <w:p w:rsidR="00000000" w:rsidDel="00000000" w:rsidP="00000000" w:rsidRDefault="00000000" w:rsidRPr="00000000" w14:paraId="0000000A">
      <w:pPr>
        <w:numPr>
          <w:ilvl w:val="0"/>
          <w:numId w:val="3"/>
        </w:numPr>
        <w:spacing w:after="0" w:afterAutospacing="0" w:before="0" w:beforeAutospacing="0" w:line="276" w:lineRule="auto"/>
        <w:ind w:left="720" w:hanging="360"/>
        <w:rPr>
          <w:color w:val="000000"/>
          <w:sz w:val="28"/>
          <w:szCs w:val="28"/>
        </w:rPr>
      </w:pPr>
      <w:r w:rsidDel="00000000" w:rsidR="00000000" w:rsidRPr="00000000">
        <w:rPr>
          <w:b w:val="1"/>
          <w:bCs w:val="1"/>
          <w:sz w:val="28"/>
          <w:szCs w:val="28"/>
          <w:rtl w:val="0"/>
        </w:rPr>
        <w:t xml:space="preserve">Bases de Données Douanières :</w:t>
      </w:r>
      <w:r w:rsidDel="00000000" w:rsidR="00000000" w:rsidRPr="00000000">
        <w:rPr>
          <w:sz w:val="28"/>
          <w:szCs w:val="28"/>
          <w:rtl w:val="0"/>
        </w:rPr>
        <w:t xml:space="preserve"> Données des douanes nationales et régionales pour analyser les flux commerciaux et les tendances d'import/export.</w:t>
      </w:r>
    </w:p>
    <w:p w:rsidR="00000000" w:rsidDel="00000000" w:rsidP="00000000" w:rsidRDefault="00000000" w:rsidRPr="00000000" w14:paraId="0000000B">
      <w:pPr>
        <w:numPr>
          <w:ilvl w:val="0"/>
          <w:numId w:val="3"/>
        </w:numPr>
        <w:spacing w:after="0" w:afterAutospacing="0" w:before="0" w:beforeAutospacing="0" w:line="276" w:lineRule="auto"/>
        <w:ind w:left="720" w:hanging="360"/>
        <w:rPr>
          <w:color w:val="000000"/>
          <w:sz w:val="28"/>
          <w:szCs w:val="28"/>
        </w:rPr>
      </w:pPr>
      <w:r w:rsidDel="00000000" w:rsidR="00000000" w:rsidRPr="00000000">
        <w:rPr>
          <w:b w:val="1"/>
          <w:bCs w:val="1"/>
          <w:sz w:val="28"/>
          <w:szCs w:val="28"/>
          <w:rtl w:val="0"/>
        </w:rPr>
        <w:t xml:space="preserve">Dépôts de Brevets et Labels :</w:t>
      </w:r>
      <w:r w:rsidDel="00000000" w:rsidR="00000000" w:rsidRPr="00000000">
        <w:rPr>
          <w:sz w:val="28"/>
          <w:szCs w:val="28"/>
          <w:rtl w:val="0"/>
        </w:rPr>
        <w:t xml:space="preserve"> Suivi des innovations technologiques et des certifications pour évaluer le dynamisme des filières.</w:t>
      </w:r>
    </w:p>
    <w:p w:rsidR="00000000" w:rsidDel="00000000" w:rsidP="00000000" w:rsidRDefault="00000000" w:rsidRPr="00000000" w14:paraId="0000000C">
      <w:pPr>
        <w:numPr>
          <w:ilvl w:val="0"/>
          <w:numId w:val="3"/>
        </w:numPr>
        <w:spacing w:after="240" w:before="0" w:beforeAutospacing="0" w:line="276" w:lineRule="auto"/>
        <w:ind w:left="720" w:hanging="360"/>
        <w:rPr>
          <w:color w:val="000000"/>
          <w:sz w:val="28"/>
          <w:szCs w:val="28"/>
        </w:rPr>
      </w:pPr>
      <w:r w:rsidDel="00000000" w:rsidR="00000000" w:rsidRPr="00000000">
        <w:rPr>
          <w:b w:val="1"/>
          <w:bCs w:val="1"/>
          <w:sz w:val="28"/>
          <w:szCs w:val="28"/>
          <w:rtl w:val="0"/>
        </w:rPr>
        <w:t xml:space="preserve">Participation aux Salons et Pôles de Compétitivité :</w:t>
      </w:r>
      <w:r w:rsidDel="00000000" w:rsidR="00000000" w:rsidRPr="00000000">
        <w:rPr>
          <w:sz w:val="28"/>
          <w:szCs w:val="28"/>
          <w:rtl w:val="0"/>
        </w:rPr>
        <w:t xml:space="preserve"> Informations sur les événements sectoriels et les clusters d'innovation pour identifier les</w:t>
        <w:br w:type="textWrapping"/>
        <w:t xml:space="preserve"> opportunités de collaboration.</w:t>
        <w:br w:type="textWrapping"/>
      </w:r>
    </w:p>
    <w:p w:rsidR="00000000" w:rsidDel="00000000" w:rsidP="00000000" w:rsidRDefault="00000000" w:rsidRPr="00000000" w14:paraId="0000000D">
      <w:pPr>
        <w:spacing w:after="240" w:before="240" w:line="276" w:lineRule="auto"/>
        <w:ind w:left="0" w:firstLine="0"/>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Pourquoi :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32"/>
          <w:szCs w:val="32"/>
        </w:rPr>
      </w:pPr>
      <w:r w:rsidDel="00000000" w:rsidR="00000000" w:rsidRPr="00000000">
        <w:rPr>
          <w:sz w:val="32"/>
          <w:szCs w:val="32"/>
          <w:rtl w:val="0"/>
        </w:rPr>
        <w:t xml:space="preserve">Objectifs du projet :</w:t>
      </w:r>
    </w:p>
    <w:p w:rsidR="00000000" w:rsidDel="00000000" w:rsidP="00000000" w:rsidRDefault="00000000" w:rsidRPr="00000000" w14:paraId="00000010">
      <w:pPr>
        <w:numPr>
          <w:ilvl w:val="0"/>
          <w:numId w:val="4"/>
        </w:numPr>
        <w:spacing w:after="0" w:afterAutospacing="0"/>
        <w:ind w:left="720" w:hanging="360"/>
        <w:rPr>
          <w:sz w:val="28"/>
          <w:szCs w:val="28"/>
        </w:rPr>
      </w:pPr>
      <w:r w:rsidDel="00000000" w:rsidR="00000000" w:rsidRPr="00000000">
        <w:rPr>
          <w:sz w:val="28"/>
          <w:szCs w:val="28"/>
          <w:rtl w:val="0"/>
        </w:rPr>
        <w:t xml:space="preserve">Développer un outil multi-approches d'extraction automatisée (web scraping, API, IA générative)</w:t>
      </w:r>
    </w:p>
    <w:p w:rsidR="00000000" w:rsidDel="00000000" w:rsidP="00000000" w:rsidRDefault="00000000" w:rsidRPr="00000000" w14:paraId="00000011">
      <w:pPr>
        <w:numPr>
          <w:ilvl w:val="0"/>
          <w:numId w:val="4"/>
        </w:numPr>
        <w:spacing w:after="0" w:afterAutospacing="0"/>
        <w:ind w:left="720" w:hanging="360"/>
        <w:rPr>
          <w:sz w:val="28"/>
          <w:szCs w:val="28"/>
        </w:rPr>
      </w:pPr>
      <w:r w:rsidDel="00000000" w:rsidR="00000000" w:rsidRPr="00000000">
        <w:rPr>
          <w:sz w:val="28"/>
          <w:szCs w:val="28"/>
          <w:rtl w:val="0"/>
        </w:rPr>
        <w:t xml:space="preserve">Créer un système robuste de traitement et normalisation des données connectées</w:t>
      </w:r>
    </w:p>
    <w:p w:rsidR="00000000" w:rsidDel="00000000" w:rsidP="00000000" w:rsidRDefault="00000000" w:rsidRPr="00000000" w14:paraId="00000012">
      <w:pPr>
        <w:numPr>
          <w:ilvl w:val="0"/>
          <w:numId w:val="4"/>
        </w:numPr>
        <w:spacing w:after="0" w:afterAutospacing="0"/>
        <w:ind w:left="720" w:hanging="360"/>
        <w:rPr>
          <w:sz w:val="28"/>
          <w:szCs w:val="28"/>
        </w:rPr>
      </w:pPr>
      <w:r w:rsidDel="00000000" w:rsidR="00000000" w:rsidRPr="00000000">
        <w:rPr>
          <w:sz w:val="28"/>
          <w:szCs w:val="28"/>
          <w:rtl w:val="0"/>
        </w:rPr>
        <w:t xml:space="preserve">Concevoir une architecture évolutive permettant l'ajout de nouvelles sources de données</w:t>
      </w:r>
    </w:p>
    <w:p w:rsidR="00000000" w:rsidDel="00000000" w:rsidP="00000000" w:rsidRDefault="00000000" w:rsidRPr="00000000" w14:paraId="00000013">
      <w:pPr>
        <w:numPr>
          <w:ilvl w:val="0"/>
          <w:numId w:val="4"/>
        </w:numPr>
        <w:spacing w:after="0" w:afterAutospacing="0"/>
        <w:ind w:left="720" w:hanging="360"/>
        <w:rPr>
          <w:sz w:val="28"/>
          <w:szCs w:val="28"/>
        </w:rPr>
      </w:pPr>
      <w:r w:rsidDel="00000000" w:rsidR="00000000" w:rsidRPr="00000000">
        <w:rPr>
          <w:sz w:val="28"/>
          <w:szCs w:val="28"/>
          <w:rtl w:val="0"/>
        </w:rPr>
        <w:t xml:space="preserve">Intégrer automatiquement les données dans l'écosystème Power BI existant</w:t>
      </w:r>
    </w:p>
    <w:p w:rsidR="00000000" w:rsidDel="00000000" w:rsidP="00000000" w:rsidRDefault="00000000" w:rsidRPr="00000000" w14:paraId="00000014">
      <w:pPr>
        <w:numPr>
          <w:ilvl w:val="0"/>
          <w:numId w:val="4"/>
        </w:numPr>
        <w:ind w:left="720" w:hanging="360"/>
        <w:rPr>
          <w:sz w:val="28"/>
          <w:szCs w:val="28"/>
        </w:rPr>
      </w:pPr>
      <w:r w:rsidDel="00000000" w:rsidR="00000000" w:rsidRPr="00000000">
        <w:rPr>
          <w:sz w:val="28"/>
          <w:szCs w:val="28"/>
          <w:rtl w:val="0"/>
        </w:rPr>
        <w:t xml:space="preserve">Implémenter un système de planification avec cycles de mise à jour semestrielles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17" w:top="1417" w:left="1417"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color w:val="dbdb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