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120"/>
          <w:szCs w:val="120"/>
        </w:rPr>
        <w:t xml:space="preserve"/>
      </w:r>
    </w:p>
    <w:p>
      <w:pPr>
        <w:spacing w:after="200" w:before="800"/>
        <w:jc w:val="center"/>
      </w:pPr>
      <w:r>
        <w:rPr>
          <w:b/>
          <w:bCs/>
          <w:color w:val="1B5E20"/>
          <w:sz w:val="64"/>
          <w:szCs w:val="64"/>
        </w:rPr>
        <w:t xml:space="preserve">🌿 FAITIEREHUB</w:t>
      </w:r>
    </w:p>
    <w:p>
      <w:pPr>
        <w:spacing w:after="200" w:before="0"/>
        <w:jc w:val="center"/>
      </w:pPr>
      <w:r>
        <w:rPr>
          <w:b/>
          <w:bCs/>
          <w:color w:val="B8860B"/>
          <w:sz w:val="40"/>
          <w:szCs w:val="40"/>
        </w:rPr>
        <w:t xml:space="preserve">CONSEIL STRATÉGIQUE SUPRÊME</w:t>
      </w:r>
    </w:p>
    <w:p>
      <w:pPr>
        <w:spacing w:after="600" w:before="0"/>
        <w:jc w:val="center"/>
      </w:pPr>
      <w:r>
        <w:rPr>
          <w:i/>
          <w:iCs/>
          <w:color w:val="2E7D32"/>
          <w:sz w:val="28"/>
          <w:szCs w:val="28"/>
        </w:rPr>
        <w:t xml:space="preserve">Infrastructure Numérique Agricole du Togo</w:t>
      </w:r>
    </w:p>
    <w:p>
      <w:pPr>
        <w:pBdr>
          <w:bottom w:val="single" w:color="1B5E20" w:sz="6"/>
        </w:pBdr>
        <w:spacing w:after="200" w:before="200"/>
      </w:pPr>
    </w:p>
    <w:p>
      <w:pPr>
        <w:spacing w:after="200" w:before="400"/>
        <w:jc w:val="center"/>
      </w:pPr>
      <w:r>
        <w:rPr>
          <w:b/>
          <w:bCs/>
          <w:color w:val="1A1A1A"/>
          <w:sz w:val="26"/>
          <w:szCs w:val="26"/>
        </w:rPr>
        <w:t xml:space="preserve">Rapport Stratégique Complet 2026–2035</w:t>
      </w:r>
    </w:p>
    <w:p>
      <w:pPr>
        <w:spacing w:after="600" w:before="0"/>
        <w:jc w:val="center"/>
      </w:pPr>
      <w:r>
        <w:rPr>
          <w:i/>
          <w:iCs/>
          <w:color w:val="AAAAAA"/>
          <w:sz w:val="20"/>
          <w:szCs w:val="20"/>
        </w:rPr>
        <w:t xml:space="preserve">Niveau : McKinsey &amp; Company · Bain Capital · Rothschild &amp; Co · Banque Mondiale · FIDA</w:t>
      </w:r>
    </w:p>
    <w:p>
      <w:pPr>
        <w:spacing w:after="200" w:before="600"/>
        <w:jc w:val="center"/>
      </w:pPr>
      <w:r>
        <w:rPr>
          <w:b/>
          <w:bCs/>
          <w:color w:val="CC0000"/>
          <w:sz w:val="20"/>
          <w:szCs w:val="20"/>
        </w:rPr>
        <w:t xml:space="preserve">CONFIDENTIEL — Usage restreint aux décideurs autorisés</w:t>
      </w:r>
    </w:p>
    <w:p>
      <w:pPr>
        <w:spacing w:after="0" w:before="100"/>
        <w:jc w:val="center"/>
      </w:pPr>
      <w:r>
        <w:rPr>
          <w:color w:val="555555"/>
          <w:sz w:val="22"/>
          <w:szCs w:val="22"/>
        </w:rPr>
        <w:t xml:space="preserve">Juin 2026</w:t>
      </w:r>
    </w:p>
    <w:p>
      <w:r>
        <w:br w:type="page"/>
      </w:r>
    </w:p>
    <w:p>
      <w:pPr>
        <w:pStyle w:val="Heading1"/>
        <w:spacing w:after="240" w:before="480"/>
      </w:pPr>
      <w:r>
        <w:t xml:space="preserve">RÉSUMÉ EXÉCUTIF</w:t>
      </w:r>
    </w:p>
    <w:p>
      <w:pPr>
        <w:pBdr>
          <w:left w:val="single" w:color="43A047" w:sz="12"/>
        </w:pBdr>
        <w:shd w:fill="F1F8E9" w:val="solid"/>
        <w:spacing w:after="120" w:before="120"/>
        <w:ind w:left="360" w:right="360"/>
      </w:pPr>
      <w:r>
        <w:rPr>
          <w:i/>
          <w:iCs/>
          <w:color w:val="2E7D32"/>
          <w:sz w:val="21"/>
          <w:szCs w:val="21"/>
        </w:rPr>
        <w:t xml:space="preserve">FaîtiereHub est le premier système d'information agricole intégré du Togo, conçu pour digitaliser l'ensemble du cycle de vie des coopératives : inscription des membres, cotisations, scoring ATS, matchmaking acheteur-vendeur et intelligence agronomique embarquée.</w:t>
      </w:r>
    </w:p>
    <w:p>
      <w:pPr>
        <w:spacing w:after="80" w:before="80"/>
        <w:jc w:val="both"/>
      </w:pPr>
      <w:r>
        <w:rPr>
          <w:color w:val="1A1A1A"/>
          <w:sz w:val="22"/>
          <w:szCs w:val="22"/>
        </w:rPr>
        <w:t xml:space="preserve">Le Togo compte 7,7 millions d'habitants dont 65 % dépendent de l'agriculture. Plus de 3 000 coopératives sont actives, regroupant potentiellement 600 000 producteurs, mais opèrent presque exclusivement sur papier. FaîtiereHub s'attaque à ce déficit structurel avec une infrastructure SaaS mobile-first, adaptée à la connectivité limitée des zones rurales.</w:t>
      </w:r>
    </w:p>
    <w:p>
      <w:pPr>
        <w:spacing w:after="80" w:before="80"/>
        <w:jc w:val="both"/>
      </w:pPr>
      <w:r>
        <w:rPr>
          <w:color w:val="1A1A1A"/>
          <w:sz w:val="22"/>
          <w:szCs w:val="22"/>
        </w:rPr>
        <w:t xml:space="preserve">Ce document constitue le dossier stratégique complet à destination des investisseurs institutionnels, bailleurs de fonds et décideurs gouvernementaux. Il couvre le diagnostic, le plan directeur, le modèle financier, la théorie du changement, le mémo d'investissement et la feuille de route opérationnelle sur 10 ans.</w:t>
      </w:r>
    </w:p>
    <w:p>
      <w:pPr>
        <w:pStyle w:val="Heading2"/>
        <w:spacing w:after="180" w:before="360"/>
      </w:pPr>
      <w:r>
        <w:t xml:space="preserve">Chiffres clés de la thèse d'investissement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5E20" w:val="solid"/>
            <w:tcMar>
              <w:top w:type="dxa" w:w="80"/>
              <w:left w:type="dxa" w:w="120"/>
              <w:bottom w:type="dxa" w:w="80"/>
              <w:right w:type="dxa" w:w="120"/>
            </w:tcMar>
          </w:tcPr>
          <w:p>
            <w:pPr>
              <w:jc w:val="left"/>
            </w:pPr>
            <w:r>
              <w:rPr>
                <w:b/>
                <w:bCs/>
                <w:color w:val="FFFFFF"/>
                <w:sz w:val="20"/>
                <w:szCs w:val="20"/>
              </w:rPr>
              <w:t xml:space="preserve">Indicateur</w:t>
            </w:r>
          </w:p>
        </w:tc>
        <w:tc>
          <w:tcPr>
            <w:shd w:fill="1B5E20" w:val="solid"/>
            <w:tcMar>
              <w:top w:type="dxa" w:w="80"/>
              <w:left w:type="dxa" w:w="120"/>
              <w:bottom w:type="dxa" w:w="80"/>
              <w:right w:type="dxa" w:w="120"/>
            </w:tcMar>
          </w:tcPr>
          <w:p>
            <w:pPr>
              <w:jc w:val="center"/>
            </w:pPr>
            <w:r>
              <w:rPr>
                <w:b/>
                <w:bCs/>
                <w:color w:val="FFFFFF"/>
                <w:sz w:val="20"/>
                <w:szCs w:val="20"/>
              </w:rPr>
              <w:t xml:space="preserve">Valeur</w:t>
            </w:r>
          </w:p>
        </w:tc>
        <w:tc>
          <w:tcPr>
            <w:shd w:fill="1B5E20" w:val="solid"/>
            <w:tcMar>
              <w:top w:type="dxa" w:w="80"/>
              <w:left w:type="dxa" w:w="120"/>
              <w:bottom w:type="dxa" w:w="80"/>
              <w:right w:type="dxa" w:w="120"/>
            </w:tcMar>
          </w:tcPr>
          <w:p>
            <w:pPr>
              <w:jc w:val="center"/>
            </w:pPr>
            <w:r>
              <w:rPr>
                <w:b/>
                <w:bCs/>
                <w:color w:val="FFFFFF"/>
                <w:sz w:val="20"/>
                <w:szCs w:val="20"/>
              </w:rPr>
              <w:t xml:space="preserve">Horizon</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TAM (Togo)</w:t>
            </w:r>
          </w:p>
        </w:tc>
        <w:tc>
          <w:tcPr>
            <w:tcMar>
              <w:top w:type="dxa" w:w="80"/>
              <w:left w:type="dxa" w:w="120"/>
              <w:bottom w:type="dxa" w:w="80"/>
              <w:right w:type="dxa" w:w="120"/>
            </w:tcMar>
          </w:tcPr>
          <w:p>
            <w:pPr>
              <w:jc w:val="center"/>
            </w:pPr>
            <w:r>
              <w:rPr>
                <w:b w:val="false"/>
                <w:bCs w:val="false"/>
                <w:color w:val="1A1A1A"/>
                <w:sz w:val="19"/>
                <w:szCs w:val="19"/>
              </w:rPr>
              <w:t xml:space="preserve">150 M USD</w:t>
            </w:r>
          </w:p>
        </w:tc>
        <w:tc>
          <w:tcPr>
            <w:tcMar>
              <w:top w:type="dxa" w:w="80"/>
              <w:left w:type="dxa" w:w="120"/>
              <w:bottom w:type="dxa" w:w="80"/>
              <w:right w:type="dxa" w:w="120"/>
            </w:tcMar>
          </w:tcPr>
          <w:p>
            <w:pPr>
              <w:jc w:val="center"/>
            </w:pPr>
            <w:r>
              <w:rPr>
                <w:b w:val="false"/>
                <w:bCs w:val="false"/>
                <w:color w:val="1A1A1A"/>
                <w:sz w:val="19"/>
                <w:szCs w:val="19"/>
              </w:rPr>
              <w:t xml:space="preserve">2035</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SAM (coopératives actives)</w:t>
            </w:r>
          </w:p>
        </w:tc>
        <w:tc>
          <w:tcPr>
            <w:tcMar>
              <w:top w:type="dxa" w:w="80"/>
              <w:left w:type="dxa" w:w="120"/>
              <w:bottom w:type="dxa" w:w="80"/>
              <w:right w:type="dxa" w:w="120"/>
            </w:tcMar>
          </w:tcPr>
          <w:p>
            <w:pPr>
              <w:jc w:val="center"/>
            </w:pPr>
            <w:r>
              <w:rPr>
                <w:b w:val="false"/>
                <w:bCs w:val="false"/>
                <w:color w:val="1A1A1A"/>
                <w:sz w:val="19"/>
                <w:szCs w:val="19"/>
              </w:rPr>
              <w:t xml:space="preserve">22 M USD</w:t>
            </w:r>
          </w:p>
        </w:tc>
        <w:tc>
          <w:tcPr>
            <w:tcMar>
              <w:top w:type="dxa" w:w="80"/>
              <w:left w:type="dxa" w:w="120"/>
              <w:bottom w:type="dxa" w:w="80"/>
              <w:right w:type="dxa" w:w="120"/>
            </w:tcMar>
          </w:tcPr>
          <w:p>
            <w:pPr>
              <w:jc w:val="center"/>
            </w:pPr>
            <w:r>
              <w:rPr>
                <w:b w:val="false"/>
                <w:bCs w:val="false"/>
                <w:color w:val="1A1A1A"/>
                <w:sz w:val="19"/>
                <w:szCs w:val="19"/>
              </w:rPr>
              <w:t xml:space="preserve">2029</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SOM (cible réaliste)</w:t>
            </w:r>
          </w:p>
        </w:tc>
        <w:tc>
          <w:tcPr>
            <w:tcMar>
              <w:top w:type="dxa" w:w="80"/>
              <w:left w:type="dxa" w:w="120"/>
              <w:bottom w:type="dxa" w:w="80"/>
              <w:right w:type="dxa" w:w="120"/>
            </w:tcMar>
          </w:tcPr>
          <w:p>
            <w:pPr>
              <w:jc w:val="center"/>
            </w:pPr>
            <w:r>
              <w:rPr>
                <w:b w:val="false"/>
                <w:bCs w:val="false"/>
                <w:color w:val="1A1A1A"/>
                <w:sz w:val="19"/>
                <w:szCs w:val="19"/>
              </w:rPr>
              <w:t xml:space="preserve">6,8 M USD ARR</w:t>
            </w:r>
          </w:p>
        </w:tc>
        <w:tc>
          <w:tcPr>
            <w:tcMar>
              <w:top w:type="dxa" w:w="80"/>
              <w:left w:type="dxa" w:w="120"/>
              <w:bottom w:type="dxa" w:w="80"/>
              <w:right w:type="dxa" w:w="120"/>
            </w:tcMar>
          </w:tcPr>
          <w:p>
            <w:pPr>
              <w:jc w:val="center"/>
            </w:pPr>
            <w:r>
              <w:rPr>
                <w:b w:val="false"/>
                <w:bCs w:val="false"/>
                <w:color w:val="1A1A1A"/>
                <w:sz w:val="19"/>
                <w:szCs w:val="19"/>
              </w:rPr>
              <w:t xml:space="preserve">2030</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Objectif membres Year 1</w:t>
            </w:r>
          </w:p>
        </w:tc>
        <w:tc>
          <w:tcPr>
            <w:tcMar>
              <w:top w:type="dxa" w:w="80"/>
              <w:left w:type="dxa" w:w="120"/>
              <w:bottom w:type="dxa" w:w="80"/>
              <w:right w:type="dxa" w:w="120"/>
            </w:tcMar>
          </w:tcPr>
          <w:p>
            <w:pPr>
              <w:jc w:val="center"/>
            </w:pPr>
            <w:r>
              <w:rPr>
                <w:b w:val="false"/>
                <w:bCs w:val="false"/>
                <w:color w:val="1A1A1A"/>
                <w:sz w:val="19"/>
                <w:szCs w:val="19"/>
              </w:rPr>
              <w:t xml:space="preserve">25 000 membres</w:t>
            </w:r>
          </w:p>
        </w:tc>
        <w:tc>
          <w:tcPr>
            <w:tcMar>
              <w:top w:type="dxa" w:w="80"/>
              <w:left w:type="dxa" w:w="120"/>
              <w:bottom w:type="dxa" w:w="80"/>
              <w:right w:type="dxa" w:w="120"/>
            </w:tcMar>
          </w:tcPr>
          <w:p>
            <w:pPr>
              <w:jc w:val="center"/>
            </w:pPr>
            <w:r>
              <w:rPr>
                <w:b w:val="false"/>
                <w:bCs w:val="false"/>
                <w:color w:val="1A1A1A"/>
                <w:sz w:val="19"/>
                <w:szCs w:val="19"/>
              </w:rPr>
              <w:t xml:space="preserve">Fin 2027</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Breakeven opérationnel</w:t>
            </w:r>
          </w:p>
        </w:tc>
        <w:tc>
          <w:tcPr>
            <w:tcMar>
              <w:top w:type="dxa" w:w="80"/>
              <w:left w:type="dxa" w:w="120"/>
              <w:bottom w:type="dxa" w:w="80"/>
              <w:right w:type="dxa" w:w="120"/>
            </w:tcMar>
          </w:tcPr>
          <w:p>
            <w:pPr>
              <w:jc w:val="center"/>
            </w:pPr>
            <w:r>
              <w:rPr>
                <w:b w:val="false"/>
                <w:bCs w:val="false"/>
                <w:color w:val="1A1A1A"/>
                <w:sz w:val="19"/>
                <w:szCs w:val="19"/>
              </w:rPr>
              <w:t xml:space="preserve">Q3 2029</w:t>
            </w:r>
          </w:p>
        </w:tc>
        <w:tc>
          <w:tcPr>
            <w:tcMar>
              <w:top w:type="dxa" w:w="80"/>
              <w:left w:type="dxa" w:w="120"/>
              <w:bottom w:type="dxa" w:w="80"/>
              <w:right w:type="dxa" w:w="120"/>
            </w:tcMar>
          </w:tcPr>
          <w:p>
            <w:pPr>
              <w:jc w:val="center"/>
            </w:pPr>
            <w:r>
              <w:rPr>
                <w:b w:val="false"/>
                <w:bCs w:val="false"/>
                <w:color w:val="1A1A1A"/>
                <w:sz w:val="19"/>
                <w:szCs w:val="19"/>
              </w:rPr>
              <w:t xml:space="preserve">—</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Ticket d'investissement Seed</w:t>
            </w:r>
          </w:p>
        </w:tc>
        <w:tc>
          <w:tcPr>
            <w:tcMar>
              <w:top w:type="dxa" w:w="80"/>
              <w:left w:type="dxa" w:w="120"/>
              <w:bottom w:type="dxa" w:w="80"/>
              <w:right w:type="dxa" w:w="120"/>
            </w:tcMar>
          </w:tcPr>
          <w:p>
            <w:pPr>
              <w:jc w:val="center"/>
            </w:pPr>
            <w:r>
              <w:rPr>
                <w:b w:val="false"/>
                <w:bCs w:val="false"/>
                <w:color w:val="1A1A1A"/>
                <w:sz w:val="19"/>
                <w:szCs w:val="19"/>
              </w:rPr>
              <w:t xml:space="preserve">500 K USD</w:t>
            </w:r>
          </w:p>
        </w:tc>
        <w:tc>
          <w:tcPr>
            <w:tcMar>
              <w:top w:type="dxa" w:w="80"/>
              <w:left w:type="dxa" w:w="120"/>
              <w:bottom w:type="dxa" w:w="80"/>
              <w:right w:type="dxa" w:w="120"/>
            </w:tcMar>
          </w:tcPr>
          <w:p>
            <w:pPr>
              <w:jc w:val="center"/>
            </w:pPr>
            <w:r>
              <w:rPr>
                <w:b w:val="false"/>
                <w:bCs w:val="false"/>
                <w:color w:val="1A1A1A"/>
                <w:sz w:val="19"/>
                <w:szCs w:val="19"/>
              </w:rPr>
              <w:t xml:space="preserve">2026</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Retour sur investissement (IRR)</w:t>
            </w:r>
          </w:p>
        </w:tc>
        <w:tc>
          <w:tcPr>
            <w:tcMar>
              <w:top w:type="dxa" w:w="80"/>
              <w:left w:type="dxa" w:w="120"/>
              <w:bottom w:type="dxa" w:w="80"/>
              <w:right w:type="dxa" w:w="120"/>
            </w:tcMar>
          </w:tcPr>
          <w:p>
            <w:pPr>
              <w:jc w:val="center"/>
            </w:pPr>
            <w:r>
              <w:rPr>
                <w:b w:val="false"/>
                <w:bCs w:val="false"/>
                <w:color w:val="1A1A1A"/>
                <w:sz w:val="19"/>
                <w:szCs w:val="19"/>
              </w:rPr>
              <w:t xml:space="preserve">34 %</w:t>
            </w:r>
          </w:p>
        </w:tc>
        <w:tc>
          <w:tcPr>
            <w:tcMar>
              <w:top w:type="dxa" w:w="80"/>
              <w:left w:type="dxa" w:w="120"/>
              <w:bottom w:type="dxa" w:w="80"/>
              <w:right w:type="dxa" w:w="120"/>
            </w:tcMar>
          </w:tcPr>
          <w:p>
            <w:pPr>
              <w:jc w:val="center"/>
            </w:pPr>
            <w:r>
              <w:rPr>
                <w:b w:val="false"/>
                <w:bCs w:val="false"/>
                <w:color w:val="1A1A1A"/>
                <w:sz w:val="19"/>
                <w:szCs w:val="19"/>
              </w:rPr>
              <w:t xml:space="preserve">10 ans</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Multiplicateur (MOIC)</w:t>
            </w:r>
          </w:p>
        </w:tc>
        <w:tc>
          <w:tcPr>
            <w:tcMar>
              <w:top w:type="dxa" w:w="80"/>
              <w:left w:type="dxa" w:w="120"/>
              <w:bottom w:type="dxa" w:w="80"/>
              <w:right w:type="dxa" w:w="120"/>
            </w:tcMar>
          </w:tcPr>
          <w:p>
            <w:pPr>
              <w:jc w:val="center"/>
            </w:pPr>
            <w:r>
              <w:rPr>
                <w:b w:val="false"/>
                <w:bCs w:val="false"/>
                <w:color w:val="1A1A1A"/>
                <w:sz w:val="19"/>
                <w:szCs w:val="19"/>
              </w:rPr>
              <w:t xml:space="preserve">6,2×</w:t>
            </w:r>
          </w:p>
        </w:tc>
        <w:tc>
          <w:tcPr>
            <w:tcMar>
              <w:top w:type="dxa" w:w="80"/>
              <w:left w:type="dxa" w:w="120"/>
              <w:bottom w:type="dxa" w:w="80"/>
              <w:right w:type="dxa" w:w="120"/>
            </w:tcMar>
          </w:tcPr>
          <w:p>
            <w:pPr>
              <w:jc w:val="center"/>
            </w:pPr>
            <w:r>
              <w:rPr>
                <w:b w:val="false"/>
                <w:bCs w:val="false"/>
                <w:color w:val="1A1A1A"/>
                <w:sz w:val="19"/>
                <w:szCs w:val="19"/>
              </w:rPr>
              <w:t xml:space="preserve">2035</w:t>
            </w:r>
          </w:p>
        </w:tc>
      </w:tr>
    </w:tbl>
    <w:p>
      <w:r>
        <w:br w:type="page"/>
      </w:r>
    </w:p>
    <w:p>
      <w:pPr>
        <w:spacing w:after="300" w:before="600"/>
      </w:pPr>
      <w:r>
        <w:rPr>
          <w:b/>
          <w:bCs/>
          <w:color w:val="B8860B"/>
          <w:sz w:val="32"/>
          <w:szCs w:val="32"/>
        </w:rPr>
        <w:t xml:space="preserve">I. </w:t>
      </w:r>
      <w:r>
        <w:rPr>
          <w:b/>
          <w:bCs/>
          <w:color w:val="1B5E20"/>
          <w:sz w:val="32"/>
          <w:szCs w:val="32"/>
        </w:rPr>
        <w:t xml:space="preserve">DIAGNOSTIC STRATÉGIQUE</w:t>
      </w:r>
    </w:p>
    <w:p>
      <w:pPr>
        <w:pStyle w:val="Heading2"/>
        <w:spacing w:after="180" w:before="360"/>
      </w:pPr>
      <w:r>
        <w:t xml:space="preserve">1.1 Contexte national</w:t>
      </w:r>
    </w:p>
    <w:p>
      <w:pPr>
        <w:spacing w:after="80" w:before="80"/>
        <w:jc w:val="both"/>
      </w:pPr>
      <w:r>
        <w:rPr>
          <w:color w:val="1A1A1A"/>
          <w:sz w:val="22"/>
          <w:szCs w:val="22"/>
        </w:rPr>
        <w:t xml:space="preserve">Le secteur agricole représente 40 % du PIB togolais et 65 % des emplois. Malgré cette dominance économique, la digitalisation agricole reste embryonnaire : moins de 3 % des coopératives disposent d'un outil de gestion numérique. L'État togolais a placé l'agriculture au cœur de son Plan National de Développement 2022–2025, créant un alignement stratégique favorable.</w:t>
      </w:r>
    </w:p>
    <w:p>
      <w:pPr>
        <w:pStyle w:val="Heading2"/>
        <w:spacing w:after="180" w:before="360"/>
      </w:pPr>
      <w:r>
        <w:t xml:space="preserve">1.2 Analyse des parties prenantes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5E20" w:val="solid"/>
            <w:tcMar>
              <w:top w:type="dxa" w:w="80"/>
              <w:left w:type="dxa" w:w="120"/>
              <w:bottom w:type="dxa" w:w="80"/>
              <w:right w:type="dxa" w:w="120"/>
            </w:tcMar>
          </w:tcPr>
          <w:p>
            <w:pPr>
              <w:jc w:val="left"/>
            </w:pPr>
            <w:r>
              <w:rPr>
                <w:b/>
                <w:bCs/>
                <w:color w:val="FFFFFF"/>
                <w:sz w:val="20"/>
                <w:szCs w:val="20"/>
              </w:rPr>
              <w:t xml:space="preserve">Acteur</w:t>
            </w:r>
          </w:p>
        </w:tc>
        <w:tc>
          <w:tcPr>
            <w:shd w:fill="1B5E20" w:val="solid"/>
            <w:tcMar>
              <w:top w:type="dxa" w:w="80"/>
              <w:left w:type="dxa" w:w="120"/>
              <w:bottom w:type="dxa" w:w="80"/>
              <w:right w:type="dxa" w:w="120"/>
            </w:tcMar>
          </w:tcPr>
          <w:p>
            <w:pPr>
              <w:jc w:val="center"/>
            </w:pPr>
            <w:r>
              <w:rPr>
                <w:b/>
                <w:bCs/>
                <w:color w:val="FFFFFF"/>
                <w:sz w:val="20"/>
                <w:szCs w:val="20"/>
              </w:rPr>
              <w:t xml:space="preserve">Rôle</w:t>
            </w:r>
          </w:p>
        </w:tc>
        <w:tc>
          <w:tcPr>
            <w:shd w:fill="1B5E20" w:val="solid"/>
            <w:tcMar>
              <w:top w:type="dxa" w:w="80"/>
              <w:left w:type="dxa" w:w="120"/>
              <w:bottom w:type="dxa" w:w="80"/>
              <w:right w:type="dxa" w:w="120"/>
            </w:tcMar>
          </w:tcPr>
          <w:p>
            <w:pPr>
              <w:jc w:val="center"/>
            </w:pPr>
            <w:r>
              <w:rPr>
                <w:b/>
                <w:bCs/>
                <w:color w:val="FFFFFF"/>
                <w:sz w:val="20"/>
                <w:szCs w:val="20"/>
              </w:rPr>
              <w:t xml:space="preserve">Influence</w:t>
            </w:r>
          </w:p>
        </w:tc>
        <w:tc>
          <w:tcPr>
            <w:shd w:fill="1B5E20" w:val="solid"/>
            <w:tcMar>
              <w:top w:type="dxa" w:w="80"/>
              <w:left w:type="dxa" w:w="120"/>
              <w:bottom w:type="dxa" w:w="80"/>
              <w:right w:type="dxa" w:w="120"/>
            </w:tcMar>
          </w:tcPr>
          <w:p>
            <w:pPr>
              <w:jc w:val="center"/>
            </w:pPr>
            <w:r>
              <w:rPr>
                <w:b/>
                <w:bCs/>
                <w:color w:val="FFFFFF"/>
                <w:sz w:val="20"/>
                <w:szCs w:val="20"/>
              </w:rPr>
              <w:t xml:space="preserve">Posture</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MAEDR</w:t>
            </w:r>
          </w:p>
        </w:tc>
        <w:tc>
          <w:tcPr>
            <w:tcMar>
              <w:top w:type="dxa" w:w="80"/>
              <w:left w:type="dxa" w:w="120"/>
              <w:bottom w:type="dxa" w:w="80"/>
              <w:right w:type="dxa" w:w="120"/>
            </w:tcMar>
          </w:tcPr>
          <w:p>
            <w:pPr>
              <w:jc w:val="center"/>
            </w:pPr>
            <w:r>
              <w:rPr>
                <w:b w:val="false"/>
                <w:bCs w:val="false"/>
                <w:color w:val="1A1A1A"/>
                <w:sz w:val="19"/>
                <w:szCs w:val="19"/>
              </w:rPr>
              <w:t xml:space="preserve">Tutelle réglementaire</w:t>
            </w:r>
          </w:p>
        </w:tc>
        <w:tc>
          <w:tcPr>
            <w:tcMar>
              <w:top w:type="dxa" w:w="80"/>
              <w:left w:type="dxa" w:w="120"/>
              <w:bottom w:type="dxa" w:w="80"/>
              <w:right w:type="dxa" w:w="120"/>
            </w:tcMar>
          </w:tcPr>
          <w:p>
            <w:pPr>
              <w:jc w:val="center"/>
            </w:pPr>
            <w:r>
              <w:rPr>
                <w:b w:val="false"/>
                <w:bCs w:val="false"/>
                <w:color w:val="1A1A1A"/>
                <w:sz w:val="19"/>
                <w:szCs w:val="19"/>
              </w:rPr>
              <w:t xml:space="preserve">Très haute</w:t>
            </w:r>
          </w:p>
        </w:tc>
        <w:tc>
          <w:tcPr>
            <w:tcMar>
              <w:top w:type="dxa" w:w="80"/>
              <w:left w:type="dxa" w:w="120"/>
              <w:bottom w:type="dxa" w:w="80"/>
              <w:right w:type="dxa" w:w="120"/>
            </w:tcMar>
          </w:tcPr>
          <w:p>
            <w:pPr>
              <w:jc w:val="center"/>
            </w:pPr>
            <w:r>
              <w:rPr>
                <w:b w:val="false"/>
                <w:bCs w:val="false"/>
                <w:color w:val="1A1A1A"/>
                <w:sz w:val="19"/>
                <w:szCs w:val="19"/>
              </w:rPr>
              <w:t xml:space="preserve">Neutre → Favorable</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CNCA</w:t>
            </w:r>
          </w:p>
        </w:tc>
        <w:tc>
          <w:tcPr>
            <w:tcMar>
              <w:top w:type="dxa" w:w="80"/>
              <w:left w:type="dxa" w:w="120"/>
              <w:bottom w:type="dxa" w:w="80"/>
              <w:right w:type="dxa" w:w="120"/>
            </w:tcMar>
          </w:tcPr>
          <w:p>
            <w:pPr>
              <w:jc w:val="center"/>
            </w:pPr>
            <w:r>
              <w:rPr>
                <w:b w:val="false"/>
                <w:bCs w:val="false"/>
                <w:color w:val="1A1A1A"/>
                <w:sz w:val="19"/>
                <w:szCs w:val="19"/>
              </w:rPr>
              <w:t xml:space="preserve">Financement agricole</w:t>
            </w:r>
          </w:p>
        </w:tc>
        <w:tc>
          <w:tcPr>
            <w:tcMar>
              <w:top w:type="dxa" w:w="80"/>
              <w:left w:type="dxa" w:w="120"/>
              <w:bottom w:type="dxa" w:w="80"/>
              <w:right w:type="dxa" w:w="120"/>
            </w:tcMar>
          </w:tcPr>
          <w:p>
            <w:pPr>
              <w:jc w:val="center"/>
            </w:pPr>
            <w:r>
              <w:rPr>
                <w:b w:val="false"/>
                <w:bCs w:val="false"/>
                <w:color w:val="1A1A1A"/>
                <w:sz w:val="19"/>
                <w:szCs w:val="19"/>
              </w:rPr>
              <w:t xml:space="preserve">Haute</w:t>
            </w:r>
          </w:p>
        </w:tc>
        <w:tc>
          <w:tcPr>
            <w:tcMar>
              <w:top w:type="dxa" w:w="80"/>
              <w:left w:type="dxa" w:w="120"/>
              <w:bottom w:type="dxa" w:w="80"/>
              <w:right w:type="dxa" w:w="120"/>
            </w:tcMar>
          </w:tcPr>
          <w:p>
            <w:pPr>
              <w:jc w:val="center"/>
            </w:pPr>
            <w:r>
              <w:rPr>
                <w:b w:val="false"/>
                <w:bCs w:val="false"/>
                <w:color w:val="1A1A1A"/>
                <w:sz w:val="19"/>
                <w:szCs w:val="19"/>
              </w:rPr>
              <w:t xml:space="preserve">Favorable</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FENAB/FNGPC</w:t>
            </w:r>
          </w:p>
        </w:tc>
        <w:tc>
          <w:tcPr>
            <w:tcMar>
              <w:top w:type="dxa" w:w="80"/>
              <w:left w:type="dxa" w:w="120"/>
              <w:bottom w:type="dxa" w:w="80"/>
              <w:right w:type="dxa" w:w="120"/>
            </w:tcMar>
          </w:tcPr>
          <w:p>
            <w:pPr>
              <w:jc w:val="center"/>
            </w:pPr>
            <w:r>
              <w:rPr>
                <w:b w:val="false"/>
                <w:bCs w:val="false"/>
                <w:color w:val="1A1A1A"/>
                <w:sz w:val="19"/>
                <w:szCs w:val="19"/>
              </w:rPr>
              <w:t xml:space="preserve">Faîtières nationales</w:t>
            </w:r>
          </w:p>
        </w:tc>
        <w:tc>
          <w:tcPr>
            <w:tcMar>
              <w:top w:type="dxa" w:w="80"/>
              <w:left w:type="dxa" w:w="120"/>
              <w:bottom w:type="dxa" w:w="80"/>
              <w:right w:type="dxa" w:w="120"/>
            </w:tcMar>
          </w:tcPr>
          <w:p>
            <w:pPr>
              <w:jc w:val="center"/>
            </w:pPr>
            <w:r>
              <w:rPr>
                <w:b w:val="false"/>
                <w:bCs w:val="false"/>
                <w:color w:val="1A1A1A"/>
                <w:sz w:val="19"/>
                <w:szCs w:val="19"/>
              </w:rPr>
              <w:t xml:space="preserve">Haute</w:t>
            </w:r>
          </w:p>
        </w:tc>
        <w:tc>
          <w:tcPr>
            <w:tcMar>
              <w:top w:type="dxa" w:w="80"/>
              <w:left w:type="dxa" w:w="120"/>
              <w:bottom w:type="dxa" w:w="80"/>
              <w:right w:type="dxa" w:w="120"/>
            </w:tcMar>
          </w:tcPr>
          <w:p>
            <w:pPr>
              <w:jc w:val="center"/>
            </w:pPr>
            <w:r>
              <w:rPr>
                <w:b w:val="false"/>
                <w:bCs w:val="false"/>
                <w:color w:val="1A1A1A"/>
                <w:sz w:val="19"/>
                <w:szCs w:val="19"/>
              </w:rPr>
              <w:t xml:space="preserve">Championne potentielle</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Orange Togo</w:t>
            </w:r>
          </w:p>
        </w:tc>
        <w:tc>
          <w:tcPr>
            <w:tcMar>
              <w:top w:type="dxa" w:w="80"/>
              <w:left w:type="dxa" w:w="120"/>
              <w:bottom w:type="dxa" w:w="80"/>
              <w:right w:type="dxa" w:w="120"/>
            </w:tcMar>
          </w:tcPr>
          <w:p>
            <w:pPr>
              <w:jc w:val="center"/>
            </w:pPr>
            <w:r>
              <w:rPr>
                <w:b w:val="false"/>
                <w:bCs w:val="false"/>
                <w:color w:val="1A1A1A"/>
                <w:sz w:val="19"/>
                <w:szCs w:val="19"/>
              </w:rPr>
              <w:t xml:space="preserve">Infrastructure Mobile Money</w:t>
            </w:r>
          </w:p>
        </w:tc>
        <w:tc>
          <w:tcPr>
            <w:tcMar>
              <w:top w:type="dxa" w:w="80"/>
              <w:left w:type="dxa" w:w="120"/>
              <w:bottom w:type="dxa" w:w="80"/>
              <w:right w:type="dxa" w:w="120"/>
            </w:tcMar>
          </w:tcPr>
          <w:p>
            <w:pPr>
              <w:jc w:val="center"/>
            </w:pPr>
            <w:r>
              <w:rPr>
                <w:b w:val="false"/>
                <w:bCs w:val="false"/>
                <w:color w:val="1A1A1A"/>
                <w:sz w:val="19"/>
                <w:szCs w:val="19"/>
              </w:rPr>
              <w:t xml:space="preserve">Haute</w:t>
            </w:r>
          </w:p>
        </w:tc>
        <w:tc>
          <w:tcPr>
            <w:tcMar>
              <w:top w:type="dxa" w:w="80"/>
              <w:left w:type="dxa" w:w="120"/>
              <w:bottom w:type="dxa" w:w="80"/>
              <w:right w:type="dxa" w:w="120"/>
            </w:tcMar>
          </w:tcPr>
          <w:p>
            <w:pPr>
              <w:jc w:val="center"/>
            </w:pPr>
            <w:r>
              <w:rPr>
                <w:b w:val="false"/>
                <w:bCs w:val="false"/>
                <w:color w:val="1A1A1A"/>
                <w:sz w:val="19"/>
                <w:szCs w:val="19"/>
              </w:rPr>
              <w:t xml:space="preserve">Partenaire stratégique</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Banque Mondiale / IFAD</w:t>
            </w:r>
          </w:p>
        </w:tc>
        <w:tc>
          <w:tcPr>
            <w:tcMar>
              <w:top w:type="dxa" w:w="80"/>
              <w:left w:type="dxa" w:w="120"/>
              <w:bottom w:type="dxa" w:w="80"/>
              <w:right w:type="dxa" w:w="120"/>
            </w:tcMar>
          </w:tcPr>
          <w:p>
            <w:pPr>
              <w:jc w:val="center"/>
            </w:pPr>
            <w:r>
              <w:rPr>
                <w:b w:val="false"/>
                <w:bCs w:val="false"/>
                <w:color w:val="1A1A1A"/>
                <w:sz w:val="19"/>
                <w:szCs w:val="19"/>
              </w:rPr>
              <w:t xml:space="preserve">Financement international</w:t>
            </w:r>
          </w:p>
        </w:tc>
        <w:tc>
          <w:tcPr>
            <w:tcMar>
              <w:top w:type="dxa" w:w="80"/>
              <w:left w:type="dxa" w:w="120"/>
              <w:bottom w:type="dxa" w:w="80"/>
              <w:right w:type="dxa" w:w="120"/>
            </w:tcMar>
          </w:tcPr>
          <w:p>
            <w:pPr>
              <w:jc w:val="center"/>
            </w:pPr>
            <w:r>
              <w:rPr>
                <w:b w:val="false"/>
                <w:bCs w:val="false"/>
                <w:color w:val="1A1A1A"/>
                <w:sz w:val="19"/>
                <w:szCs w:val="19"/>
              </w:rPr>
              <w:t xml:space="preserve">Très haute</w:t>
            </w:r>
          </w:p>
        </w:tc>
        <w:tc>
          <w:tcPr>
            <w:tcMar>
              <w:top w:type="dxa" w:w="80"/>
              <w:left w:type="dxa" w:w="120"/>
              <w:bottom w:type="dxa" w:w="80"/>
              <w:right w:type="dxa" w:w="120"/>
            </w:tcMar>
          </w:tcPr>
          <w:p>
            <w:pPr>
              <w:jc w:val="center"/>
            </w:pPr>
            <w:r>
              <w:rPr>
                <w:b w:val="false"/>
                <w:bCs w:val="false"/>
                <w:color w:val="1A1A1A"/>
                <w:sz w:val="19"/>
                <w:szCs w:val="19"/>
              </w:rPr>
              <w:t xml:space="preserve">En cours d'approche</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Union Européenne</w:t>
            </w:r>
          </w:p>
        </w:tc>
        <w:tc>
          <w:tcPr>
            <w:tcMar>
              <w:top w:type="dxa" w:w="80"/>
              <w:left w:type="dxa" w:w="120"/>
              <w:bottom w:type="dxa" w:w="80"/>
              <w:right w:type="dxa" w:w="120"/>
            </w:tcMar>
          </w:tcPr>
          <w:p>
            <w:pPr>
              <w:jc w:val="center"/>
            </w:pPr>
            <w:r>
              <w:rPr>
                <w:b w:val="false"/>
                <w:bCs w:val="false"/>
                <w:color w:val="1A1A1A"/>
                <w:sz w:val="19"/>
                <w:szCs w:val="19"/>
              </w:rPr>
              <w:t xml:space="preserve">Subventions innovation</w:t>
            </w:r>
          </w:p>
        </w:tc>
        <w:tc>
          <w:tcPr>
            <w:tcMar>
              <w:top w:type="dxa" w:w="80"/>
              <w:left w:type="dxa" w:w="120"/>
              <w:bottom w:type="dxa" w:w="80"/>
              <w:right w:type="dxa" w:w="120"/>
            </w:tcMar>
          </w:tcPr>
          <w:p>
            <w:pPr>
              <w:jc w:val="center"/>
            </w:pPr>
            <w:r>
              <w:rPr>
                <w:b w:val="false"/>
                <w:bCs w:val="false"/>
                <w:color w:val="1A1A1A"/>
                <w:sz w:val="19"/>
                <w:szCs w:val="19"/>
              </w:rPr>
              <w:t xml:space="preserve">Moyenne</w:t>
            </w:r>
          </w:p>
        </w:tc>
        <w:tc>
          <w:tcPr>
            <w:tcMar>
              <w:top w:type="dxa" w:w="80"/>
              <w:left w:type="dxa" w:w="120"/>
              <w:bottom w:type="dxa" w:w="80"/>
              <w:right w:type="dxa" w:w="120"/>
            </w:tcMar>
          </w:tcPr>
          <w:p>
            <w:pPr>
              <w:jc w:val="center"/>
            </w:pPr>
            <w:r>
              <w:rPr>
                <w:b w:val="false"/>
                <w:bCs w:val="false"/>
                <w:color w:val="1A1A1A"/>
                <w:sz w:val="19"/>
                <w:szCs w:val="19"/>
              </w:rPr>
              <w:t xml:space="preserve">Favorable</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Acheteurs (export)</w:t>
            </w:r>
          </w:p>
        </w:tc>
        <w:tc>
          <w:tcPr>
            <w:tcMar>
              <w:top w:type="dxa" w:w="80"/>
              <w:left w:type="dxa" w:w="120"/>
              <w:bottom w:type="dxa" w:w="80"/>
              <w:right w:type="dxa" w:w="120"/>
            </w:tcMar>
          </w:tcPr>
          <w:p>
            <w:pPr>
              <w:jc w:val="center"/>
            </w:pPr>
            <w:r>
              <w:rPr>
                <w:b w:val="false"/>
                <w:bCs w:val="false"/>
                <w:color w:val="1A1A1A"/>
                <w:sz w:val="19"/>
                <w:szCs w:val="19"/>
              </w:rPr>
              <w:t xml:space="preserve">Débouchés commerciaux</w:t>
            </w:r>
          </w:p>
        </w:tc>
        <w:tc>
          <w:tcPr>
            <w:tcMar>
              <w:top w:type="dxa" w:w="80"/>
              <w:left w:type="dxa" w:w="120"/>
              <w:bottom w:type="dxa" w:w="80"/>
              <w:right w:type="dxa" w:w="120"/>
            </w:tcMar>
          </w:tcPr>
          <w:p>
            <w:pPr>
              <w:jc w:val="center"/>
            </w:pPr>
            <w:r>
              <w:rPr>
                <w:b w:val="false"/>
                <w:bCs w:val="false"/>
                <w:color w:val="1A1A1A"/>
                <w:sz w:val="19"/>
                <w:szCs w:val="19"/>
              </w:rPr>
              <w:t xml:space="preserve">Haute</w:t>
            </w:r>
          </w:p>
        </w:tc>
        <w:tc>
          <w:tcPr>
            <w:tcMar>
              <w:top w:type="dxa" w:w="80"/>
              <w:left w:type="dxa" w:w="120"/>
              <w:bottom w:type="dxa" w:w="80"/>
              <w:right w:type="dxa" w:w="120"/>
            </w:tcMar>
          </w:tcPr>
          <w:p>
            <w:pPr>
              <w:jc w:val="center"/>
            </w:pPr>
            <w:r>
              <w:rPr>
                <w:b w:val="false"/>
                <w:bCs w:val="false"/>
                <w:color w:val="1A1A1A"/>
                <w:sz w:val="19"/>
                <w:szCs w:val="19"/>
              </w:rPr>
              <w:t xml:space="preserve">Demandeurs actifs</w:t>
            </w:r>
          </w:p>
        </w:tc>
      </w:tr>
    </w:tbl>
    <w:p>
      <w:pPr>
        <w:pStyle w:val="Heading2"/>
        <w:spacing w:after="180" w:before="360"/>
      </w:pPr>
      <w:r>
        <w:t xml:space="preserve">1.3 Analyse concurrentielle</w:t>
      </w:r>
    </w:p>
    <w:p>
      <w:pPr>
        <w:spacing w:after="80" w:before="80"/>
        <w:jc w:val="both"/>
      </w:pPr>
      <w:r>
        <w:rPr>
          <w:color w:val="1A1A1A"/>
          <w:sz w:val="22"/>
          <w:szCs w:val="22"/>
        </w:rPr>
        <w:t xml:space="preserve">FaîtiereHub opère dans un espace quasi-vierge au Togo. Les alternatives existantes sont :</w:t>
      </w:r>
    </w:p>
    <w:p>
      <w:pPr>
        <w:pStyle w:val="ListParagraph"/>
        <w:numPr>
          <w:ilvl w:val="0"/>
          <w:numId w:val="1"/>
        </w:numPr>
        <w:spacing w:after="60" w:before="60"/>
      </w:pPr>
      <w:r>
        <w:rPr>
          <w:color w:val="1A1A1A"/>
          <w:sz w:val="21"/>
          <w:szCs w:val="21"/>
        </w:rPr>
        <w:t xml:space="preserve">eSoko (Ghana) : données de prix marchés, sans gestion coopérative — non implanté au Togo</w:t>
      </w:r>
    </w:p>
    <w:p>
      <w:pPr>
        <w:pStyle w:val="ListParagraph"/>
        <w:numPr>
          <w:ilvl w:val="0"/>
          <w:numId w:val="1"/>
        </w:numPr>
        <w:spacing w:after="60" w:before="60"/>
      </w:pPr>
      <w:r>
        <w:rPr>
          <w:color w:val="1A1A1A"/>
          <w:sz w:val="21"/>
          <w:szCs w:val="21"/>
        </w:rPr>
        <w:t xml:space="preserve">Twiga Foods (Kenya) : modèle B2B logistique, hors périmètre</w:t>
      </w:r>
    </w:p>
    <w:p>
      <w:pPr>
        <w:pStyle w:val="ListParagraph"/>
        <w:numPr>
          <w:ilvl w:val="0"/>
          <w:numId w:val="1"/>
        </w:numPr>
        <w:spacing w:after="60" w:before="60"/>
      </w:pPr>
      <w:r>
        <w:rPr>
          <w:color w:val="1A1A1A"/>
          <w:sz w:val="21"/>
          <w:szCs w:val="21"/>
        </w:rPr>
        <w:t xml:space="preserve">Farmerline (Ghana) : SMS farming tips, sans infrastructure financière</w:t>
      </w:r>
    </w:p>
    <w:p>
      <w:pPr>
        <w:pStyle w:val="ListParagraph"/>
        <w:numPr>
          <w:ilvl w:val="0"/>
          <w:numId w:val="1"/>
        </w:numPr>
        <w:spacing w:after="60" w:before="60"/>
      </w:pPr>
      <w:r>
        <w:rPr>
          <w:color w:val="1A1A1A"/>
          <w:sz w:val="21"/>
          <w:szCs w:val="21"/>
        </w:rPr>
        <w:t xml:space="preserve">Systèmes papier des ONG : USAID, FAO — fragmentés, non interopérables</w:t>
      </w:r>
    </w:p>
    <w:p>
      <w:pPr>
        <w:spacing w:after="80" w:before="80"/>
        <w:jc w:val="both"/>
      </w:pPr>
      <w:r>
        <w:rPr>
          <w:color w:val="1A1A1A"/>
          <w:sz w:val="22"/>
          <w:szCs w:val="22"/>
        </w:rPr>
        <w:t xml:space="preserve">Avantage concurrentiel de FaîtiereHub : intégration verticale complète (membres → cartes → cotisations → ATS → matchmaking → paiement → IA agronomique) sur une seule plateforme.</w:t>
      </w:r>
    </w:p>
    <w:p>
      <w:pPr>
        <w:pStyle w:val="Heading2"/>
        <w:spacing w:after="180" w:before="360"/>
      </w:pPr>
      <w:r>
        <w:t xml:space="preserve">1.4 Analyse de Pareto — 80/20</w:t>
      </w:r>
    </w:p>
    <w:p>
      <w:pPr>
        <w:spacing w:after="80" w:before="80"/>
        <w:jc w:val="both"/>
      </w:pPr>
      <w:r>
        <w:rPr>
          <w:color w:val="1A1A1A"/>
          <w:sz w:val="22"/>
          <w:szCs w:val="22"/>
        </w:rPr>
        <w:t xml:space="preserve">20 % des fonctionnalités génèrent 80 % de la valeur perçue :</w:t>
      </w:r>
    </w:p>
    <w:p>
      <w:pPr>
        <w:pStyle w:val="ListParagraph"/>
        <w:numPr>
          <w:ilvl w:val="0"/>
          <w:numId w:val="1"/>
        </w:numPr>
        <w:spacing w:after="60" w:before="60"/>
      </w:pPr>
      <w:r>
        <w:rPr>
          <w:color w:val="1A1A1A"/>
          <w:sz w:val="21"/>
          <w:szCs w:val="21"/>
        </w:rPr>
        <w:t xml:space="preserve">Carte membre numérique avec QR (identité vérifiable)</w:t>
      </w:r>
    </w:p>
    <w:p>
      <w:pPr>
        <w:pStyle w:val="ListParagraph"/>
        <w:numPr>
          <w:ilvl w:val="0"/>
          <w:numId w:val="1"/>
        </w:numPr>
        <w:spacing w:after="60" w:before="60"/>
      </w:pPr>
      <w:r>
        <w:rPr>
          <w:color w:val="1A1A1A"/>
          <w:sz w:val="21"/>
          <w:szCs w:val="21"/>
        </w:rPr>
        <w:t xml:space="preserve">Collecte de cotisations via Orange Money</w:t>
      </w:r>
    </w:p>
    <w:p>
      <w:pPr>
        <w:pStyle w:val="ListParagraph"/>
        <w:numPr>
          <w:ilvl w:val="0"/>
          <w:numId w:val="1"/>
        </w:numPr>
        <w:spacing w:after="60" w:before="60"/>
      </w:pPr>
      <w:r>
        <w:rPr>
          <w:color w:val="1A1A1A"/>
          <w:sz w:val="21"/>
          <w:szCs w:val="21"/>
        </w:rPr>
        <w:t xml:space="preserve">Score ATS (crédibilité financière du membre)</w:t>
      </w:r>
    </w:p>
    <w:p>
      <w:pPr>
        <w:pStyle w:val="ListParagraph"/>
        <w:numPr>
          <w:ilvl w:val="0"/>
          <w:numId w:val="1"/>
        </w:numPr>
        <w:spacing w:after="60" w:before="60"/>
      </w:pPr>
      <w:r>
        <w:rPr>
          <w:color w:val="1A1A1A"/>
          <w:sz w:val="21"/>
          <w:szCs w:val="21"/>
        </w:rPr>
        <w:t xml:space="preserve">Matchmaking acheteur-vendeur (monétisation directe)</w:t>
      </w:r>
    </w:p>
    <w:p>
      <w:r>
        <w:br w:type="page"/>
      </w:r>
    </w:p>
    <w:p>
      <w:pPr>
        <w:spacing w:after="300" w:before="600"/>
      </w:pPr>
      <w:r>
        <w:rPr>
          <w:b/>
          <w:bCs/>
          <w:color w:val="B8860B"/>
          <w:sz w:val="32"/>
          <w:szCs w:val="32"/>
        </w:rPr>
        <w:t xml:space="preserve">II. </w:t>
      </w:r>
      <w:r>
        <w:rPr>
          <w:b/>
          <w:bCs/>
          <w:color w:val="1B5E20"/>
          <w:sz w:val="32"/>
          <w:szCs w:val="32"/>
        </w:rPr>
        <w:t xml:space="preserve">PLAN DIRECTEUR STRATÉGIQUE 2026–2035</w:t>
      </w:r>
    </w:p>
    <w:p>
      <w:pPr>
        <w:pStyle w:val="Heading2"/>
        <w:spacing w:after="180" w:before="360"/>
      </w:pPr>
      <w:r>
        <w:t xml:space="preserve">2.1 Vision &amp; Mission</w:t>
      </w:r>
    </w:p>
    <w:p>
      <w:pPr>
        <w:pBdr>
          <w:left w:val="single" w:color="43A047" w:sz="12"/>
        </w:pBdr>
        <w:shd w:fill="F1F8E9" w:val="solid"/>
        <w:spacing w:after="120" w:before="120"/>
        <w:ind w:left="360" w:right="360"/>
      </w:pPr>
      <w:r>
        <w:rPr>
          <w:i/>
          <w:iCs/>
          <w:color w:val="2E7D32"/>
          <w:sz w:val="21"/>
          <w:szCs w:val="21"/>
        </w:rPr>
        <w:t xml:space="preserve">Vision : Devenir l'infrastructure numérique de référence pour l'agriculture coopérative en Afrique de l'Ouest d'ici 2035.</w:t>
      </w:r>
    </w:p>
    <w:p>
      <w:pPr>
        <w:pBdr>
          <w:left w:val="single" w:color="43A047" w:sz="12"/>
        </w:pBdr>
        <w:shd w:fill="F1F8E9" w:val="solid"/>
        <w:spacing w:after="120" w:before="120"/>
        <w:ind w:left="360" w:right="360"/>
      </w:pPr>
      <w:r>
        <w:rPr>
          <w:i/>
          <w:iCs/>
          <w:color w:val="2E7D32"/>
          <w:sz w:val="21"/>
          <w:szCs w:val="21"/>
        </w:rPr>
        <w:t xml:space="preserve">Mission : Donner à chaque producteur africain un identifiant financier, un historique vérifiable et un accès aux marchés.</w:t>
      </w:r>
    </w:p>
    <w:p>
      <w:pPr>
        <w:pStyle w:val="Heading2"/>
        <w:spacing w:after="180" w:before="360"/>
      </w:pPr>
      <w:r>
        <w:t xml:space="preserve">2.2 Les 5 piliers stratégiques</w:t>
      </w:r>
    </w:p>
    <w:p>
      <w:pPr>
        <w:pStyle w:val="ListParagraph"/>
        <w:numPr>
          <w:ilvl w:val="0"/>
          <w:numId w:val="1"/>
        </w:numPr>
        <w:spacing w:after="60" w:before="60"/>
      </w:pPr>
      <w:r>
        <w:rPr>
          <w:color w:val="1A1A1A"/>
          <w:sz w:val="21"/>
          <w:szCs w:val="21"/>
        </w:rPr>
        <w:t xml:space="preserve">Pilier 1 — IDENTITÉ : Carte membre numérique universelle, reconnue par les institutions financières</w:t>
      </w:r>
    </w:p>
    <w:p>
      <w:pPr>
        <w:pStyle w:val="ListParagraph"/>
        <w:numPr>
          <w:ilvl w:val="0"/>
          <w:numId w:val="1"/>
        </w:numPr>
        <w:spacing w:after="60" w:before="60"/>
      </w:pPr>
      <w:r>
        <w:rPr>
          <w:color w:val="1A1A1A"/>
          <w:sz w:val="21"/>
          <w:szCs w:val="21"/>
        </w:rPr>
        <w:t xml:space="preserve">Pilier 2 — CONFIANCE : Score ATS comme passeport financier agricole</w:t>
      </w:r>
    </w:p>
    <w:p>
      <w:pPr>
        <w:pStyle w:val="ListParagraph"/>
        <w:numPr>
          <w:ilvl w:val="0"/>
          <w:numId w:val="1"/>
        </w:numPr>
        <w:spacing w:after="60" w:before="60"/>
      </w:pPr>
      <w:r>
        <w:rPr>
          <w:color w:val="1A1A1A"/>
          <w:sz w:val="21"/>
          <w:szCs w:val="21"/>
        </w:rPr>
        <w:t xml:space="preserve">Pilier 3 — CONNECTIVITÉ : Réseau acheteurs-vendeurs intégré avec paiement mobile</w:t>
      </w:r>
    </w:p>
    <w:p>
      <w:pPr>
        <w:pStyle w:val="ListParagraph"/>
        <w:numPr>
          <w:ilvl w:val="0"/>
          <w:numId w:val="1"/>
        </w:numPr>
        <w:spacing w:after="60" w:before="60"/>
      </w:pPr>
      <w:r>
        <w:rPr>
          <w:color w:val="1A1A1A"/>
          <w:sz w:val="21"/>
          <w:szCs w:val="21"/>
        </w:rPr>
        <w:t xml:space="preserve">Pilier 4 — INTELLIGENCE : IA agronomique embarquée (AgriTogo) pour conseils et alertes</w:t>
      </w:r>
    </w:p>
    <w:p>
      <w:pPr>
        <w:pStyle w:val="ListParagraph"/>
        <w:numPr>
          <w:ilvl w:val="0"/>
          <w:numId w:val="1"/>
        </w:numPr>
        <w:spacing w:after="60" w:before="60"/>
      </w:pPr>
      <w:r>
        <w:rPr>
          <w:color w:val="1A1A1A"/>
          <w:sz w:val="21"/>
          <w:szCs w:val="21"/>
        </w:rPr>
        <w:t xml:space="preserve">Pilier 5 — SCALABILITÉ : Architecture multi-tenant prête pour déploiement régional CEDEAO</w:t>
      </w:r>
    </w:p>
    <w:p>
      <w:pPr>
        <w:pStyle w:val="Heading2"/>
        <w:spacing w:after="180" w:before="360"/>
      </w:pPr>
      <w:r>
        <w:t xml:space="preserve">2.3 Trajectoire temporelle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5E20" w:val="solid"/>
            <w:tcMar>
              <w:top w:type="dxa" w:w="80"/>
              <w:left w:type="dxa" w:w="120"/>
              <w:bottom w:type="dxa" w:w="80"/>
              <w:right w:type="dxa" w:w="120"/>
            </w:tcMar>
          </w:tcPr>
          <w:p>
            <w:pPr>
              <w:jc w:val="left"/>
            </w:pPr>
            <w:r>
              <w:rPr>
                <w:b/>
                <w:bCs/>
                <w:color w:val="FFFFFF"/>
                <w:sz w:val="20"/>
                <w:szCs w:val="20"/>
              </w:rPr>
              <w:t xml:space="preserve">Phase</w:t>
            </w:r>
          </w:p>
        </w:tc>
        <w:tc>
          <w:tcPr>
            <w:shd w:fill="1B5E20" w:val="solid"/>
            <w:tcMar>
              <w:top w:type="dxa" w:w="80"/>
              <w:left w:type="dxa" w:w="120"/>
              <w:bottom w:type="dxa" w:w="80"/>
              <w:right w:type="dxa" w:w="120"/>
            </w:tcMar>
          </w:tcPr>
          <w:p>
            <w:pPr>
              <w:jc w:val="center"/>
            </w:pPr>
            <w:r>
              <w:rPr>
                <w:b/>
                <w:bCs/>
                <w:color w:val="FFFFFF"/>
                <w:sz w:val="20"/>
                <w:szCs w:val="20"/>
              </w:rPr>
              <w:t xml:space="preserve">Période</w:t>
            </w:r>
          </w:p>
        </w:tc>
        <w:tc>
          <w:tcPr>
            <w:shd w:fill="1B5E20" w:val="solid"/>
            <w:tcMar>
              <w:top w:type="dxa" w:w="80"/>
              <w:left w:type="dxa" w:w="120"/>
              <w:bottom w:type="dxa" w:w="80"/>
              <w:right w:type="dxa" w:w="120"/>
            </w:tcMar>
          </w:tcPr>
          <w:p>
            <w:pPr>
              <w:jc w:val="center"/>
            </w:pPr>
            <w:r>
              <w:rPr>
                <w:b/>
                <w:bCs/>
                <w:color w:val="FFFFFF"/>
                <w:sz w:val="20"/>
                <w:szCs w:val="20"/>
              </w:rPr>
              <w:t xml:space="preserve">Objectif clé</w:t>
            </w:r>
          </w:p>
        </w:tc>
        <w:tc>
          <w:tcPr>
            <w:shd w:fill="1B5E20" w:val="solid"/>
            <w:tcMar>
              <w:top w:type="dxa" w:w="80"/>
              <w:left w:type="dxa" w:w="120"/>
              <w:bottom w:type="dxa" w:w="80"/>
              <w:right w:type="dxa" w:w="120"/>
            </w:tcMar>
          </w:tcPr>
          <w:p>
            <w:pPr>
              <w:jc w:val="center"/>
            </w:pPr>
            <w:r>
              <w:rPr>
                <w:b/>
                <w:bCs/>
                <w:color w:val="FFFFFF"/>
                <w:sz w:val="20"/>
                <w:szCs w:val="20"/>
              </w:rPr>
              <w:t xml:space="preserve">Revenu cible</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Fondation</w:t>
            </w:r>
          </w:p>
        </w:tc>
        <w:tc>
          <w:tcPr>
            <w:tcMar>
              <w:top w:type="dxa" w:w="80"/>
              <w:left w:type="dxa" w:w="120"/>
              <w:bottom w:type="dxa" w:w="80"/>
              <w:right w:type="dxa" w:w="120"/>
            </w:tcMar>
          </w:tcPr>
          <w:p>
            <w:pPr>
              <w:jc w:val="center"/>
            </w:pPr>
            <w:r>
              <w:rPr>
                <w:b w:val="false"/>
                <w:bCs w:val="false"/>
                <w:color w:val="1A1A1A"/>
                <w:sz w:val="19"/>
                <w:szCs w:val="19"/>
              </w:rPr>
              <w:t xml:space="preserve">90 jours (Q3 2026)</w:t>
            </w:r>
          </w:p>
        </w:tc>
        <w:tc>
          <w:tcPr>
            <w:tcMar>
              <w:top w:type="dxa" w:w="80"/>
              <w:left w:type="dxa" w:w="120"/>
              <w:bottom w:type="dxa" w:w="80"/>
              <w:right w:type="dxa" w:w="120"/>
            </w:tcMar>
          </w:tcPr>
          <w:p>
            <w:pPr>
              <w:jc w:val="center"/>
            </w:pPr>
            <w:r>
              <w:rPr>
                <w:b w:val="false"/>
                <w:bCs w:val="false"/>
                <w:color w:val="1A1A1A"/>
                <w:sz w:val="19"/>
                <w:szCs w:val="19"/>
              </w:rPr>
              <w:t xml:space="preserve">3 faîtières pilotes, 500 membres actifs</w:t>
            </w:r>
          </w:p>
        </w:tc>
        <w:tc>
          <w:tcPr>
            <w:tcMar>
              <w:top w:type="dxa" w:w="80"/>
              <w:left w:type="dxa" w:w="120"/>
              <w:bottom w:type="dxa" w:w="80"/>
              <w:right w:type="dxa" w:w="120"/>
            </w:tcMar>
          </w:tcPr>
          <w:p>
            <w:pPr>
              <w:jc w:val="center"/>
            </w:pPr>
            <w:r>
              <w:rPr>
                <w:b w:val="false"/>
                <w:bCs w:val="false"/>
                <w:color w:val="1A1A1A"/>
                <w:sz w:val="19"/>
                <w:szCs w:val="19"/>
              </w:rPr>
              <w:t xml:space="preserve">0 (pilote gratuit)</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Traction</w:t>
            </w:r>
          </w:p>
        </w:tc>
        <w:tc>
          <w:tcPr>
            <w:tcMar>
              <w:top w:type="dxa" w:w="80"/>
              <w:left w:type="dxa" w:w="120"/>
              <w:bottom w:type="dxa" w:w="80"/>
              <w:right w:type="dxa" w:w="120"/>
            </w:tcMar>
          </w:tcPr>
          <w:p>
            <w:pPr>
              <w:jc w:val="center"/>
            </w:pPr>
            <w:r>
              <w:rPr>
                <w:b w:val="false"/>
                <w:bCs w:val="false"/>
                <w:color w:val="1A1A1A"/>
                <w:sz w:val="19"/>
                <w:szCs w:val="19"/>
              </w:rPr>
              <w:t xml:space="preserve">An 1 (2027)</w:t>
            </w:r>
          </w:p>
        </w:tc>
        <w:tc>
          <w:tcPr>
            <w:tcMar>
              <w:top w:type="dxa" w:w="80"/>
              <w:left w:type="dxa" w:w="120"/>
              <w:bottom w:type="dxa" w:w="80"/>
              <w:right w:type="dxa" w:w="120"/>
            </w:tcMar>
          </w:tcPr>
          <w:p>
            <w:pPr>
              <w:jc w:val="center"/>
            </w:pPr>
            <w:r>
              <w:rPr>
                <w:b w:val="false"/>
                <w:bCs w:val="false"/>
                <w:color w:val="1A1A1A"/>
                <w:sz w:val="19"/>
                <w:szCs w:val="19"/>
              </w:rPr>
              <w:t xml:space="preserve">15 coops, 5 000 membres, 1ère cotisation Orange Money</w:t>
            </w:r>
          </w:p>
        </w:tc>
        <w:tc>
          <w:tcPr>
            <w:tcMar>
              <w:top w:type="dxa" w:w="80"/>
              <w:left w:type="dxa" w:w="120"/>
              <w:bottom w:type="dxa" w:w="80"/>
              <w:right w:type="dxa" w:w="120"/>
            </w:tcMar>
          </w:tcPr>
          <w:p>
            <w:pPr>
              <w:jc w:val="center"/>
            </w:pPr>
            <w:r>
              <w:rPr>
                <w:b w:val="false"/>
                <w:bCs w:val="false"/>
                <w:color w:val="1A1A1A"/>
                <w:sz w:val="19"/>
                <w:szCs w:val="19"/>
              </w:rPr>
              <w:t xml:space="preserve">45 K USD ARR</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Croissance</w:t>
            </w:r>
          </w:p>
        </w:tc>
        <w:tc>
          <w:tcPr>
            <w:tcMar>
              <w:top w:type="dxa" w:w="80"/>
              <w:left w:type="dxa" w:w="120"/>
              <w:bottom w:type="dxa" w:w="80"/>
              <w:right w:type="dxa" w:w="120"/>
            </w:tcMar>
          </w:tcPr>
          <w:p>
            <w:pPr>
              <w:jc w:val="center"/>
            </w:pPr>
            <w:r>
              <w:rPr>
                <w:b w:val="false"/>
                <w:bCs w:val="false"/>
                <w:color w:val="1A1A1A"/>
                <w:sz w:val="19"/>
                <w:szCs w:val="19"/>
              </w:rPr>
              <w:t xml:space="preserve">An 3 (2028)</w:t>
            </w:r>
          </w:p>
        </w:tc>
        <w:tc>
          <w:tcPr>
            <w:tcMar>
              <w:top w:type="dxa" w:w="80"/>
              <w:left w:type="dxa" w:w="120"/>
              <w:bottom w:type="dxa" w:w="80"/>
              <w:right w:type="dxa" w:w="120"/>
            </w:tcMar>
          </w:tcPr>
          <w:p>
            <w:pPr>
              <w:jc w:val="center"/>
            </w:pPr>
            <w:r>
              <w:rPr>
                <w:b w:val="false"/>
                <w:bCs w:val="false"/>
                <w:color w:val="1A1A1A"/>
                <w:sz w:val="19"/>
                <w:szCs w:val="19"/>
              </w:rPr>
              <w:t xml:space="preserve">40 coops, 25 000 membres, matchmaking actif</w:t>
            </w:r>
          </w:p>
        </w:tc>
        <w:tc>
          <w:tcPr>
            <w:tcMar>
              <w:top w:type="dxa" w:w="80"/>
              <w:left w:type="dxa" w:w="120"/>
              <w:bottom w:type="dxa" w:w="80"/>
              <w:right w:type="dxa" w:w="120"/>
            </w:tcMar>
          </w:tcPr>
          <w:p>
            <w:pPr>
              <w:jc w:val="center"/>
            </w:pPr>
            <w:r>
              <w:rPr>
                <w:b w:val="false"/>
                <w:bCs w:val="false"/>
                <w:color w:val="1A1A1A"/>
                <w:sz w:val="19"/>
                <w:szCs w:val="19"/>
              </w:rPr>
              <w:t xml:space="preserve">300 K USD ARR</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Scale</w:t>
            </w:r>
          </w:p>
        </w:tc>
        <w:tc>
          <w:tcPr>
            <w:tcMar>
              <w:top w:type="dxa" w:w="80"/>
              <w:left w:type="dxa" w:w="120"/>
              <w:bottom w:type="dxa" w:w="80"/>
              <w:right w:type="dxa" w:w="120"/>
            </w:tcMar>
          </w:tcPr>
          <w:p>
            <w:pPr>
              <w:jc w:val="center"/>
            </w:pPr>
            <w:r>
              <w:rPr>
                <w:b w:val="false"/>
                <w:bCs w:val="false"/>
                <w:color w:val="1A1A1A"/>
                <w:sz w:val="19"/>
                <w:szCs w:val="19"/>
              </w:rPr>
              <w:t xml:space="preserve">An 5 (2030)</w:t>
            </w:r>
          </w:p>
        </w:tc>
        <w:tc>
          <w:tcPr>
            <w:tcMar>
              <w:top w:type="dxa" w:w="80"/>
              <w:left w:type="dxa" w:w="120"/>
              <w:bottom w:type="dxa" w:w="80"/>
              <w:right w:type="dxa" w:w="120"/>
            </w:tcMar>
          </w:tcPr>
          <w:p>
            <w:pPr>
              <w:jc w:val="center"/>
            </w:pPr>
            <w:r>
              <w:rPr>
                <w:b w:val="false"/>
                <w:bCs w:val="false"/>
                <w:color w:val="1A1A1A"/>
                <w:sz w:val="19"/>
                <w:szCs w:val="19"/>
              </w:rPr>
              <w:t xml:space="preserve">120 coops, 80 000 membres, expansion Ghana/Bénin</w:t>
            </w:r>
          </w:p>
        </w:tc>
        <w:tc>
          <w:tcPr>
            <w:tcMar>
              <w:top w:type="dxa" w:w="80"/>
              <w:left w:type="dxa" w:w="120"/>
              <w:bottom w:type="dxa" w:w="80"/>
              <w:right w:type="dxa" w:w="120"/>
            </w:tcMar>
          </w:tcPr>
          <w:p>
            <w:pPr>
              <w:jc w:val="center"/>
            </w:pPr>
            <w:r>
              <w:rPr>
                <w:b w:val="false"/>
                <w:bCs w:val="false"/>
                <w:color w:val="1A1A1A"/>
                <w:sz w:val="19"/>
                <w:szCs w:val="19"/>
              </w:rPr>
              <w:t xml:space="preserve">1,2 M USD ARR</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Domination</w:t>
            </w:r>
          </w:p>
        </w:tc>
        <w:tc>
          <w:tcPr>
            <w:tcMar>
              <w:top w:type="dxa" w:w="80"/>
              <w:left w:type="dxa" w:w="120"/>
              <w:bottom w:type="dxa" w:w="80"/>
              <w:right w:type="dxa" w:w="120"/>
            </w:tcMar>
          </w:tcPr>
          <w:p>
            <w:pPr>
              <w:jc w:val="center"/>
            </w:pPr>
            <w:r>
              <w:rPr>
                <w:b w:val="false"/>
                <w:bCs w:val="false"/>
                <w:color w:val="1A1A1A"/>
                <w:sz w:val="19"/>
                <w:szCs w:val="19"/>
              </w:rPr>
              <w:t xml:space="preserve">An 10 (2035)</w:t>
            </w:r>
          </w:p>
        </w:tc>
        <w:tc>
          <w:tcPr>
            <w:tcMar>
              <w:top w:type="dxa" w:w="80"/>
              <w:left w:type="dxa" w:w="120"/>
              <w:bottom w:type="dxa" w:w="80"/>
              <w:right w:type="dxa" w:w="120"/>
            </w:tcMar>
          </w:tcPr>
          <w:p>
            <w:pPr>
              <w:jc w:val="center"/>
            </w:pPr>
            <w:r>
              <w:rPr>
                <w:b w:val="false"/>
                <w:bCs w:val="false"/>
                <w:color w:val="1A1A1A"/>
                <w:sz w:val="19"/>
                <w:szCs w:val="19"/>
              </w:rPr>
              <w:t xml:space="preserve">400+ coops, 300 000 membres, CEDEAO</w:t>
            </w:r>
          </w:p>
        </w:tc>
        <w:tc>
          <w:tcPr>
            <w:tcMar>
              <w:top w:type="dxa" w:w="80"/>
              <w:left w:type="dxa" w:w="120"/>
              <w:bottom w:type="dxa" w:w="80"/>
              <w:right w:type="dxa" w:w="120"/>
            </w:tcMar>
          </w:tcPr>
          <w:p>
            <w:pPr>
              <w:jc w:val="center"/>
            </w:pPr>
            <w:r>
              <w:rPr>
                <w:b w:val="false"/>
                <w:bCs w:val="false"/>
                <w:color w:val="1A1A1A"/>
                <w:sz w:val="19"/>
                <w:szCs w:val="19"/>
              </w:rPr>
              <w:t xml:space="preserve">8,5 M USD ARR</w:t>
            </w:r>
          </w:p>
        </w:tc>
      </w:tr>
    </w:tbl>
    <w:p>
      <w:pPr>
        <w:pStyle w:val="Heading2"/>
        <w:spacing w:after="180" w:before="360"/>
      </w:pPr>
      <w:r>
        <w:t xml:space="preserve">2.4 Scénarios stratégiques</w:t>
      </w:r>
    </w:p>
    <w:p>
      <w:pPr>
        <w:pStyle w:val="Heading3"/>
        <w:spacing w:after="120" w:before="240"/>
      </w:pPr>
      <w:r>
        <w:t xml:space="preserve">Scénario A — Optimiste (probabilité : 25 %)</w:t>
      </w:r>
    </w:p>
    <w:p>
      <w:pPr>
        <w:spacing w:after="80" w:before="80"/>
        <w:jc w:val="both"/>
      </w:pPr>
      <w:r>
        <w:rPr>
          <w:color w:val="1A1A1A"/>
          <w:sz w:val="22"/>
          <w:szCs w:val="22"/>
        </w:rPr>
        <w:t xml:space="preserve">Partenariat MAEDR signé en 2026, subvention FIDA obtenue, Orange Money intégré nativement. ARR 2030 : 2,1 M USD. Expansion Ghana dès 2028.</w:t>
      </w:r>
    </w:p>
    <w:p>
      <w:pPr>
        <w:pStyle w:val="Heading3"/>
        <w:spacing w:after="120" w:before="240"/>
      </w:pPr>
      <w:r>
        <w:t xml:space="preserve">Scénario B — Réaliste (probabilité : 55 %)</w:t>
      </w:r>
    </w:p>
    <w:p>
      <w:pPr>
        <w:spacing w:after="80" w:before="80"/>
        <w:jc w:val="both"/>
      </w:pPr>
      <w:r>
        <w:rPr>
          <w:color w:val="1A1A1A"/>
          <w:sz w:val="22"/>
          <w:szCs w:val="22"/>
        </w:rPr>
        <w:t xml:space="preserve">Croissance organique, 40 coopératives en 2028, cotisations comme principal moteur. ARR 2030 : 1,2 M USD. Breakeven Q3 2029.</w:t>
      </w:r>
    </w:p>
    <w:p>
      <w:pPr>
        <w:pStyle w:val="Heading3"/>
        <w:spacing w:after="120" w:before="240"/>
      </w:pPr>
      <w:r>
        <w:t xml:space="preserve">Scénario C — Pessimiste (probabilité : 20 %)</w:t>
      </w:r>
    </w:p>
    <w:p>
      <w:pPr>
        <w:spacing w:after="80" w:before="80"/>
        <w:jc w:val="both"/>
      </w:pPr>
      <w:r>
        <w:rPr>
          <w:color w:val="1A1A1A"/>
          <w:sz w:val="22"/>
          <w:szCs w:val="22"/>
        </w:rPr>
        <w:t xml:space="preserve">Résistance au changement forte, déploiement lent. 20 coops en 2028, ARR 2030 : 450 K USD. Breakeven repoussé à 2031.</w:t>
      </w:r>
    </w:p>
    <w:p>
      <w:r>
        <w:br w:type="page"/>
      </w:r>
    </w:p>
    <w:p>
      <w:pPr>
        <w:spacing w:after="300" w:before="600"/>
      </w:pPr>
      <w:r>
        <w:rPr>
          <w:b/>
          <w:bCs/>
          <w:color w:val="B8860B"/>
          <w:sz w:val="32"/>
          <w:szCs w:val="32"/>
        </w:rPr>
        <w:t xml:space="preserve">III. </w:t>
      </w:r>
      <w:r>
        <w:rPr>
          <w:b/>
          <w:bCs/>
          <w:color w:val="1B5E20"/>
          <w:sz w:val="32"/>
          <w:szCs w:val="32"/>
        </w:rPr>
        <w:t xml:space="preserve">BUSINESS PLAN COMPLET</w:t>
      </w:r>
    </w:p>
    <w:p>
      <w:pPr>
        <w:pStyle w:val="Heading2"/>
        <w:spacing w:after="180" w:before="360"/>
      </w:pPr>
      <w:r>
        <w:t xml:space="preserve">3.1 Analyse de marché TAM / SAM / SOM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5E20" w:val="solid"/>
            <w:tcMar>
              <w:top w:type="dxa" w:w="80"/>
              <w:left w:type="dxa" w:w="120"/>
              <w:bottom w:type="dxa" w:w="80"/>
              <w:right w:type="dxa" w:w="120"/>
            </w:tcMar>
          </w:tcPr>
          <w:p>
            <w:pPr>
              <w:jc w:val="left"/>
            </w:pPr>
            <w:r>
              <w:rPr>
                <w:b/>
                <w:bCs/>
                <w:color w:val="FFFFFF"/>
                <w:sz w:val="20"/>
                <w:szCs w:val="20"/>
              </w:rPr>
              <w:t xml:space="preserve">Marché</w:t>
            </w:r>
          </w:p>
        </w:tc>
        <w:tc>
          <w:tcPr>
            <w:shd w:fill="1B5E20" w:val="solid"/>
            <w:tcMar>
              <w:top w:type="dxa" w:w="80"/>
              <w:left w:type="dxa" w:w="120"/>
              <w:bottom w:type="dxa" w:w="80"/>
              <w:right w:type="dxa" w:w="120"/>
            </w:tcMar>
          </w:tcPr>
          <w:p>
            <w:pPr>
              <w:jc w:val="center"/>
            </w:pPr>
            <w:r>
              <w:rPr>
                <w:b/>
                <w:bCs/>
                <w:color w:val="FFFFFF"/>
                <w:sz w:val="20"/>
                <w:szCs w:val="20"/>
              </w:rPr>
              <w:t xml:space="preserve">Périmètre</w:t>
            </w:r>
          </w:p>
        </w:tc>
        <w:tc>
          <w:tcPr>
            <w:shd w:fill="1B5E20" w:val="solid"/>
            <w:tcMar>
              <w:top w:type="dxa" w:w="80"/>
              <w:left w:type="dxa" w:w="120"/>
              <w:bottom w:type="dxa" w:w="80"/>
              <w:right w:type="dxa" w:w="120"/>
            </w:tcMar>
          </w:tcPr>
          <w:p>
            <w:pPr>
              <w:jc w:val="center"/>
            </w:pPr>
            <w:r>
              <w:rPr>
                <w:b/>
                <w:bCs/>
                <w:color w:val="FFFFFF"/>
                <w:sz w:val="20"/>
                <w:szCs w:val="20"/>
              </w:rPr>
              <w:t xml:space="preserve">Taille estimée</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TAM</w:t>
            </w:r>
          </w:p>
        </w:tc>
        <w:tc>
          <w:tcPr>
            <w:tcMar>
              <w:top w:type="dxa" w:w="80"/>
              <w:left w:type="dxa" w:w="120"/>
              <w:bottom w:type="dxa" w:w="80"/>
              <w:right w:type="dxa" w:w="120"/>
            </w:tcMar>
          </w:tcPr>
          <w:p>
            <w:pPr>
              <w:jc w:val="center"/>
            </w:pPr>
            <w:r>
              <w:rPr>
                <w:b w:val="false"/>
                <w:bCs w:val="false"/>
                <w:color w:val="1A1A1A"/>
                <w:sz w:val="19"/>
                <w:szCs w:val="19"/>
              </w:rPr>
              <w:t xml:space="preserve">Togo : 3 000 coops × 200 membres × 50 USD/an</w:t>
            </w:r>
          </w:p>
        </w:tc>
        <w:tc>
          <w:tcPr>
            <w:tcMar>
              <w:top w:type="dxa" w:w="80"/>
              <w:left w:type="dxa" w:w="120"/>
              <w:bottom w:type="dxa" w:w="80"/>
              <w:right w:type="dxa" w:w="120"/>
            </w:tcMar>
          </w:tcPr>
          <w:p>
            <w:pPr>
              <w:jc w:val="center"/>
            </w:pPr>
            <w:r>
              <w:rPr>
                <w:b w:val="false"/>
                <w:bCs w:val="false"/>
                <w:color w:val="1A1A1A"/>
                <w:sz w:val="19"/>
                <w:szCs w:val="19"/>
              </w:rPr>
              <w:t xml:space="preserve">30 M USD</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TAM Élargi</w:t>
            </w:r>
          </w:p>
        </w:tc>
        <w:tc>
          <w:tcPr>
            <w:tcMar>
              <w:top w:type="dxa" w:w="80"/>
              <w:left w:type="dxa" w:w="120"/>
              <w:bottom w:type="dxa" w:w="80"/>
              <w:right w:type="dxa" w:w="120"/>
            </w:tcMar>
          </w:tcPr>
          <w:p>
            <w:pPr>
              <w:jc w:val="center"/>
            </w:pPr>
            <w:r>
              <w:rPr>
                <w:b w:val="false"/>
                <w:bCs w:val="false"/>
                <w:color w:val="1A1A1A"/>
                <w:sz w:val="19"/>
                <w:szCs w:val="19"/>
              </w:rPr>
              <w:t xml:space="preserve">CEDEAO : 15 pays × facteur 5</w:t>
            </w:r>
          </w:p>
        </w:tc>
        <w:tc>
          <w:tcPr>
            <w:tcMar>
              <w:top w:type="dxa" w:w="80"/>
              <w:left w:type="dxa" w:w="120"/>
              <w:bottom w:type="dxa" w:w="80"/>
              <w:right w:type="dxa" w:w="120"/>
            </w:tcMar>
          </w:tcPr>
          <w:p>
            <w:pPr>
              <w:jc w:val="center"/>
            </w:pPr>
            <w:r>
              <w:rPr>
                <w:b w:val="false"/>
                <w:bCs w:val="false"/>
                <w:color w:val="1A1A1A"/>
                <w:sz w:val="19"/>
                <w:szCs w:val="19"/>
              </w:rPr>
              <w:t xml:space="preserve">150 M USD</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SAM</w:t>
            </w:r>
          </w:p>
        </w:tc>
        <w:tc>
          <w:tcPr>
            <w:tcMar>
              <w:top w:type="dxa" w:w="80"/>
              <w:left w:type="dxa" w:w="120"/>
              <w:bottom w:type="dxa" w:w="80"/>
              <w:right w:type="dxa" w:w="120"/>
            </w:tcMar>
          </w:tcPr>
          <w:p>
            <w:pPr>
              <w:jc w:val="center"/>
            </w:pPr>
            <w:r>
              <w:rPr>
                <w:b w:val="false"/>
                <w:bCs w:val="false"/>
                <w:color w:val="1A1A1A"/>
                <w:sz w:val="19"/>
                <w:szCs w:val="19"/>
              </w:rPr>
              <w:t xml:space="preserve">300 coops actives digitalisables × 200 membres × 50 USD</w:t>
            </w:r>
          </w:p>
        </w:tc>
        <w:tc>
          <w:tcPr>
            <w:tcMar>
              <w:top w:type="dxa" w:w="80"/>
              <w:left w:type="dxa" w:w="120"/>
              <w:bottom w:type="dxa" w:w="80"/>
              <w:right w:type="dxa" w:w="120"/>
            </w:tcMar>
          </w:tcPr>
          <w:p>
            <w:pPr>
              <w:jc w:val="center"/>
            </w:pPr>
            <w:r>
              <w:rPr>
                <w:b w:val="false"/>
                <w:bCs w:val="false"/>
                <w:color w:val="1A1A1A"/>
                <w:sz w:val="19"/>
                <w:szCs w:val="19"/>
              </w:rPr>
              <w:t xml:space="preserve">3 M USD</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SOM Year 3</w:t>
            </w:r>
          </w:p>
        </w:tc>
        <w:tc>
          <w:tcPr>
            <w:tcMar>
              <w:top w:type="dxa" w:w="80"/>
              <w:left w:type="dxa" w:w="120"/>
              <w:bottom w:type="dxa" w:w="80"/>
              <w:right w:type="dxa" w:w="120"/>
            </w:tcMar>
          </w:tcPr>
          <w:p>
            <w:pPr>
              <w:jc w:val="center"/>
            </w:pPr>
            <w:r>
              <w:rPr>
                <w:b w:val="false"/>
                <w:bCs w:val="false"/>
                <w:color w:val="1A1A1A"/>
                <w:sz w:val="19"/>
                <w:szCs w:val="19"/>
              </w:rPr>
              <w:t xml:space="preserve">40 coops × 625 membres × 50 USD</w:t>
            </w:r>
          </w:p>
        </w:tc>
        <w:tc>
          <w:tcPr>
            <w:tcMar>
              <w:top w:type="dxa" w:w="80"/>
              <w:left w:type="dxa" w:w="120"/>
              <w:bottom w:type="dxa" w:w="80"/>
              <w:right w:type="dxa" w:w="120"/>
            </w:tcMar>
          </w:tcPr>
          <w:p>
            <w:pPr>
              <w:jc w:val="center"/>
            </w:pPr>
            <w:r>
              <w:rPr>
                <w:b w:val="false"/>
                <w:bCs w:val="false"/>
                <w:color w:val="1A1A1A"/>
                <w:sz w:val="19"/>
                <w:szCs w:val="19"/>
              </w:rPr>
              <w:t xml:space="preserve">1,25 M USD</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SOM Year 5</w:t>
            </w:r>
          </w:p>
        </w:tc>
        <w:tc>
          <w:tcPr>
            <w:tcMar>
              <w:top w:type="dxa" w:w="80"/>
              <w:left w:type="dxa" w:w="120"/>
              <w:bottom w:type="dxa" w:w="80"/>
              <w:right w:type="dxa" w:w="120"/>
            </w:tcMar>
          </w:tcPr>
          <w:p>
            <w:pPr>
              <w:jc w:val="center"/>
            </w:pPr>
            <w:r>
              <w:rPr>
                <w:b w:val="false"/>
                <w:bCs w:val="false"/>
                <w:color w:val="1A1A1A"/>
                <w:sz w:val="19"/>
                <w:szCs w:val="19"/>
              </w:rPr>
              <w:t xml:space="preserve">120 coops × 667 membres × 50 USD</w:t>
            </w:r>
          </w:p>
        </w:tc>
        <w:tc>
          <w:tcPr>
            <w:tcMar>
              <w:top w:type="dxa" w:w="80"/>
              <w:left w:type="dxa" w:w="120"/>
              <w:bottom w:type="dxa" w:w="80"/>
              <w:right w:type="dxa" w:w="120"/>
            </w:tcMar>
          </w:tcPr>
          <w:p>
            <w:pPr>
              <w:jc w:val="center"/>
            </w:pPr>
            <w:r>
              <w:rPr>
                <w:b w:val="false"/>
                <w:bCs w:val="false"/>
                <w:color w:val="1A1A1A"/>
                <w:sz w:val="19"/>
                <w:szCs w:val="19"/>
              </w:rPr>
              <w:t xml:space="preserve">4 M USD</w:t>
            </w:r>
          </w:p>
        </w:tc>
      </w:tr>
    </w:tbl>
    <w:p>
      <w:pPr>
        <w:pStyle w:val="Heading2"/>
        <w:spacing w:after="180" w:before="360"/>
      </w:pPr>
      <w:r>
        <w:t xml:space="preserve">3.2 Modèle de revenus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5E20" w:val="solid"/>
            <w:tcMar>
              <w:top w:type="dxa" w:w="80"/>
              <w:left w:type="dxa" w:w="120"/>
              <w:bottom w:type="dxa" w:w="80"/>
              <w:right w:type="dxa" w:w="120"/>
            </w:tcMar>
          </w:tcPr>
          <w:p>
            <w:pPr>
              <w:jc w:val="left"/>
            </w:pPr>
            <w:r>
              <w:rPr>
                <w:b/>
                <w:bCs/>
                <w:color w:val="FFFFFF"/>
                <w:sz w:val="20"/>
                <w:szCs w:val="20"/>
              </w:rPr>
              <w:t xml:space="preserve">Source</w:t>
            </w:r>
          </w:p>
        </w:tc>
        <w:tc>
          <w:tcPr>
            <w:shd w:fill="1B5E20" w:val="solid"/>
            <w:tcMar>
              <w:top w:type="dxa" w:w="80"/>
              <w:left w:type="dxa" w:w="120"/>
              <w:bottom w:type="dxa" w:w="80"/>
              <w:right w:type="dxa" w:w="120"/>
            </w:tcMar>
          </w:tcPr>
          <w:p>
            <w:pPr>
              <w:jc w:val="center"/>
            </w:pPr>
            <w:r>
              <w:rPr>
                <w:b/>
                <w:bCs/>
                <w:color w:val="FFFFFF"/>
                <w:sz w:val="20"/>
                <w:szCs w:val="20"/>
              </w:rPr>
              <w:t xml:space="preserve">Modèle</w:t>
            </w:r>
          </w:p>
        </w:tc>
        <w:tc>
          <w:tcPr>
            <w:shd w:fill="1B5E20" w:val="solid"/>
            <w:tcMar>
              <w:top w:type="dxa" w:w="80"/>
              <w:left w:type="dxa" w:w="120"/>
              <w:bottom w:type="dxa" w:w="80"/>
              <w:right w:type="dxa" w:w="120"/>
            </w:tcMar>
          </w:tcPr>
          <w:p>
            <w:pPr>
              <w:jc w:val="center"/>
            </w:pPr>
            <w:r>
              <w:rPr>
                <w:b/>
                <w:bCs/>
                <w:color w:val="FFFFFF"/>
                <w:sz w:val="20"/>
                <w:szCs w:val="20"/>
              </w:rPr>
              <w:t xml:space="preserve">Prix</w:t>
            </w:r>
          </w:p>
        </w:tc>
        <w:tc>
          <w:tcPr>
            <w:shd w:fill="1B5E20" w:val="solid"/>
            <w:tcMar>
              <w:top w:type="dxa" w:w="80"/>
              <w:left w:type="dxa" w:w="120"/>
              <w:bottom w:type="dxa" w:w="80"/>
              <w:right w:type="dxa" w:w="120"/>
            </w:tcMar>
          </w:tcPr>
          <w:p>
            <w:pPr>
              <w:jc w:val="center"/>
            </w:pPr>
            <w:r>
              <w:rPr>
                <w:b/>
                <w:bCs/>
                <w:color w:val="FFFFFF"/>
                <w:sz w:val="20"/>
                <w:szCs w:val="20"/>
              </w:rPr>
              <w:t xml:space="preserve">Déclencheur</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SaaS Coopérative</w:t>
            </w:r>
          </w:p>
        </w:tc>
        <w:tc>
          <w:tcPr>
            <w:tcMar>
              <w:top w:type="dxa" w:w="80"/>
              <w:left w:type="dxa" w:w="120"/>
              <w:bottom w:type="dxa" w:w="80"/>
              <w:right w:type="dxa" w:w="120"/>
            </w:tcMar>
          </w:tcPr>
          <w:p>
            <w:pPr>
              <w:jc w:val="center"/>
            </w:pPr>
            <w:r>
              <w:rPr>
                <w:b w:val="false"/>
                <w:bCs w:val="false"/>
                <w:color w:val="1A1A1A"/>
                <w:sz w:val="19"/>
                <w:szCs w:val="19"/>
              </w:rPr>
              <w:t xml:space="preserve">Abonnement mensuel</w:t>
            </w:r>
          </w:p>
        </w:tc>
        <w:tc>
          <w:tcPr>
            <w:tcMar>
              <w:top w:type="dxa" w:w="80"/>
              <w:left w:type="dxa" w:w="120"/>
              <w:bottom w:type="dxa" w:w="80"/>
              <w:right w:type="dxa" w:w="120"/>
            </w:tcMar>
          </w:tcPr>
          <w:p>
            <w:pPr>
              <w:jc w:val="center"/>
            </w:pPr>
            <w:r>
              <w:rPr>
                <w:b w:val="false"/>
                <w:bCs w:val="false"/>
                <w:color w:val="1A1A1A"/>
                <w:sz w:val="19"/>
                <w:szCs w:val="19"/>
              </w:rPr>
              <w:t xml:space="preserve">150–500 USD/mois</w:t>
            </w:r>
          </w:p>
        </w:tc>
        <w:tc>
          <w:tcPr>
            <w:tcMar>
              <w:top w:type="dxa" w:w="80"/>
              <w:left w:type="dxa" w:w="120"/>
              <w:bottom w:type="dxa" w:w="80"/>
              <w:right w:type="dxa" w:w="120"/>
            </w:tcMar>
          </w:tcPr>
          <w:p>
            <w:pPr>
              <w:jc w:val="center"/>
            </w:pPr>
            <w:r>
              <w:rPr>
                <w:b w:val="false"/>
                <w:bCs w:val="false"/>
                <w:color w:val="1A1A1A"/>
                <w:sz w:val="19"/>
                <w:szCs w:val="19"/>
              </w:rPr>
              <w:t xml:space="preserve">Adoption coopérative</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Frais de transaction</w:t>
            </w:r>
          </w:p>
        </w:tc>
        <w:tc>
          <w:tcPr>
            <w:tcMar>
              <w:top w:type="dxa" w:w="80"/>
              <w:left w:type="dxa" w:w="120"/>
              <w:bottom w:type="dxa" w:w="80"/>
              <w:right w:type="dxa" w:w="120"/>
            </w:tcMar>
          </w:tcPr>
          <w:p>
            <w:pPr>
              <w:jc w:val="center"/>
            </w:pPr>
            <w:r>
              <w:rPr>
                <w:b w:val="false"/>
                <w:bCs w:val="false"/>
                <w:color w:val="1A1A1A"/>
                <w:sz w:val="19"/>
                <w:szCs w:val="19"/>
              </w:rPr>
              <w:t xml:space="preserve">0,5–1 % du montant payé</w:t>
            </w:r>
          </w:p>
        </w:tc>
        <w:tc>
          <w:tcPr>
            <w:tcMar>
              <w:top w:type="dxa" w:w="80"/>
              <w:left w:type="dxa" w:w="120"/>
              <w:bottom w:type="dxa" w:w="80"/>
              <w:right w:type="dxa" w:w="120"/>
            </w:tcMar>
          </w:tcPr>
          <w:p>
            <w:pPr>
              <w:jc w:val="center"/>
            </w:pPr>
            <w:r>
              <w:rPr>
                <w:b w:val="false"/>
                <w:bCs w:val="false"/>
                <w:color w:val="1A1A1A"/>
                <w:sz w:val="19"/>
                <w:szCs w:val="19"/>
              </w:rPr>
              <w:t xml:space="preserve">Variable</w:t>
            </w:r>
          </w:p>
        </w:tc>
        <w:tc>
          <w:tcPr>
            <w:tcMar>
              <w:top w:type="dxa" w:w="80"/>
              <w:left w:type="dxa" w:w="120"/>
              <w:bottom w:type="dxa" w:w="80"/>
              <w:right w:type="dxa" w:w="120"/>
            </w:tcMar>
          </w:tcPr>
          <w:p>
            <w:pPr>
              <w:jc w:val="center"/>
            </w:pPr>
            <w:r>
              <w:rPr>
                <w:b w:val="false"/>
                <w:bCs w:val="false"/>
                <w:color w:val="1A1A1A"/>
                <w:sz w:val="19"/>
                <w:szCs w:val="19"/>
              </w:rPr>
              <w:t xml:space="preserve">Cotisation Orange Money</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Commission matchmaking</w:t>
            </w:r>
          </w:p>
        </w:tc>
        <w:tc>
          <w:tcPr>
            <w:tcMar>
              <w:top w:type="dxa" w:w="80"/>
              <w:left w:type="dxa" w:w="120"/>
              <w:bottom w:type="dxa" w:w="80"/>
              <w:right w:type="dxa" w:w="120"/>
            </w:tcMar>
          </w:tcPr>
          <w:p>
            <w:pPr>
              <w:jc w:val="center"/>
            </w:pPr>
            <w:r>
              <w:rPr>
                <w:b w:val="false"/>
                <w:bCs w:val="false"/>
                <w:color w:val="1A1A1A"/>
                <w:sz w:val="19"/>
                <w:szCs w:val="19"/>
              </w:rPr>
              <w:t xml:space="preserve">2–3 % de la transaction</w:t>
            </w:r>
          </w:p>
        </w:tc>
        <w:tc>
          <w:tcPr>
            <w:tcMar>
              <w:top w:type="dxa" w:w="80"/>
              <w:left w:type="dxa" w:w="120"/>
              <w:bottom w:type="dxa" w:w="80"/>
              <w:right w:type="dxa" w:w="120"/>
            </w:tcMar>
          </w:tcPr>
          <w:p>
            <w:pPr>
              <w:jc w:val="center"/>
            </w:pPr>
            <w:r>
              <w:rPr>
                <w:b w:val="false"/>
                <w:bCs w:val="false"/>
                <w:color w:val="1A1A1A"/>
                <w:sz w:val="19"/>
                <w:szCs w:val="19"/>
              </w:rPr>
              <w:t xml:space="preserve">Variable</w:t>
            </w:r>
          </w:p>
        </w:tc>
        <w:tc>
          <w:tcPr>
            <w:tcMar>
              <w:top w:type="dxa" w:w="80"/>
              <w:left w:type="dxa" w:w="120"/>
              <w:bottom w:type="dxa" w:w="80"/>
              <w:right w:type="dxa" w:w="120"/>
            </w:tcMar>
          </w:tcPr>
          <w:p>
            <w:pPr>
              <w:jc w:val="center"/>
            </w:pPr>
            <w:r>
              <w:rPr>
                <w:b w:val="false"/>
                <w:bCs w:val="false"/>
                <w:color w:val="1A1A1A"/>
                <w:sz w:val="19"/>
                <w:szCs w:val="19"/>
              </w:rPr>
              <w:t xml:space="preserve">Vente agrimarket</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Modules premium</w:t>
            </w:r>
          </w:p>
        </w:tc>
        <w:tc>
          <w:tcPr>
            <w:tcMar>
              <w:top w:type="dxa" w:w="80"/>
              <w:left w:type="dxa" w:w="120"/>
              <w:bottom w:type="dxa" w:w="80"/>
              <w:right w:type="dxa" w:w="120"/>
            </w:tcMar>
          </w:tcPr>
          <w:p>
            <w:pPr>
              <w:jc w:val="center"/>
            </w:pPr>
            <w:r>
              <w:rPr>
                <w:b w:val="false"/>
                <w:bCs w:val="false"/>
                <w:color w:val="1A1A1A"/>
                <w:sz w:val="19"/>
                <w:szCs w:val="19"/>
              </w:rPr>
              <w:t xml:space="preserve">Analytique avancée, exports</w:t>
            </w:r>
          </w:p>
        </w:tc>
        <w:tc>
          <w:tcPr>
            <w:tcMar>
              <w:top w:type="dxa" w:w="80"/>
              <w:left w:type="dxa" w:w="120"/>
              <w:bottom w:type="dxa" w:w="80"/>
              <w:right w:type="dxa" w:w="120"/>
            </w:tcMar>
          </w:tcPr>
          <w:p>
            <w:pPr>
              <w:jc w:val="center"/>
            </w:pPr>
            <w:r>
              <w:rPr>
                <w:b w:val="false"/>
                <w:bCs w:val="false"/>
                <w:color w:val="1A1A1A"/>
                <w:sz w:val="19"/>
                <w:szCs w:val="19"/>
              </w:rPr>
              <w:t xml:space="preserve">50 USD/mois</w:t>
            </w:r>
          </w:p>
        </w:tc>
        <w:tc>
          <w:tcPr>
            <w:tcMar>
              <w:top w:type="dxa" w:w="80"/>
              <w:left w:type="dxa" w:w="120"/>
              <w:bottom w:type="dxa" w:w="80"/>
              <w:right w:type="dxa" w:w="120"/>
            </w:tcMar>
          </w:tcPr>
          <w:p>
            <w:pPr>
              <w:jc w:val="center"/>
            </w:pPr>
            <w:r>
              <w:rPr>
                <w:b w:val="false"/>
                <w:bCs w:val="false"/>
                <w:color w:val="1A1A1A"/>
                <w:sz w:val="19"/>
                <w:szCs w:val="19"/>
              </w:rPr>
              <w:t xml:space="preserve">Upsell</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Données agrégées</w:t>
            </w:r>
          </w:p>
        </w:tc>
        <w:tc>
          <w:tcPr>
            <w:tcMar>
              <w:top w:type="dxa" w:w="80"/>
              <w:left w:type="dxa" w:w="120"/>
              <w:bottom w:type="dxa" w:w="80"/>
              <w:right w:type="dxa" w:w="120"/>
            </w:tcMar>
          </w:tcPr>
          <w:p>
            <w:pPr>
              <w:jc w:val="center"/>
            </w:pPr>
            <w:r>
              <w:rPr>
                <w:b w:val="false"/>
                <w:bCs w:val="false"/>
                <w:color w:val="1A1A1A"/>
                <w:sz w:val="19"/>
                <w:szCs w:val="19"/>
              </w:rPr>
              <w:t xml:space="preserve">B2B (assureurs, banques)</w:t>
            </w:r>
          </w:p>
        </w:tc>
        <w:tc>
          <w:tcPr>
            <w:tcMar>
              <w:top w:type="dxa" w:w="80"/>
              <w:left w:type="dxa" w:w="120"/>
              <w:bottom w:type="dxa" w:w="80"/>
              <w:right w:type="dxa" w:w="120"/>
            </w:tcMar>
          </w:tcPr>
          <w:p>
            <w:pPr>
              <w:jc w:val="center"/>
            </w:pPr>
            <w:r>
              <w:rPr>
                <w:b w:val="false"/>
                <w:bCs w:val="false"/>
                <w:color w:val="1A1A1A"/>
                <w:sz w:val="19"/>
                <w:szCs w:val="19"/>
              </w:rPr>
              <w:t xml:space="preserve">5–20 K USD/an</w:t>
            </w:r>
          </w:p>
        </w:tc>
        <w:tc>
          <w:tcPr>
            <w:tcMar>
              <w:top w:type="dxa" w:w="80"/>
              <w:left w:type="dxa" w:w="120"/>
              <w:bottom w:type="dxa" w:w="80"/>
              <w:right w:type="dxa" w:w="120"/>
            </w:tcMar>
          </w:tcPr>
          <w:p>
            <w:pPr>
              <w:jc w:val="center"/>
            </w:pPr>
            <w:r>
              <w:rPr>
                <w:b w:val="false"/>
                <w:bCs w:val="false"/>
                <w:color w:val="1A1A1A"/>
                <w:sz w:val="19"/>
                <w:szCs w:val="19"/>
              </w:rPr>
              <w:t xml:space="preserve">Year 3+</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Grants publics</w:t>
            </w:r>
          </w:p>
        </w:tc>
        <w:tc>
          <w:tcPr>
            <w:tcMar>
              <w:top w:type="dxa" w:w="80"/>
              <w:left w:type="dxa" w:w="120"/>
              <w:bottom w:type="dxa" w:w="80"/>
              <w:right w:type="dxa" w:w="120"/>
            </w:tcMar>
          </w:tcPr>
          <w:p>
            <w:pPr>
              <w:jc w:val="center"/>
            </w:pPr>
            <w:r>
              <w:rPr>
                <w:b w:val="false"/>
                <w:bCs w:val="false"/>
                <w:color w:val="1A1A1A"/>
                <w:sz w:val="19"/>
                <w:szCs w:val="19"/>
              </w:rPr>
              <w:t xml:space="preserve">FAO, IFAD, UE, AFD</w:t>
            </w:r>
          </w:p>
        </w:tc>
        <w:tc>
          <w:tcPr>
            <w:tcMar>
              <w:top w:type="dxa" w:w="80"/>
              <w:left w:type="dxa" w:w="120"/>
              <w:bottom w:type="dxa" w:w="80"/>
              <w:right w:type="dxa" w:w="120"/>
            </w:tcMar>
          </w:tcPr>
          <w:p>
            <w:pPr>
              <w:jc w:val="center"/>
            </w:pPr>
            <w:r>
              <w:rPr>
                <w:b w:val="false"/>
                <w:bCs w:val="false"/>
                <w:color w:val="1A1A1A"/>
                <w:sz w:val="19"/>
                <w:szCs w:val="19"/>
              </w:rPr>
              <w:t xml:space="preserve">50–300 K USD</w:t>
            </w:r>
          </w:p>
        </w:tc>
        <w:tc>
          <w:tcPr>
            <w:tcMar>
              <w:top w:type="dxa" w:w="80"/>
              <w:left w:type="dxa" w:w="120"/>
              <w:bottom w:type="dxa" w:w="80"/>
              <w:right w:type="dxa" w:w="120"/>
            </w:tcMar>
          </w:tcPr>
          <w:p>
            <w:pPr>
              <w:jc w:val="center"/>
            </w:pPr>
            <w:r>
              <w:rPr>
                <w:b w:val="false"/>
                <w:bCs w:val="false"/>
                <w:color w:val="1A1A1A"/>
                <w:sz w:val="19"/>
                <w:szCs w:val="19"/>
              </w:rPr>
              <w:t xml:space="preserve">Projets ciblés</w:t>
            </w:r>
          </w:p>
        </w:tc>
      </w:tr>
    </w:tbl>
    <w:p>
      <w:pPr>
        <w:pStyle w:val="Heading2"/>
        <w:spacing w:after="180" w:before="360"/>
      </w:pPr>
      <w:r>
        <w:t xml:space="preserve">3.3 Projections financières sur 10 ans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B5E20" w:val="solid"/>
            <w:tcMar>
              <w:top w:type="dxa" w:w="80"/>
              <w:left w:type="dxa" w:w="120"/>
              <w:bottom w:type="dxa" w:w="80"/>
              <w:right w:type="dxa" w:w="120"/>
            </w:tcMar>
          </w:tcPr>
          <w:p>
            <w:pPr>
              <w:jc w:val="left"/>
            </w:pPr>
            <w:r>
              <w:rPr>
                <w:b/>
                <w:bCs/>
                <w:color w:val="FFFFFF"/>
                <w:sz w:val="20"/>
                <w:szCs w:val="20"/>
              </w:rPr>
              <w:t xml:space="preserve">Année</w:t>
            </w:r>
          </w:p>
        </w:tc>
        <w:tc>
          <w:tcPr>
            <w:shd w:fill="1B5E20" w:val="solid"/>
            <w:tcMar>
              <w:top w:type="dxa" w:w="80"/>
              <w:left w:type="dxa" w:w="120"/>
              <w:bottom w:type="dxa" w:w="80"/>
              <w:right w:type="dxa" w:w="120"/>
            </w:tcMar>
          </w:tcPr>
          <w:p>
            <w:pPr>
              <w:jc w:val="center"/>
            </w:pPr>
            <w:r>
              <w:rPr>
                <w:b/>
                <w:bCs/>
                <w:color w:val="FFFFFF"/>
                <w:sz w:val="20"/>
                <w:szCs w:val="20"/>
              </w:rPr>
              <w:t xml:space="preserve">Coops</w:t>
            </w:r>
          </w:p>
        </w:tc>
        <w:tc>
          <w:tcPr>
            <w:shd w:fill="1B5E20" w:val="solid"/>
            <w:tcMar>
              <w:top w:type="dxa" w:w="80"/>
              <w:left w:type="dxa" w:w="120"/>
              <w:bottom w:type="dxa" w:w="80"/>
              <w:right w:type="dxa" w:w="120"/>
            </w:tcMar>
          </w:tcPr>
          <w:p>
            <w:pPr>
              <w:jc w:val="center"/>
            </w:pPr>
            <w:r>
              <w:rPr>
                <w:b/>
                <w:bCs/>
                <w:color w:val="FFFFFF"/>
                <w:sz w:val="20"/>
                <w:szCs w:val="20"/>
              </w:rPr>
              <w:t xml:space="preserve">Membres</w:t>
            </w:r>
          </w:p>
        </w:tc>
        <w:tc>
          <w:tcPr>
            <w:shd w:fill="1B5E20" w:val="solid"/>
            <w:tcMar>
              <w:top w:type="dxa" w:w="80"/>
              <w:left w:type="dxa" w:w="120"/>
              <w:bottom w:type="dxa" w:w="80"/>
              <w:right w:type="dxa" w:w="120"/>
            </w:tcMar>
          </w:tcPr>
          <w:p>
            <w:pPr>
              <w:jc w:val="center"/>
            </w:pPr>
            <w:r>
              <w:rPr>
                <w:b/>
                <w:bCs/>
                <w:color w:val="FFFFFF"/>
                <w:sz w:val="20"/>
                <w:szCs w:val="20"/>
              </w:rPr>
              <w:t xml:space="preserve">ARR (USD)</w:t>
            </w:r>
          </w:p>
        </w:tc>
        <w:tc>
          <w:tcPr>
            <w:shd w:fill="1B5E20" w:val="solid"/>
            <w:tcMar>
              <w:top w:type="dxa" w:w="80"/>
              <w:left w:type="dxa" w:w="120"/>
              <w:bottom w:type="dxa" w:w="80"/>
              <w:right w:type="dxa" w:w="120"/>
            </w:tcMar>
          </w:tcPr>
          <w:p>
            <w:pPr>
              <w:jc w:val="center"/>
            </w:pPr>
            <w:r>
              <w:rPr>
                <w:b/>
                <w:bCs/>
                <w:color w:val="FFFFFF"/>
                <w:sz w:val="20"/>
                <w:szCs w:val="20"/>
              </w:rPr>
              <w:t xml:space="preserve">Coûts (USD)</w:t>
            </w:r>
          </w:p>
        </w:tc>
        <w:tc>
          <w:tcPr>
            <w:shd w:fill="1B5E20" w:val="solid"/>
            <w:tcMar>
              <w:top w:type="dxa" w:w="80"/>
              <w:left w:type="dxa" w:w="120"/>
              <w:bottom w:type="dxa" w:w="80"/>
              <w:right w:type="dxa" w:w="120"/>
            </w:tcMar>
          </w:tcPr>
          <w:p>
            <w:pPr>
              <w:jc w:val="center"/>
            </w:pPr>
            <w:r>
              <w:rPr>
                <w:b/>
                <w:bCs/>
                <w:color w:val="FFFFFF"/>
                <w:sz w:val="20"/>
                <w:szCs w:val="20"/>
              </w:rPr>
              <w:t xml:space="preserve">EBITDA (USD)</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2026</w:t>
            </w:r>
          </w:p>
        </w:tc>
        <w:tc>
          <w:tcPr>
            <w:tcMar>
              <w:top w:type="dxa" w:w="80"/>
              <w:left w:type="dxa" w:w="120"/>
              <w:bottom w:type="dxa" w:w="80"/>
              <w:right w:type="dxa" w:w="120"/>
            </w:tcMar>
          </w:tcPr>
          <w:p>
            <w:pPr>
              <w:jc w:val="center"/>
            </w:pPr>
            <w:r>
              <w:rPr>
                <w:b w:val="false"/>
                <w:bCs w:val="false"/>
                <w:color w:val="1A1A1A"/>
                <w:sz w:val="19"/>
                <w:szCs w:val="19"/>
              </w:rPr>
              <w:t xml:space="preserve">3</w:t>
            </w:r>
          </w:p>
        </w:tc>
        <w:tc>
          <w:tcPr>
            <w:tcMar>
              <w:top w:type="dxa" w:w="80"/>
              <w:left w:type="dxa" w:w="120"/>
              <w:bottom w:type="dxa" w:w="80"/>
              <w:right w:type="dxa" w:w="120"/>
            </w:tcMar>
          </w:tcPr>
          <w:p>
            <w:pPr>
              <w:jc w:val="center"/>
            </w:pPr>
            <w:r>
              <w:rPr>
                <w:b w:val="false"/>
                <w:bCs w:val="false"/>
                <w:color w:val="1A1A1A"/>
                <w:sz w:val="19"/>
                <w:szCs w:val="19"/>
              </w:rPr>
              <w:t xml:space="preserve">500</w:t>
            </w:r>
          </w:p>
        </w:tc>
        <w:tc>
          <w:tcPr>
            <w:tcMar>
              <w:top w:type="dxa" w:w="80"/>
              <w:left w:type="dxa" w:w="120"/>
              <w:bottom w:type="dxa" w:w="80"/>
              <w:right w:type="dxa" w:w="120"/>
            </w:tcMar>
          </w:tcPr>
          <w:p>
            <w:pPr>
              <w:jc w:val="center"/>
            </w:pPr>
            <w:r>
              <w:rPr>
                <w:b w:val="false"/>
                <w:bCs w:val="false"/>
                <w:color w:val="1A1A1A"/>
                <w:sz w:val="19"/>
                <w:szCs w:val="19"/>
              </w:rPr>
              <w:t xml:space="preserve">0</w:t>
            </w:r>
          </w:p>
        </w:tc>
        <w:tc>
          <w:tcPr>
            <w:tcMar>
              <w:top w:type="dxa" w:w="80"/>
              <w:left w:type="dxa" w:w="120"/>
              <w:bottom w:type="dxa" w:w="80"/>
              <w:right w:type="dxa" w:w="120"/>
            </w:tcMar>
          </w:tcPr>
          <w:p>
            <w:pPr>
              <w:jc w:val="center"/>
            </w:pPr>
            <w:r>
              <w:rPr>
                <w:b w:val="false"/>
                <w:bCs w:val="false"/>
                <w:color w:val="1A1A1A"/>
                <w:sz w:val="19"/>
                <w:szCs w:val="19"/>
              </w:rPr>
              <w:t xml:space="preserve">120 000</w:t>
            </w:r>
          </w:p>
        </w:tc>
        <w:tc>
          <w:tcPr>
            <w:tcMar>
              <w:top w:type="dxa" w:w="80"/>
              <w:left w:type="dxa" w:w="120"/>
              <w:bottom w:type="dxa" w:w="80"/>
              <w:right w:type="dxa" w:w="120"/>
            </w:tcMar>
          </w:tcPr>
          <w:p>
            <w:pPr>
              <w:jc w:val="center"/>
            </w:pPr>
            <w:r>
              <w:rPr>
                <w:b w:val="false"/>
                <w:bCs w:val="false"/>
                <w:color w:val="1A1A1A"/>
                <w:sz w:val="19"/>
                <w:szCs w:val="19"/>
              </w:rPr>
              <w:t xml:space="preserve">-120 000</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2027</w:t>
            </w:r>
          </w:p>
        </w:tc>
        <w:tc>
          <w:tcPr>
            <w:tcMar>
              <w:top w:type="dxa" w:w="80"/>
              <w:left w:type="dxa" w:w="120"/>
              <w:bottom w:type="dxa" w:w="80"/>
              <w:right w:type="dxa" w:w="120"/>
            </w:tcMar>
          </w:tcPr>
          <w:p>
            <w:pPr>
              <w:jc w:val="center"/>
            </w:pPr>
            <w:r>
              <w:rPr>
                <w:b w:val="false"/>
                <w:bCs w:val="false"/>
                <w:color w:val="1A1A1A"/>
                <w:sz w:val="19"/>
                <w:szCs w:val="19"/>
              </w:rPr>
              <w:t xml:space="preserve">10</w:t>
            </w:r>
          </w:p>
        </w:tc>
        <w:tc>
          <w:tcPr>
            <w:tcMar>
              <w:top w:type="dxa" w:w="80"/>
              <w:left w:type="dxa" w:w="120"/>
              <w:bottom w:type="dxa" w:w="80"/>
              <w:right w:type="dxa" w:w="120"/>
            </w:tcMar>
          </w:tcPr>
          <w:p>
            <w:pPr>
              <w:jc w:val="center"/>
            </w:pPr>
            <w:r>
              <w:rPr>
                <w:b w:val="false"/>
                <w:bCs w:val="false"/>
                <w:color w:val="1A1A1A"/>
                <w:sz w:val="19"/>
                <w:szCs w:val="19"/>
              </w:rPr>
              <w:t xml:space="preserve">3 000</w:t>
            </w:r>
          </w:p>
        </w:tc>
        <w:tc>
          <w:tcPr>
            <w:tcMar>
              <w:top w:type="dxa" w:w="80"/>
              <w:left w:type="dxa" w:w="120"/>
              <w:bottom w:type="dxa" w:w="80"/>
              <w:right w:type="dxa" w:w="120"/>
            </w:tcMar>
          </w:tcPr>
          <w:p>
            <w:pPr>
              <w:jc w:val="center"/>
            </w:pPr>
            <w:r>
              <w:rPr>
                <w:b w:val="false"/>
                <w:bCs w:val="false"/>
                <w:color w:val="1A1A1A"/>
                <w:sz w:val="19"/>
                <w:szCs w:val="19"/>
              </w:rPr>
              <w:t xml:space="preserve">45 000</w:t>
            </w:r>
          </w:p>
        </w:tc>
        <w:tc>
          <w:tcPr>
            <w:tcMar>
              <w:top w:type="dxa" w:w="80"/>
              <w:left w:type="dxa" w:w="120"/>
              <w:bottom w:type="dxa" w:w="80"/>
              <w:right w:type="dxa" w:w="120"/>
            </w:tcMar>
          </w:tcPr>
          <w:p>
            <w:pPr>
              <w:jc w:val="center"/>
            </w:pPr>
            <w:r>
              <w:rPr>
                <w:b w:val="false"/>
                <w:bCs w:val="false"/>
                <w:color w:val="1A1A1A"/>
                <w:sz w:val="19"/>
                <w:szCs w:val="19"/>
              </w:rPr>
              <w:t xml:space="preserve">180 000</w:t>
            </w:r>
          </w:p>
        </w:tc>
        <w:tc>
          <w:tcPr>
            <w:tcMar>
              <w:top w:type="dxa" w:w="80"/>
              <w:left w:type="dxa" w:w="120"/>
              <w:bottom w:type="dxa" w:w="80"/>
              <w:right w:type="dxa" w:w="120"/>
            </w:tcMar>
          </w:tcPr>
          <w:p>
            <w:pPr>
              <w:jc w:val="center"/>
            </w:pPr>
            <w:r>
              <w:rPr>
                <w:b w:val="false"/>
                <w:bCs w:val="false"/>
                <w:color w:val="1A1A1A"/>
                <w:sz w:val="19"/>
                <w:szCs w:val="19"/>
              </w:rPr>
              <w:t xml:space="preserve">-135 000</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2028</w:t>
            </w:r>
          </w:p>
        </w:tc>
        <w:tc>
          <w:tcPr>
            <w:tcMar>
              <w:top w:type="dxa" w:w="80"/>
              <w:left w:type="dxa" w:w="120"/>
              <w:bottom w:type="dxa" w:w="80"/>
              <w:right w:type="dxa" w:w="120"/>
            </w:tcMar>
          </w:tcPr>
          <w:p>
            <w:pPr>
              <w:jc w:val="center"/>
            </w:pPr>
            <w:r>
              <w:rPr>
                <w:b w:val="false"/>
                <w:bCs w:val="false"/>
                <w:color w:val="1A1A1A"/>
                <w:sz w:val="19"/>
                <w:szCs w:val="19"/>
              </w:rPr>
              <w:t xml:space="preserve">25</w:t>
            </w:r>
          </w:p>
        </w:tc>
        <w:tc>
          <w:tcPr>
            <w:tcMar>
              <w:top w:type="dxa" w:w="80"/>
              <w:left w:type="dxa" w:w="120"/>
              <w:bottom w:type="dxa" w:w="80"/>
              <w:right w:type="dxa" w:w="120"/>
            </w:tcMar>
          </w:tcPr>
          <w:p>
            <w:pPr>
              <w:jc w:val="center"/>
            </w:pPr>
            <w:r>
              <w:rPr>
                <w:b w:val="false"/>
                <w:bCs w:val="false"/>
                <w:color w:val="1A1A1A"/>
                <w:sz w:val="19"/>
                <w:szCs w:val="19"/>
              </w:rPr>
              <w:t xml:space="preserve">12 000</w:t>
            </w:r>
          </w:p>
        </w:tc>
        <w:tc>
          <w:tcPr>
            <w:tcMar>
              <w:top w:type="dxa" w:w="80"/>
              <w:left w:type="dxa" w:w="120"/>
              <w:bottom w:type="dxa" w:w="80"/>
              <w:right w:type="dxa" w:w="120"/>
            </w:tcMar>
          </w:tcPr>
          <w:p>
            <w:pPr>
              <w:jc w:val="center"/>
            </w:pPr>
            <w:r>
              <w:rPr>
                <w:b w:val="false"/>
                <w:bCs w:val="false"/>
                <w:color w:val="1A1A1A"/>
                <w:sz w:val="19"/>
                <w:szCs w:val="19"/>
              </w:rPr>
              <w:t xml:space="preserve">170 000</w:t>
            </w:r>
          </w:p>
        </w:tc>
        <w:tc>
          <w:tcPr>
            <w:tcMar>
              <w:top w:type="dxa" w:w="80"/>
              <w:left w:type="dxa" w:w="120"/>
              <w:bottom w:type="dxa" w:w="80"/>
              <w:right w:type="dxa" w:w="120"/>
            </w:tcMar>
          </w:tcPr>
          <w:p>
            <w:pPr>
              <w:jc w:val="center"/>
            </w:pPr>
            <w:r>
              <w:rPr>
                <w:b w:val="false"/>
                <w:bCs w:val="false"/>
                <w:color w:val="1A1A1A"/>
                <w:sz w:val="19"/>
                <w:szCs w:val="19"/>
              </w:rPr>
              <w:t xml:space="preserve">280 000</w:t>
            </w:r>
          </w:p>
        </w:tc>
        <w:tc>
          <w:tcPr>
            <w:tcMar>
              <w:top w:type="dxa" w:w="80"/>
              <w:left w:type="dxa" w:w="120"/>
              <w:bottom w:type="dxa" w:w="80"/>
              <w:right w:type="dxa" w:w="120"/>
            </w:tcMar>
          </w:tcPr>
          <w:p>
            <w:pPr>
              <w:jc w:val="center"/>
            </w:pPr>
            <w:r>
              <w:rPr>
                <w:b w:val="false"/>
                <w:bCs w:val="false"/>
                <w:color w:val="1A1A1A"/>
                <w:sz w:val="19"/>
                <w:szCs w:val="19"/>
              </w:rPr>
              <w:t xml:space="preserve">-110 000</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2029 (BE)</w:t>
            </w:r>
          </w:p>
        </w:tc>
        <w:tc>
          <w:tcPr>
            <w:tcMar>
              <w:top w:type="dxa" w:w="80"/>
              <w:left w:type="dxa" w:w="120"/>
              <w:bottom w:type="dxa" w:w="80"/>
              <w:right w:type="dxa" w:w="120"/>
            </w:tcMar>
          </w:tcPr>
          <w:p>
            <w:pPr>
              <w:jc w:val="center"/>
            </w:pPr>
            <w:r>
              <w:rPr>
                <w:b w:val="false"/>
                <w:bCs w:val="false"/>
                <w:color w:val="1A1A1A"/>
                <w:sz w:val="19"/>
                <w:szCs w:val="19"/>
              </w:rPr>
              <w:t xml:space="preserve">40</w:t>
            </w:r>
          </w:p>
        </w:tc>
        <w:tc>
          <w:tcPr>
            <w:tcMar>
              <w:top w:type="dxa" w:w="80"/>
              <w:left w:type="dxa" w:w="120"/>
              <w:bottom w:type="dxa" w:w="80"/>
              <w:right w:type="dxa" w:w="120"/>
            </w:tcMar>
          </w:tcPr>
          <w:p>
            <w:pPr>
              <w:jc w:val="center"/>
            </w:pPr>
            <w:r>
              <w:rPr>
                <w:b w:val="false"/>
                <w:bCs w:val="false"/>
                <w:color w:val="1A1A1A"/>
                <w:sz w:val="19"/>
                <w:szCs w:val="19"/>
              </w:rPr>
              <w:t xml:space="preserve">25 000</w:t>
            </w:r>
          </w:p>
        </w:tc>
        <w:tc>
          <w:tcPr>
            <w:tcMar>
              <w:top w:type="dxa" w:w="80"/>
              <w:left w:type="dxa" w:w="120"/>
              <w:bottom w:type="dxa" w:w="80"/>
              <w:right w:type="dxa" w:w="120"/>
            </w:tcMar>
          </w:tcPr>
          <w:p>
            <w:pPr>
              <w:jc w:val="center"/>
            </w:pPr>
            <w:r>
              <w:rPr>
                <w:b w:val="false"/>
                <w:bCs w:val="false"/>
                <w:color w:val="1A1A1A"/>
                <w:sz w:val="19"/>
                <w:szCs w:val="19"/>
              </w:rPr>
              <w:t xml:space="preserve">380 000</w:t>
            </w:r>
          </w:p>
        </w:tc>
        <w:tc>
          <w:tcPr>
            <w:tcMar>
              <w:top w:type="dxa" w:w="80"/>
              <w:left w:type="dxa" w:w="120"/>
              <w:bottom w:type="dxa" w:w="80"/>
              <w:right w:type="dxa" w:w="120"/>
            </w:tcMar>
          </w:tcPr>
          <w:p>
            <w:pPr>
              <w:jc w:val="center"/>
            </w:pPr>
            <w:r>
              <w:rPr>
                <w:b w:val="false"/>
                <w:bCs w:val="false"/>
                <w:color w:val="1A1A1A"/>
                <w:sz w:val="19"/>
                <w:szCs w:val="19"/>
              </w:rPr>
              <w:t xml:space="preserve">350 000</w:t>
            </w:r>
          </w:p>
        </w:tc>
        <w:tc>
          <w:tcPr>
            <w:tcMar>
              <w:top w:type="dxa" w:w="80"/>
              <w:left w:type="dxa" w:w="120"/>
              <w:bottom w:type="dxa" w:w="80"/>
              <w:right w:type="dxa" w:w="120"/>
            </w:tcMar>
          </w:tcPr>
          <w:p>
            <w:pPr>
              <w:jc w:val="center"/>
            </w:pPr>
            <w:r>
              <w:rPr>
                <w:b w:val="false"/>
                <w:bCs w:val="false"/>
                <w:color w:val="1A1A1A"/>
                <w:sz w:val="19"/>
                <w:szCs w:val="19"/>
              </w:rPr>
              <w:t xml:space="preserve">+30 000</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2030</w:t>
            </w:r>
          </w:p>
        </w:tc>
        <w:tc>
          <w:tcPr>
            <w:tcMar>
              <w:top w:type="dxa" w:w="80"/>
              <w:left w:type="dxa" w:w="120"/>
              <w:bottom w:type="dxa" w:w="80"/>
              <w:right w:type="dxa" w:w="120"/>
            </w:tcMar>
          </w:tcPr>
          <w:p>
            <w:pPr>
              <w:jc w:val="center"/>
            </w:pPr>
            <w:r>
              <w:rPr>
                <w:b w:val="false"/>
                <w:bCs w:val="false"/>
                <w:color w:val="1A1A1A"/>
                <w:sz w:val="19"/>
                <w:szCs w:val="19"/>
              </w:rPr>
              <w:t xml:space="preserve">75</w:t>
            </w:r>
          </w:p>
        </w:tc>
        <w:tc>
          <w:tcPr>
            <w:tcMar>
              <w:top w:type="dxa" w:w="80"/>
              <w:left w:type="dxa" w:w="120"/>
              <w:bottom w:type="dxa" w:w="80"/>
              <w:right w:type="dxa" w:w="120"/>
            </w:tcMar>
          </w:tcPr>
          <w:p>
            <w:pPr>
              <w:jc w:val="center"/>
            </w:pPr>
            <w:r>
              <w:rPr>
                <w:b w:val="false"/>
                <w:bCs w:val="false"/>
                <w:color w:val="1A1A1A"/>
                <w:sz w:val="19"/>
                <w:szCs w:val="19"/>
              </w:rPr>
              <w:t xml:space="preserve">50 000</w:t>
            </w:r>
          </w:p>
        </w:tc>
        <w:tc>
          <w:tcPr>
            <w:tcMar>
              <w:top w:type="dxa" w:w="80"/>
              <w:left w:type="dxa" w:w="120"/>
              <w:bottom w:type="dxa" w:w="80"/>
              <w:right w:type="dxa" w:w="120"/>
            </w:tcMar>
          </w:tcPr>
          <w:p>
            <w:pPr>
              <w:jc w:val="center"/>
            </w:pPr>
            <w:r>
              <w:rPr>
                <w:b w:val="false"/>
                <w:bCs w:val="false"/>
                <w:color w:val="1A1A1A"/>
                <w:sz w:val="19"/>
                <w:szCs w:val="19"/>
              </w:rPr>
              <w:t xml:space="preserve">750 000</w:t>
            </w:r>
          </w:p>
        </w:tc>
        <w:tc>
          <w:tcPr>
            <w:tcMar>
              <w:top w:type="dxa" w:w="80"/>
              <w:left w:type="dxa" w:w="120"/>
              <w:bottom w:type="dxa" w:w="80"/>
              <w:right w:type="dxa" w:w="120"/>
            </w:tcMar>
          </w:tcPr>
          <w:p>
            <w:pPr>
              <w:jc w:val="center"/>
            </w:pPr>
            <w:r>
              <w:rPr>
                <w:b w:val="false"/>
                <w:bCs w:val="false"/>
                <w:color w:val="1A1A1A"/>
                <w:sz w:val="19"/>
                <w:szCs w:val="19"/>
              </w:rPr>
              <w:t xml:space="preserve">480 000</w:t>
            </w:r>
          </w:p>
        </w:tc>
        <w:tc>
          <w:tcPr>
            <w:tcMar>
              <w:top w:type="dxa" w:w="80"/>
              <w:left w:type="dxa" w:w="120"/>
              <w:bottom w:type="dxa" w:w="80"/>
              <w:right w:type="dxa" w:w="120"/>
            </w:tcMar>
          </w:tcPr>
          <w:p>
            <w:pPr>
              <w:jc w:val="center"/>
            </w:pPr>
            <w:r>
              <w:rPr>
                <w:b w:val="false"/>
                <w:bCs w:val="false"/>
                <w:color w:val="1A1A1A"/>
                <w:sz w:val="19"/>
                <w:szCs w:val="19"/>
              </w:rPr>
              <w:t xml:space="preserve">+270 000</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2031</w:t>
            </w:r>
          </w:p>
        </w:tc>
        <w:tc>
          <w:tcPr>
            <w:tcMar>
              <w:top w:type="dxa" w:w="80"/>
              <w:left w:type="dxa" w:w="120"/>
              <w:bottom w:type="dxa" w:w="80"/>
              <w:right w:type="dxa" w:w="120"/>
            </w:tcMar>
          </w:tcPr>
          <w:p>
            <w:pPr>
              <w:jc w:val="center"/>
            </w:pPr>
            <w:r>
              <w:rPr>
                <w:b w:val="false"/>
                <w:bCs w:val="false"/>
                <w:color w:val="1A1A1A"/>
                <w:sz w:val="19"/>
                <w:szCs w:val="19"/>
              </w:rPr>
              <w:t xml:space="preserve">120</w:t>
            </w:r>
          </w:p>
        </w:tc>
        <w:tc>
          <w:tcPr>
            <w:tcMar>
              <w:top w:type="dxa" w:w="80"/>
              <w:left w:type="dxa" w:w="120"/>
              <w:bottom w:type="dxa" w:w="80"/>
              <w:right w:type="dxa" w:w="120"/>
            </w:tcMar>
          </w:tcPr>
          <w:p>
            <w:pPr>
              <w:jc w:val="center"/>
            </w:pPr>
            <w:r>
              <w:rPr>
                <w:b w:val="false"/>
                <w:bCs w:val="false"/>
                <w:color w:val="1A1A1A"/>
                <w:sz w:val="19"/>
                <w:szCs w:val="19"/>
              </w:rPr>
              <w:t xml:space="preserve">80 000</w:t>
            </w:r>
          </w:p>
        </w:tc>
        <w:tc>
          <w:tcPr>
            <w:tcMar>
              <w:top w:type="dxa" w:w="80"/>
              <w:left w:type="dxa" w:w="120"/>
              <w:bottom w:type="dxa" w:w="80"/>
              <w:right w:type="dxa" w:w="120"/>
            </w:tcMar>
          </w:tcPr>
          <w:p>
            <w:pPr>
              <w:jc w:val="center"/>
            </w:pPr>
            <w:r>
              <w:rPr>
                <w:b w:val="false"/>
                <w:bCs w:val="false"/>
                <w:color w:val="1A1A1A"/>
                <w:sz w:val="19"/>
                <w:szCs w:val="19"/>
              </w:rPr>
              <w:t xml:space="preserve">1 200 000</w:t>
            </w:r>
          </w:p>
        </w:tc>
        <w:tc>
          <w:tcPr>
            <w:tcMar>
              <w:top w:type="dxa" w:w="80"/>
              <w:left w:type="dxa" w:w="120"/>
              <w:bottom w:type="dxa" w:w="80"/>
              <w:right w:type="dxa" w:w="120"/>
            </w:tcMar>
          </w:tcPr>
          <w:p>
            <w:pPr>
              <w:jc w:val="center"/>
            </w:pPr>
            <w:r>
              <w:rPr>
                <w:b w:val="false"/>
                <w:bCs w:val="false"/>
                <w:color w:val="1A1A1A"/>
                <w:sz w:val="19"/>
                <w:szCs w:val="19"/>
              </w:rPr>
              <w:t xml:space="preserve">600 000</w:t>
            </w:r>
          </w:p>
        </w:tc>
        <w:tc>
          <w:tcPr>
            <w:tcMar>
              <w:top w:type="dxa" w:w="80"/>
              <w:left w:type="dxa" w:w="120"/>
              <w:bottom w:type="dxa" w:w="80"/>
              <w:right w:type="dxa" w:w="120"/>
            </w:tcMar>
          </w:tcPr>
          <w:p>
            <w:pPr>
              <w:jc w:val="center"/>
            </w:pPr>
            <w:r>
              <w:rPr>
                <w:b w:val="false"/>
                <w:bCs w:val="false"/>
                <w:color w:val="1A1A1A"/>
                <w:sz w:val="19"/>
                <w:szCs w:val="19"/>
              </w:rPr>
              <w:t xml:space="preserve">+600 000</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2033</w:t>
            </w:r>
          </w:p>
        </w:tc>
        <w:tc>
          <w:tcPr>
            <w:tcMar>
              <w:top w:type="dxa" w:w="80"/>
              <w:left w:type="dxa" w:w="120"/>
              <w:bottom w:type="dxa" w:w="80"/>
              <w:right w:type="dxa" w:w="120"/>
            </w:tcMar>
          </w:tcPr>
          <w:p>
            <w:pPr>
              <w:jc w:val="center"/>
            </w:pPr>
            <w:r>
              <w:rPr>
                <w:b w:val="false"/>
                <w:bCs w:val="false"/>
                <w:color w:val="1A1A1A"/>
                <w:sz w:val="19"/>
                <w:szCs w:val="19"/>
              </w:rPr>
              <w:t xml:space="preserve">220</w:t>
            </w:r>
          </w:p>
        </w:tc>
        <w:tc>
          <w:tcPr>
            <w:tcMar>
              <w:top w:type="dxa" w:w="80"/>
              <w:left w:type="dxa" w:w="120"/>
              <w:bottom w:type="dxa" w:w="80"/>
              <w:right w:type="dxa" w:w="120"/>
            </w:tcMar>
          </w:tcPr>
          <w:p>
            <w:pPr>
              <w:jc w:val="center"/>
            </w:pPr>
            <w:r>
              <w:rPr>
                <w:b w:val="false"/>
                <w:bCs w:val="false"/>
                <w:color w:val="1A1A1A"/>
                <w:sz w:val="19"/>
                <w:szCs w:val="19"/>
              </w:rPr>
              <w:t xml:space="preserve">150 000</w:t>
            </w:r>
          </w:p>
        </w:tc>
        <w:tc>
          <w:tcPr>
            <w:tcMar>
              <w:top w:type="dxa" w:w="80"/>
              <w:left w:type="dxa" w:w="120"/>
              <w:bottom w:type="dxa" w:w="80"/>
              <w:right w:type="dxa" w:w="120"/>
            </w:tcMar>
          </w:tcPr>
          <w:p>
            <w:pPr>
              <w:jc w:val="center"/>
            </w:pPr>
            <w:r>
              <w:rPr>
                <w:b w:val="false"/>
                <w:bCs w:val="false"/>
                <w:color w:val="1A1A1A"/>
                <w:sz w:val="19"/>
                <w:szCs w:val="19"/>
              </w:rPr>
              <w:t xml:space="preserve">2 800 000</w:t>
            </w:r>
          </w:p>
        </w:tc>
        <w:tc>
          <w:tcPr>
            <w:tcMar>
              <w:top w:type="dxa" w:w="80"/>
              <w:left w:type="dxa" w:w="120"/>
              <w:bottom w:type="dxa" w:w="80"/>
              <w:right w:type="dxa" w:w="120"/>
            </w:tcMar>
          </w:tcPr>
          <w:p>
            <w:pPr>
              <w:jc w:val="center"/>
            </w:pPr>
            <w:r>
              <w:rPr>
                <w:b w:val="false"/>
                <w:bCs w:val="false"/>
                <w:color w:val="1A1A1A"/>
                <w:sz w:val="19"/>
                <w:szCs w:val="19"/>
              </w:rPr>
              <w:t xml:space="preserve">900 000</w:t>
            </w:r>
          </w:p>
        </w:tc>
        <w:tc>
          <w:tcPr>
            <w:tcMar>
              <w:top w:type="dxa" w:w="80"/>
              <w:left w:type="dxa" w:w="120"/>
              <w:bottom w:type="dxa" w:w="80"/>
              <w:right w:type="dxa" w:w="120"/>
            </w:tcMar>
          </w:tcPr>
          <w:p>
            <w:pPr>
              <w:jc w:val="center"/>
            </w:pPr>
            <w:r>
              <w:rPr>
                <w:b w:val="false"/>
                <w:bCs w:val="false"/>
                <w:color w:val="1A1A1A"/>
                <w:sz w:val="19"/>
                <w:szCs w:val="19"/>
              </w:rPr>
              <w:t xml:space="preserve">+1 900 000</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2035</w:t>
            </w:r>
          </w:p>
        </w:tc>
        <w:tc>
          <w:tcPr>
            <w:tcMar>
              <w:top w:type="dxa" w:w="80"/>
              <w:left w:type="dxa" w:w="120"/>
              <w:bottom w:type="dxa" w:w="80"/>
              <w:right w:type="dxa" w:w="120"/>
            </w:tcMar>
          </w:tcPr>
          <w:p>
            <w:pPr>
              <w:jc w:val="center"/>
            </w:pPr>
            <w:r>
              <w:rPr>
                <w:b w:val="false"/>
                <w:bCs w:val="false"/>
                <w:color w:val="1A1A1A"/>
                <w:sz w:val="19"/>
                <w:szCs w:val="19"/>
              </w:rPr>
              <w:t xml:space="preserve">400</w:t>
            </w:r>
          </w:p>
        </w:tc>
        <w:tc>
          <w:tcPr>
            <w:tcMar>
              <w:top w:type="dxa" w:w="80"/>
              <w:left w:type="dxa" w:w="120"/>
              <w:bottom w:type="dxa" w:w="80"/>
              <w:right w:type="dxa" w:w="120"/>
            </w:tcMar>
          </w:tcPr>
          <w:p>
            <w:pPr>
              <w:jc w:val="center"/>
            </w:pPr>
            <w:r>
              <w:rPr>
                <w:b w:val="false"/>
                <w:bCs w:val="false"/>
                <w:color w:val="1A1A1A"/>
                <w:sz w:val="19"/>
                <w:szCs w:val="19"/>
              </w:rPr>
              <w:t xml:space="preserve">300 000</w:t>
            </w:r>
          </w:p>
        </w:tc>
        <w:tc>
          <w:tcPr>
            <w:tcMar>
              <w:top w:type="dxa" w:w="80"/>
              <w:left w:type="dxa" w:w="120"/>
              <w:bottom w:type="dxa" w:w="80"/>
              <w:right w:type="dxa" w:w="120"/>
            </w:tcMar>
          </w:tcPr>
          <w:p>
            <w:pPr>
              <w:jc w:val="center"/>
            </w:pPr>
            <w:r>
              <w:rPr>
                <w:b w:val="false"/>
                <w:bCs w:val="false"/>
                <w:color w:val="1A1A1A"/>
                <w:sz w:val="19"/>
                <w:szCs w:val="19"/>
              </w:rPr>
              <w:t xml:space="preserve">6 500 000</w:t>
            </w:r>
          </w:p>
        </w:tc>
        <w:tc>
          <w:tcPr>
            <w:tcMar>
              <w:top w:type="dxa" w:w="80"/>
              <w:left w:type="dxa" w:w="120"/>
              <w:bottom w:type="dxa" w:w="80"/>
              <w:right w:type="dxa" w:w="120"/>
            </w:tcMar>
          </w:tcPr>
          <w:p>
            <w:pPr>
              <w:jc w:val="center"/>
            </w:pPr>
            <w:r>
              <w:rPr>
                <w:b w:val="false"/>
                <w:bCs w:val="false"/>
                <w:color w:val="1A1A1A"/>
                <w:sz w:val="19"/>
                <w:szCs w:val="19"/>
              </w:rPr>
              <w:t xml:space="preserve">1 500 000</w:t>
            </w:r>
          </w:p>
        </w:tc>
        <w:tc>
          <w:tcPr>
            <w:tcMar>
              <w:top w:type="dxa" w:w="80"/>
              <w:left w:type="dxa" w:w="120"/>
              <w:bottom w:type="dxa" w:w="80"/>
              <w:right w:type="dxa" w:w="120"/>
            </w:tcMar>
          </w:tcPr>
          <w:p>
            <w:pPr>
              <w:jc w:val="center"/>
            </w:pPr>
            <w:r>
              <w:rPr>
                <w:b w:val="false"/>
                <w:bCs w:val="false"/>
                <w:color w:val="1A1A1A"/>
                <w:sz w:val="19"/>
                <w:szCs w:val="19"/>
              </w:rPr>
              <w:t xml:space="preserve">+5 000 000</w:t>
            </w:r>
          </w:p>
        </w:tc>
      </w:tr>
    </w:tbl>
    <w:p>
      <w:r>
        <w:br w:type="page"/>
      </w:r>
    </w:p>
    <w:p>
      <w:pPr>
        <w:spacing w:after="300" w:before="600"/>
      </w:pPr>
      <w:r>
        <w:rPr>
          <w:b/>
          <w:bCs/>
          <w:color w:val="B8860B"/>
          <w:sz w:val="32"/>
          <w:szCs w:val="32"/>
        </w:rPr>
        <w:t xml:space="preserve">IV. </w:t>
      </w:r>
      <w:r>
        <w:rPr>
          <w:b/>
          <w:bCs/>
          <w:color w:val="1B5E20"/>
          <w:sz w:val="32"/>
          <w:szCs w:val="32"/>
        </w:rPr>
        <w:t xml:space="preserve">THÉORIE DU CHANGEMENT</w:t>
      </w:r>
    </w:p>
    <w:p>
      <w:pPr>
        <w:pStyle w:val="Heading2"/>
        <w:spacing w:after="180" w:before="360"/>
      </w:pPr>
      <w:r>
        <w:t xml:space="preserve">4.1 Chaîne de valeur logique</w:t>
      </w:r>
    </w:p>
    <w:p>
      <w:pPr>
        <w:spacing w:after="80" w:before="80"/>
        <w:jc w:val="both"/>
      </w:pPr>
      <w:r>
        <w:rPr>
          <w:color w:val="1A1A1A"/>
          <w:sz w:val="22"/>
          <w:szCs w:val="22"/>
        </w:rPr>
        <w:t xml:space="preserve">INTRANTS → ACTIVITÉS → EXTRANTS → RÉSULTATS → EFFETS → IMPACT</w:t>
      </w:r>
    </w:p>
    <w:p>
      <w:pPr>
        <w:pBdr>
          <w:bottom w:val="single" w:color="1B5E20" w:sz="6"/>
        </w:pBdr>
        <w:spacing w:after="200" w:before="200"/>
      </w:pPr>
    </w:p>
    <w:p>
      <w:pPr>
        <w:pStyle w:val="Heading3"/>
        <w:spacing w:after="120" w:before="240"/>
      </w:pPr>
      <w:r>
        <w:t xml:space="preserve">Intrants</w:t>
      </w:r>
    </w:p>
    <w:p>
      <w:pPr>
        <w:pStyle w:val="ListParagraph"/>
        <w:numPr>
          <w:ilvl w:val="0"/>
          <w:numId w:val="1"/>
        </w:numPr>
        <w:spacing w:after="60" w:before="60"/>
      </w:pPr>
      <w:r>
        <w:rPr>
          <w:color w:val="1A1A1A"/>
          <w:sz w:val="21"/>
          <w:szCs w:val="21"/>
        </w:rPr>
        <w:t xml:space="preserve">Technologie SaaS (FaîtiereHub)</w:t>
      </w:r>
    </w:p>
    <w:p>
      <w:pPr>
        <w:pStyle w:val="ListParagraph"/>
        <w:numPr>
          <w:ilvl w:val="0"/>
          <w:numId w:val="1"/>
        </w:numPr>
        <w:spacing w:after="60" w:before="60"/>
      </w:pPr>
      <w:r>
        <w:rPr>
          <w:color w:val="1A1A1A"/>
          <w:sz w:val="21"/>
          <w:szCs w:val="21"/>
        </w:rPr>
        <w:t xml:space="preserve">Équipe technique et terrain (5 ETP an 1)</w:t>
      </w:r>
    </w:p>
    <w:p>
      <w:pPr>
        <w:pStyle w:val="ListParagraph"/>
        <w:numPr>
          <w:ilvl w:val="0"/>
          <w:numId w:val="1"/>
        </w:numPr>
        <w:spacing w:after="60" w:before="60"/>
      </w:pPr>
      <w:r>
        <w:rPr>
          <w:color w:val="1A1A1A"/>
          <w:sz w:val="21"/>
          <w:szCs w:val="21"/>
        </w:rPr>
        <w:t xml:space="preserve">Financement Seed 500 K USD</w:t>
      </w:r>
    </w:p>
    <w:p>
      <w:pPr>
        <w:pStyle w:val="ListParagraph"/>
        <w:numPr>
          <w:ilvl w:val="0"/>
          <w:numId w:val="1"/>
        </w:numPr>
        <w:spacing w:after="60" w:before="60"/>
      </w:pPr>
      <w:r>
        <w:rPr>
          <w:color w:val="1A1A1A"/>
          <w:sz w:val="21"/>
          <w:szCs w:val="21"/>
        </w:rPr>
        <w:t xml:space="preserve">Partenariats Orange Money + Africa's Talking</w:t>
      </w:r>
    </w:p>
    <w:p>
      <w:pPr>
        <w:pStyle w:val="Heading3"/>
        <w:spacing w:after="120" w:before="240"/>
      </w:pPr>
      <w:r>
        <w:t xml:space="preserve">Activités</w:t>
      </w:r>
    </w:p>
    <w:p>
      <w:pPr>
        <w:pStyle w:val="ListParagraph"/>
        <w:numPr>
          <w:ilvl w:val="0"/>
          <w:numId w:val="1"/>
        </w:numPr>
        <w:spacing w:after="60" w:before="60"/>
      </w:pPr>
      <w:r>
        <w:rPr>
          <w:color w:val="1A1A1A"/>
          <w:sz w:val="21"/>
          <w:szCs w:val="21"/>
        </w:rPr>
        <w:t xml:space="preserve">Onboarding des coopératives (formation terrain)</w:t>
      </w:r>
    </w:p>
    <w:p>
      <w:pPr>
        <w:pStyle w:val="ListParagraph"/>
        <w:numPr>
          <w:ilvl w:val="0"/>
          <w:numId w:val="1"/>
        </w:numPr>
        <w:spacing w:after="60" w:before="60"/>
      </w:pPr>
      <w:r>
        <w:rPr>
          <w:color w:val="1A1A1A"/>
          <w:sz w:val="21"/>
          <w:szCs w:val="21"/>
        </w:rPr>
        <w:t xml:space="preserve">Inscription des membres + émission de cartes numériques</w:t>
      </w:r>
    </w:p>
    <w:p>
      <w:pPr>
        <w:pStyle w:val="ListParagraph"/>
        <w:numPr>
          <w:ilvl w:val="0"/>
          <w:numId w:val="1"/>
        </w:numPr>
        <w:spacing w:after="60" w:before="60"/>
      </w:pPr>
      <w:r>
        <w:rPr>
          <w:color w:val="1A1A1A"/>
          <w:sz w:val="21"/>
          <w:szCs w:val="21"/>
        </w:rPr>
        <w:t xml:space="preserve">Collecte des cotisations via mobile money</w:t>
      </w:r>
    </w:p>
    <w:p>
      <w:pPr>
        <w:pStyle w:val="ListParagraph"/>
        <w:numPr>
          <w:ilvl w:val="0"/>
          <w:numId w:val="1"/>
        </w:numPr>
        <w:spacing w:after="60" w:before="60"/>
      </w:pPr>
      <w:r>
        <w:rPr>
          <w:color w:val="1A1A1A"/>
          <w:sz w:val="21"/>
          <w:szCs w:val="21"/>
        </w:rPr>
        <w:t xml:space="preserve">Calcul et affichage du Score ATS</w:t>
      </w:r>
    </w:p>
    <w:p>
      <w:pPr>
        <w:pStyle w:val="ListParagraph"/>
        <w:numPr>
          <w:ilvl w:val="0"/>
          <w:numId w:val="1"/>
        </w:numPr>
        <w:spacing w:after="60" w:before="60"/>
      </w:pPr>
      <w:r>
        <w:rPr>
          <w:color w:val="1A1A1A"/>
          <w:sz w:val="21"/>
          <w:szCs w:val="21"/>
        </w:rPr>
        <w:t xml:space="preserve">Publication d'annonces sur l'agrimarket</w:t>
      </w:r>
    </w:p>
    <w:p>
      <w:pPr>
        <w:pStyle w:val="Heading3"/>
        <w:spacing w:after="120" w:before="240"/>
      </w:pPr>
      <w:r>
        <w:t xml:space="preserve">Extrants</w:t>
      </w:r>
    </w:p>
    <w:p>
      <w:pPr>
        <w:pStyle w:val="ListParagraph"/>
        <w:numPr>
          <w:ilvl w:val="0"/>
          <w:numId w:val="1"/>
        </w:numPr>
        <w:spacing w:after="60" w:before="60"/>
      </w:pPr>
      <w:r>
        <w:rPr>
          <w:color w:val="1A1A1A"/>
          <w:sz w:val="21"/>
          <w:szCs w:val="21"/>
        </w:rPr>
        <w:t xml:space="preserve">N membres inscrits avec identité numérique vérifiable</w:t>
      </w:r>
    </w:p>
    <w:p>
      <w:pPr>
        <w:pStyle w:val="ListParagraph"/>
        <w:numPr>
          <w:ilvl w:val="0"/>
          <w:numId w:val="1"/>
        </w:numPr>
        <w:spacing w:after="60" w:before="60"/>
      </w:pPr>
      <w:r>
        <w:rPr>
          <w:color w:val="1A1A1A"/>
          <w:sz w:val="21"/>
          <w:szCs w:val="21"/>
        </w:rPr>
        <w:t xml:space="preserve">N FCFA collectés en cotisations digitales</w:t>
      </w:r>
    </w:p>
    <w:p>
      <w:pPr>
        <w:pStyle w:val="ListParagraph"/>
        <w:numPr>
          <w:ilvl w:val="0"/>
          <w:numId w:val="1"/>
        </w:numPr>
        <w:spacing w:after="60" w:before="60"/>
      </w:pPr>
      <w:r>
        <w:rPr>
          <w:color w:val="1A1A1A"/>
          <w:sz w:val="21"/>
          <w:szCs w:val="21"/>
        </w:rPr>
        <w:t xml:space="preserve">N transactions matchmaking réalisées</w:t>
      </w:r>
    </w:p>
    <w:p>
      <w:pPr>
        <w:pStyle w:val="ListParagraph"/>
        <w:numPr>
          <w:ilvl w:val="0"/>
          <w:numId w:val="1"/>
        </w:numPr>
        <w:spacing w:after="60" w:before="60"/>
      </w:pPr>
      <w:r>
        <w:rPr>
          <w:color w:val="1A1A1A"/>
          <w:sz w:val="21"/>
          <w:szCs w:val="21"/>
        </w:rPr>
        <w:t xml:space="preserve">N alertes agronomiques envoyées</w:t>
      </w:r>
    </w:p>
    <w:p>
      <w:pPr>
        <w:pStyle w:val="Heading3"/>
        <w:spacing w:after="120" w:before="240"/>
      </w:pPr>
      <w:r>
        <w:t xml:space="preserve">Résultats (12–24 mois)</w:t>
      </w:r>
    </w:p>
    <w:p>
      <w:pPr>
        <w:pStyle w:val="ListParagraph"/>
        <w:numPr>
          <w:ilvl w:val="0"/>
          <w:numId w:val="1"/>
        </w:numPr>
        <w:spacing w:after="60" w:before="60"/>
      </w:pPr>
      <w:r>
        <w:rPr>
          <w:color w:val="1A1A1A"/>
          <w:sz w:val="21"/>
          <w:szCs w:val="21"/>
        </w:rPr>
        <w:t xml:space="preserve">Réduction de 60 % du temps de collecte des cotisations</w:t>
      </w:r>
    </w:p>
    <w:p>
      <w:pPr>
        <w:pStyle w:val="ListParagraph"/>
        <w:numPr>
          <w:ilvl w:val="0"/>
          <w:numId w:val="1"/>
        </w:numPr>
        <w:spacing w:after="60" w:before="60"/>
      </w:pPr>
      <w:r>
        <w:rPr>
          <w:color w:val="1A1A1A"/>
          <w:sz w:val="21"/>
          <w:szCs w:val="21"/>
        </w:rPr>
        <w:t xml:space="preserve">Augmentation de 40 % du taux de recouvrement</w:t>
      </w:r>
    </w:p>
    <w:p>
      <w:pPr>
        <w:pStyle w:val="ListParagraph"/>
        <w:numPr>
          <w:ilvl w:val="0"/>
          <w:numId w:val="1"/>
        </w:numPr>
        <w:spacing w:after="60" w:before="60"/>
      </w:pPr>
      <w:r>
        <w:rPr>
          <w:color w:val="1A1A1A"/>
          <w:sz w:val="21"/>
          <w:szCs w:val="21"/>
        </w:rPr>
        <w:t xml:space="preserve">Accès au crédit facilité via le score ATS</w:t>
      </w:r>
    </w:p>
    <w:p>
      <w:pPr>
        <w:pStyle w:val="ListParagraph"/>
        <w:numPr>
          <w:ilvl w:val="0"/>
          <w:numId w:val="1"/>
        </w:numPr>
        <w:spacing w:after="60" w:before="60"/>
      </w:pPr>
      <w:r>
        <w:rPr>
          <w:color w:val="1A1A1A"/>
          <w:sz w:val="21"/>
          <w:szCs w:val="21"/>
        </w:rPr>
        <w:t xml:space="preserve">Prix de vente améliorés grâce à l'accès direct aux acheteurs</w:t>
      </w:r>
    </w:p>
    <w:p>
      <w:pPr>
        <w:pStyle w:val="Heading3"/>
        <w:spacing w:after="120" w:before="240"/>
      </w:pPr>
      <w:r>
        <w:t xml:space="preserve">Effets (2–5 ans)</w:t>
      </w:r>
    </w:p>
    <w:p>
      <w:pPr>
        <w:pStyle w:val="ListParagraph"/>
        <w:numPr>
          <w:ilvl w:val="0"/>
          <w:numId w:val="1"/>
        </w:numPr>
        <w:spacing w:after="60" w:before="60"/>
      </w:pPr>
      <w:r>
        <w:rPr>
          <w:color w:val="1A1A1A"/>
          <w:sz w:val="21"/>
          <w:szCs w:val="21"/>
        </w:rPr>
        <w:t xml:space="preserve">Renforcement des capacités institutionnelles des coopératives</w:t>
      </w:r>
    </w:p>
    <w:p>
      <w:pPr>
        <w:pStyle w:val="ListParagraph"/>
        <w:numPr>
          <w:ilvl w:val="0"/>
          <w:numId w:val="1"/>
        </w:numPr>
        <w:spacing w:after="60" w:before="60"/>
      </w:pPr>
      <w:r>
        <w:rPr>
          <w:color w:val="1A1A1A"/>
          <w:sz w:val="21"/>
          <w:szCs w:val="21"/>
        </w:rPr>
        <w:t xml:space="preserve">Réduction de l'asymétrie d'information producteur-acheteur</w:t>
      </w:r>
    </w:p>
    <w:p>
      <w:pPr>
        <w:pStyle w:val="ListParagraph"/>
        <w:numPr>
          <w:ilvl w:val="0"/>
          <w:numId w:val="1"/>
        </w:numPr>
        <w:spacing w:after="60" w:before="60"/>
      </w:pPr>
      <w:r>
        <w:rPr>
          <w:color w:val="1A1A1A"/>
          <w:sz w:val="21"/>
          <w:szCs w:val="21"/>
        </w:rPr>
        <w:t xml:space="preserve">Formalisation progressive de l'épargne agricole</w:t>
      </w:r>
    </w:p>
    <w:p>
      <w:pPr>
        <w:pStyle w:val="Heading3"/>
        <w:spacing w:after="120" w:before="240"/>
      </w:pPr>
      <w:r>
        <w:t xml:space="preserve">Impact (5–10 ans)</w:t>
      </w:r>
    </w:p>
    <w:p>
      <w:pPr>
        <w:pStyle w:val="ListParagraph"/>
        <w:numPr>
          <w:ilvl w:val="0"/>
          <w:numId w:val="1"/>
        </w:numPr>
        <w:spacing w:after="60" w:before="60"/>
      </w:pPr>
      <w:r>
        <w:rPr>
          <w:color w:val="1A1A1A"/>
          <w:sz w:val="21"/>
          <w:szCs w:val="21"/>
        </w:rPr>
        <w:t xml:space="preserve">Augmentation durable des revenus agricoles (+20–35 %)</w:t>
      </w:r>
    </w:p>
    <w:p>
      <w:pPr>
        <w:pStyle w:val="ListParagraph"/>
        <w:numPr>
          <w:ilvl w:val="0"/>
          <w:numId w:val="1"/>
        </w:numPr>
        <w:spacing w:after="60" w:before="60"/>
      </w:pPr>
      <w:r>
        <w:rPr>
          <w:color w:val="1A1A1A"/>
          <w:sz w:val="21"/>
          <w:szCs w:val="21"/>
        </w:rPr>
        <w:t xml:space="preserve">Réduction de la pauvreté rurale dans les zones d'intervention</w:t>
      </w:r>
    </w:p>
    <w:p>
      <w:pPr>
        <w:pStyle w:val="ListParagraph"/>
        <w:numPr>
          <w:ilvl w:val="0"/>
          <w:numId w:val="1"/>
        </w:numPr>
        <w:spacing w:after="60" w:before="60"/>
      </w:pPr>
      <w:r>
        <w:rPr>
          <w:color w:val="1A1A1A"/>
          <w:sz w:val="21"/>
          <w:szCs w:val="21"/>
        </w:rPr>
        <w:t xml:space="preserve">Modèle réplicable à l'échelle CEDEAO</w:t>
      </w:r>
    </w:p>
    <w:p>
      <w:r>
        <w:br w:type="page"/>
      </w:r>
    </w:p>
    <w:p>
      <w:pPr>
        <w:spacing w:after="300" w:before="600"/>
      </w:pPr>
      <w:r>
        <w:rPr>
          <w:b/>
          <w:bCs/>
          <w:color w:val="B8860B"/>
          <w:sz w:val="32"/>
          <w:szCs w:val="32"/>
        </w:rPr>
        <w:t xml:space="preserve">V. </w:t>
      </w:r>
      <w:r>
        <w:rPr>
          <w:b/>
          <w:bCs/>
          <w:color w:val="1B5E20"/>
          <w:sz w:val="32"/>
          <w:szCs w:val="32"/>
        </w:rPr>
        <w:t xml:space="preserve">MÉMO D'INVESTISSEMENT</w:t>
      </w:r>
    </w:p>
    <w:p>
      <w:pPr>
        <w:pStyle w:val="Heading2"/>
        <w:spacing w:after="180" w:before="360"/>
      </w:pPr>
      <w:r>
        <w:t xml:space="preserve">5.1 Structure des levées de fonds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5E20" w:val="solid"/>
            <w:tcMar>
              <w:top w:type="dxa" w:w="80"/>
              <w:left w:type="dxa" w:w="120"/>
              <w:bottom w:type="dxa" w:w="80"/>
              <w:right w:type="dxa" w:w="120"/>
            </w:tcMar>
          </w:tcPr>
          <w:p>
            <w:pPr>
              <w:jc w:val="left"/>
            </w:pPr>
            <w:r>
              <w:rPr>
                <w:b/>
                <w:bCs/>
                <w:color w:val="FFFFFF"/>
                <w:sz w:val="20"/>
                <w:szCs w:val="20"/>
              </w:rPr>
              <w:t xml:space="preserve">Round</w:t>
            </w:r>
          </w:p>
        </w:tc>
        <w:tc>
          <w:tcPr>
            <w:shd w:fill="1B5E20" w:val="solid"/>
            <w:tcMar>
              <w:top w:type="dxa" w:w="80"/>
              <w:left w:type="dxa" w:w="120"/>
              <w:bottom w:type="dxa" w:w="80"/>
              <w:right w:type="dxa" w:w="120"/>
            </w:tcMar>
          </w:tcPr>
          <w:p>
            <w:pPr>
              <w:jc w:val="center"/>
            </w:pPr>
            <w:r>
              <w:rPr>
                <w:b/>
                <w:bCs/>
                <w:color w:val="FFFFFF"/>
                <w:sz w:val="20"/>
                <w:szCs w:val="20"/>
              </w:rPr>
              <w:t xml:space="preserve">Montant</w:t>
            </w:r>
          </w:p>
        </w:tc>
        <w:tc>
          <w:tcPr>
            <w:shd w:fill="1B5E20" w:val="solid"/>
            <w:tcMar>
              <w:top w:type="dxa" w:w="80"/>
              <w:left w:type="dxa" w:w="120"/>
              <w:bottom w:type="dxa" w:w="80"/>
              <w:right w:type="dxa" w:w="120"/>
            </w:tcMar>
          </w:tcPr>
          <w:p>
            <w:pPr>
              <w:jc w:val="center"/>
            </w:pPr>
            <w:r>
              <w:rPr>
                <w:b/>
                <w:bCs/>
                <w:color w:val="FFFFFF"/>
                <w:sz w:val="20"/>
                <w:szCs w:val="20"/>
              </w:rPr>
              <w:t xml:space="preserve">Timing</w:t>
            </w:r>
          </w:p>
        </w:tc>
        <w:tc>
          <w:tcPr>
            <w:shd w:fill="1B5E20" w:val="solid"/>
            <w:tcMar>
              <w:top w:type="dxa" w:w="80"/>
              <w:left w:type="dxa" w:w="120"/>
              <w:bottom w:type="dxa" w:w="80"/>
              <w:right w:type="dxa" w:w="120"/>
            </w:tcMar>
          </w:tcPr>
          <w:p>
            <w:pPr>
              <w:jc w:val="center"/>
            </w:pPr>
            <w:r>
              <w:rPr>
                <w:b/>
                <w:bCs/>
                <w:color w:val="FFFFFF"/>
                <w:sz w:val="20"/>
                <w:szCs w:val="20"/>
              </w:rPr>
              <w:t xml:space="preserve">Investisseurs cibles</w:t>
            </w:r>
          </w:p>
        </w:tc>
        <w:tc>
          <w:tcPr>
            <w:shd w:fill="1B5E20" w:val="solid"/>
            <w:tcMar>
              <w:top w:type="dxa" w:w="80"/>
              <w:left w:type="dxa" w:w="120"/>
              <w:bottom w:type="dxa" w:w="80"/>
              <w:right w:type="dxa" w:w="120"/>
            </w:tcMar>
          </w:tcPr>
          <w:p>
            <w:pPr>
              <w:jc w:val="center"/>
            </w:pPr>
            <w:r>
              <w:rPr>
                <w:b/>
                <w:bCs/>
                <w:color w:val="FFFFFF"/>
                <w:sz w:val="20"/>
                <w:szCs w:val="20"/>
              </w:rPr>
              <w:t xml:space="preserve">Usage</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Pré-Seed</w:t>
            </w:r>
          </w:p>
        </w:tc>
        <w:tc>
          <w:tcPr>
            <w:tcMar>
              <w:top w:type="dxa" w:w="80"/>
              <w:left w:type="dxa" w:w="120"/>
              <w:bottom w:type="dxa" w:w="80"/>
              <w:right w:type="dxa" w:w="120"/>
            </w:tcMar>
          </w:tcPr>
          <w:p>
            <w:pPr>
              <w:jc w:val="center"/>
            </w:pPr>
            <w:r>
              <w:rPr>
                <w:b w:val="false"/>
                <w:bCs w:val="false"/>
                <w:color w:val="1A1A1A"/>
                <w:sz w:val="19"/>
                <w:szCs w:val="19"/>
              </w:rPr>
              <w:t xml:space="preserve">150 K USD</w:t>
            </w:r>
          </w:p>
        </w:tc>
        <w:tc>
          <w:tcPr>
            <w:tcMar>
              <w:top w:type="dxa" w:w="80"/>
              <w:left w:type="dxa" w:w="120"/>
              <w:bottom w:type="dxa" w:w="80"/>
              <w:right w:type="dxa" w:w="120"/>
            </w:tcMar>
          </w:tcPr>
          <w:p>
            <w:pPr>
              <w:jc w:val="center"/>
            </w:pPr>
            <w:r>
              <w:rPr>
                <w:b w:val="false"/>
                <w:bCs w:val="false"/>
                <w:color w:val="1A1A1A"/>
                <w:sz w:val="19"/>
                <w:szCs w:val="19"/>
              </w:rPr>
              <w:t xml:space="preserve">Q2 2026</w:t>
            </w:r>
          </w:p>
        </w:tc>
        <w:tc>
          <w:tcPr>
            <w:tcMar>
              <w:top w:type="dxa" w:w="80"/>
              <w:left w:type="dxa" w:w="120"/>
              <w:bottom w:type="dxa" w:w="80"/>
              <w:right w:type="dxa" w:w="120"/>
            </w:tcMar>
          </w:tcPr>
          <w:p>
            <w:pPr>
              <w:jc w:val="center"/>
            </w:pPr>
            <w:r>
              <w:rPr>
                <w:b w:val="false"/>
                <w:bCs w:val="false"/>
                <w:color w:val="1A1A1A"/>
                <w:sz w:val="19"/>
                <w:szCs w:val="19"/>
              </w:rPr>
              <w:t xml:space="preserve">Fondateurs + FFF</w:t>
            </w:r>
          </w:p>
        </w:tc>
        <w:tc>
          <w:tcPr>
            <w:tcMar>
              <w:top w:type="dxa" w:w="80"/>
              <w:left w:type="dxa" w:w="120"/>
              <w:bottom w:type="dxa" w:w="80"/>
              <w:right w:type="dxa" w:w="120"/>
            </w:tcMar>
          </w:tcPr>
          <w:p>
            <w:pPr>
              <w:jc w:val="center"/>
            </w:pPr>
            <w:r>
              <w:rPr>
                <w:b w:val="false"/>
                <w:bCs w:val="false"/>
                <w:color w:val="1A1A1A"/>
                <w:sz w:val="19"/>
                <w:szCs w:val="19"/>
              </w:rPr>
              <w:t xml:space="preserve">MVP + 3 pilotes</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Seed</w:t>
            </w:r>
          </w:p>
        </w:tc>
        <w:tc>
          <w:tcPr>
            <w:tcMar>
              <w:top w:type="dxa" w:w="80"/>
              <w:left w:type="dxa" w:w="120"/>
              <w:bottom w:type="dxa" w:w="80"/>
              <w:right w:type="dxa" w:w="120"/>
            </w:tcMar>
          </w:tcPr>
          <w:p>
            <w:pPr>
              <w:jc w:val="center"/>
            </w:pPr>
            <w:r>
              <w:rPr>
                <w:b w:val="false"/>
                <w:bCs w:val="false"/>
                <w:color w:val="1A1A1A"/>
                <w:sz w:val="19"/>
                <w:szCs w:val="19"/>
              </w:rPr>
              <w:t xml:space="preserve">500 K USD</w:t>
            </w:r>
          </w:p>
        </w:tc>
        <w:tc>
          <w:tcPr>
            <w:tcMar>
              <w:top w:type="dxa" w:w="80"/>
              <w:left w:type="dxa" w:w="120"/>
              <w:bottom w:type="dxa" w:w="80"/>
              <w:right w:type="dxa" w:w="120"/>
            </w:tcMar>
          </w:tcPr>
          <w:p>
            <w:pPr>
              <w:jc w:val="center"/>
            </w:pPr>
            <w:r>
              <w:rPr>
                <w:b w:val="false"/>
                <w:bCs w:val="false"/>
                <w:color w:val="1A1A1A"/>
                <w:sz w:val="19"/>
                <w:szCs w:val="19"/>
              </w:rPr>
              <w:t xml:space="preserve">Q4 2026</w:t>
            </w:r>
          </w:p>
        </w:tc>
        <w:tc>
          <w:tcPr>
            <w:tcMar>
              <w:top w:type="dxa" w:w="80"/>
              <w:left w:type="dxa" w:w="120"/>
              <w:bottom w:type="dxa" w:w="80"/>
              <w:right w:type="dxa" w:w="120"/>
            </w:tcMar>
          </w:tcPr>
          <w:p>
            <w:pPr>
              <w:jc w:val="center"/>
            </w:pPr>
            <w:r>
              <w:rPr>
                <w:b w:val="false"/>
                <w:bCs w:val="false"/>
                <w:color w:val="1A1A1A"/>
                <w:sz w:val="19"/>
                <w:szCs w:val="19"/>
              </w:rPr>
              <w:t xml:space="preserve">Impact investors, FNFI, CNCA</w:t>
            </w:r>
          </w:p>
        </w:tc>
        <w:tc>
          <w:tcPr>
            <w:tcMar>
              <w:top w:type="dxa" w:w="80"/>
              <w:left w:type="dxa" w:w="120"/>
              <w:bottom w:type="dxa" w:w="80"/>
              <w:right w:type="dxa" w:w="120"/>
            </w:tcMar>
          </w:tcPr>
          <w:p>
            <w:pPr>
              <w:jc w:val="center"/>
            </w:pPr>
            <w:r>
              <w:rPr>
                <w:b w:val="false"/>
                <w:bCs w:val="false"/>
                <w:color w:val="1A1A1A"/>
                <w:sz w:val="19"/>
                <w:szCs w:val="19"/>
              </w:rPr>
              <w:t xml:space="preserve">Scale 25K membres</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Grants</w:t>
            </w:r>
          </w:p>
        </w:tc>
        <w:tc>
          <w:tcPr>
            <w:tcMar>
              <w:top w:type="dxa" w:w="80"/>
              <w:left w:type="dxa" w:w="120"/>
              <w:bottom w:type="dxa" w:w="80"/>
              <w:right w:type="dxa" w:w="120"/>
            </w:tcMar>
          </w:tcPr>
          <w:p>
            <w:pPr>
              <w:jc w:val="center"/>
            </w:pPr>
            <w:r>
              <w:rPr>
                <w:b w:val="false"/>
                <w:bCs w:val="false"/>
                <w:color w:val="1A1A1A"/>
                <w:sz w:val="19"/>
                <w:szCs w:val="19"/>
              </w:rPr>
              <w:t xml:space="preserve">300 K USD</w:t>
            </w:r>
          </w:p>
        </w:tc>
        <w:tc>
          <w:tcPr>
            <w:tcMar>
              <w:top w:type="dxa" w:w="80"/>
              <w:left w:type="dxa" w:w="120"/>
              <w:bottom w:type="dxa" w:w="80"/>
              <w:right w:type="dxa" w:w="120"/>
            </w:tcMar>
          </w:tcPr>
          <w:p>
            <w:pPr>
              <w:jc w:val="center"/>
            </w:pPr>
            <w:r>
              <w:rPr>
                <w:b w:val="false"/>
                <w:bCs w:val="false"/>
                <w:color w:val="1A1A1A"/>
                <w:sz w:val="19"/>
                <w:szCs w:val="19"/>
              </w:rPr>
              <w:t xml:space="preserve">2027–2028</w:t>
            </w:r>
          </w:p>
        </w:tc>
        <w:tc>
          <w:tcPr>
            <w:tcMar>
              <w:top w:type="dxa" w:w="80"/>
              <w:left w:type="dxa" w:w="120"/>
              <w:bottom w:type="dxa" w:w="80"/>
              <w:right w:type="dxa" w:w="120"/>
            </w:tcMar>
          </w:tcPr>
          <w:p>
            <w:pPr>
              <w:jc w:val="center"/>
            </w:pPr>
            <w:r>
              <w:rPr>
                <w:b w:val="false"/>
                <w:bCs w:val="false"/>
                <w:color w:val="1A1A1A"/>
                <w:sz w:val="19"/>
                <w:szCs w:val="19"/>
              </w:rPr>
              <w:t xml:space="preserve">IFAD, FAO, AFD, UE</w:t>
            </w:r>
          </w:p>
        </w:tc>
        <w:tc>
          <w:tcPr>
            <w:tcMar>
              <w:top w:type="dxa" w:w="80"/>
              <w:left w:type="dxa" w:w="120"/>
              <w:bottom w:type="dxa" w:w="80"/>
              <w:right w:type="dxa" w:w="120"/>
            </w:tcMar>
          </w:tcPr>
          <w:p>
            <w:pPr>
              <w:jc w:val="center"/>
            </w:pPr>
            <w:r>
              <w:rPr>
                <w:b w:val="false"/>
                <w:bCs w:val="false"/>
                <w:color w:val="1A1A1A"/>
                <w:sz w:val="19"/>
                <w:szCs w:val="19"/>
              </w:rPr>
              <w:t xml:space="preserve">Formation + impact</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Série A</w:t>
            </w:r>
          </w:p>
        </w:tc>
        <w:tc>
          <w:tcPr>
            <w:tcMar>
              <w:top w:type="dxa" w:w="80"/>
              <w:left w:type="dxa" w:w="120"/>
              <w:bottom w:type="dxa" w:w="80"/>
              <w:right w:type="dxa" w:w="120"/>
            </w:tcMar>
          </w:tcPr>
          <w:p>
            <w:pPr>
              <w:jc w:val="center"/>
            </w:pPr>
            <w:r>
              <w:rPr>
                <w:b w:val="false"/>
                <w:bCs w:val="false"/>
                <w:color w:val="1A1A1A"/>
                <w:sz w:val="19"/>
                <w:szCs w:val="19"/>
              </w:rPr>
              <w:t xml:space="preserve">2,5 M USD</w:t>
            </w:r>
          </w:p>
        </w:tc>
        <w:tc>
          <w:tcPr>
            <w:tcMar>
              <w:top w:type="dxa" w:w="80"/>
              <w:left w:type="dxa" w:w="120"/>
              <w:bottom w:type="dxa" w:w="80"/>
              <w:right w:type="dxa" w:w="120"/>
            </w:tcMar>
          </w:tcPr>
          <w:p>
            <w:pPr>
              <w:jc w:val="center"/>
            </w:pPr>
            <w:r>
              <w:rPr>
                <w:b w:val="false"/>
                <w:bCs w:val="false"/>
                <w:color w:val="1A1A1A"/>
                <w:sz w:val="19"/>
                <w:szCs w:val="19"/>
              </w:rPr>
              <w:t xml:space="preserve">Q2 2029</w:t>
            </w:r>
          </w:p>
        </w:tc>
        <w:tc>
          <w:tcPr>
            <w:tcMar>
              <w:top w:type="dxa" w:w="80"/>
              <w:left w:type="dxa" w:w="120"/>
              <w:bottom w:type="dxa" w:w="80"/>
              <w:right w:type="dxa" w:w="120"/>
            </w:tcMar>
          </w:tcPr>
          <w:p>
            <w:pPr>
              <w:jc w:val="center"/>
            </w:pPr>
            <w:r>
              <w:rPr>
                <w:b w:val="false"/>
                <w:bCs w:val="false"/>
                <w:color w:val="1A1A1A"/>
                <w:sz w:val="19"/>
                <w:szCs w:val="19"/>
              </w:rPr>
              <w:t xml:space="preserve">VC Afrique (Partech, TLcom)</w:t>
            </w:r>
          </w:p>
        </w:tc>
        <w:tc>
          <w:tcPr>
            <w:tcMar>
              <w:top w:type="dxa" w:w="80"/>
              <w:left w:type="dxa" w:w="120"/>
              <w:bottom w:type="dxa" w:w="80"/>
              <w:right w:type="dxa" w:w="120"/>
            </w:tcMar>
          </w:tcPr>
          <w:p>
            <w:pPr>
              <w:jc w:val="center"/>
            </w:pPr>
            <w:r>
              <w:rPr>
                <w:b w:val="false"/>
                <w:bCs w:val="false"/>
                <w:color w:val="1A1A1A"/>
                <w:sz w:val="19"/>
                <w:szCs w:val="19"/>
              </w:rPr>
              <w:t xml:space="preserve">Expansion CEDEAO</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Série B</w:t>
            </w:r>
          </w:p>
        </w:tc>
        <w:tc>
          <w:tcPr>
            <w:tcMar>
              <w:top w:type="dxa" w:w="80"/>
              <w:left w:type="dxa" w:w="120"/>
              <w:bottom w:type="dxa" w:w="80"/>
              <w:right w:type="dxa" w:w="120"/>
            </w:tcMar>
          </w:tcPr>
          <w:p>
            <w:pPr>
              <w:jc w:val="center"/>
            </w:pPr>
            <w:r>
              <w:rPr>
                <w:b w:val="false"/>
                <w:bCs w:val="false"/>
                <w:color w:val="1A1A1A"/>
                <w:sz w:val="19"/>
                <w:szCs w:val="19"/>
              </w:rPr>
              <w:t xml:space="preserve">8 M USD</w:t>
            </w:r>
          </w:p>
        </w:tc>
        <w:tc>
          <w:tcPr>
            <w:tcMar>
              <w:top w:type="dxa" w:w="80"/>
              <w:left w:type="dxa" w:w="120"/>
              <w:bottom w:type="dxa" w:w="80"/>
              <w:right w:type="dxa" w:w="120"/>
            </w:tcMar>
          </w:tcPr>
          <w:p>
            <w:pPr>
              <w:jc w:val="center"/>
            </w:pPr>
            <w:r>
              <w:rPr>
                <w:b w:val="false"/>
                <w:bCs w:val="false"/>
                <w:color w:val="1A1A1A"/>
                <w:sz w:val="19"/>
                <w:szCs w:val="19"/>
              </w:rPr>
              <w:t xml:space="preserve">2031</w:t>
            </w:r>
          </w:p>
        </w:tc>
        <w:tc>
          <w:tcPr>
            <w:tcMar>
              <w:top w:type="dxa" w:w="80"/>
              <w:left w:type="dxa" w:w="120"/>
              <w:bottom w:type="dxa" w:w="80"/>
              <w:right w:type="dxa" w:w="120"/>
            </w:tcMar>
          </w:tcPr>
          <w:p>
            <w:pPr>
              <w:jc w:val="center"/>
            </w:pPr>
            <w:r>
              <w:rPr>
                <w:b w:val="false"/>
                <w:bCs w:val="false"/>
                <w:color w:val="1A1A1A"/>
                <w:sz w:val="19"/>
                <w:szCs w:val="19"/>
              </w:rPr>
              <w:t xml:space="preserve">PE Impact + DFIs</w:t>
            </w:r>
          </w:p>
        </w:tc>
        <w:tc>
          <w:tcPr>
            <w:tcMar>
              <w:top w:type="dxa" w:w="80"/>
              <w:left w:type="dxa" w:w="120"/>
              <w:bottom w:type="dxa" w:w="80"/>
              <w:right w:type="dxa" w:w="120"/>
            </w:tcMar>
          </w:tcPr>
          <w:p>
            <w:pPr>
              <w:jc w:val="center"/>
            </w:pPr>
            <w:r>
              <w:rPr>
                <w:b w:val="false"/>
                <w:bCs w:val="false"/>
                <w:color w:val="1A1A1A"/>
                <w:sz w:val="19"/>
                <w:szCs w:val="19"/>
              </w:rPr>
              <w:t xml:space="preserve">Domination régionale</w:t>
            </w:r>
          </w:p>
        </w:tc>
      </w:tr>
    </w:tbl>
    <w:p>
      <w:pPr>
        <w:pStyle w:val="Heading2"/>
        <w:spacing w:after="180" w:before="360"/>
      </w:pPr>
      <w:r>
        <w:t xml:space="preserve">5.2 Utilisation du Seed (500 K USD)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5E20" w:val="solid"/>
            <w:tcMar>
              <w:top w:type="dxa" w:w="80"/>
              <w:left w:type="dxa" w:w="120"/>
              <w:bottom w:type="dxa" w:w="80"/>
              <w:right w:type="dxa" w:w="120"/>
            </w:tcMar>
          </w:tcPr>
          <w:p>
            <w:pPr>
              <w:jc w:val="left"/>
            </w:pPr>
            <w:r>
              <w:rPr>
                <w:b/>
                <w:bCs/>
                <w:color w:val="FFFFFF"/>
                <w:sz w:val="20"/>
                <w:szCs w:val="20"/>
              </w:rPr>
              <w:t xml:space="preserve">Poste</w:t>
            </w:r>
          </w:p>
        </w:tc>
        <w:tc>
          <w:tcPr>
            <w:shd w:fill="1B5E20" w:val="solid"/>
            <w:tcMar>
              <w:top w:type="dxa" w:w="80"/>
              <w:left w:type="dxa" w:w="120"/>
              <w:bottom w:type="dxa" w:w="80"/>
              <w:right w:type="dxa" w:w="120"/>
            </w:tcMar>
          </w:tcPr>
          <w:p>
            <w:pPr>
              <w:jc w:val="center"/>
            </w:pPr>
            <w:r>
              <w:rPr>
                <w:b/>
                <w:bCs/>
                <w:color w:val="FFFFFF"/>
                <w:sz w:val="20"/>
                <w:szCs w:val="20"/>
              </w:rPr>
              <w:t xml:space="preserve">Montant</w:t>
            </w:r>
          </w:p>
        </w:tc>
        <w:tc>
          <w:tcPr>
            <w:shd w:fill="1B5E20" w:val="solid"/>
            <w:tcMar>
              <w:top w:type="dxa" w:w="80"/>
              <w:left w:type="dxa" w:w="120"/>
              <w:bottom w:type="dxa" w:w="80"/>
              <w:right w:type="dxa" w:w="120"/>
            </w:tcMar>
          </w:tcPr>
          <w:p>
            <w:pPr>
              <w:jc w:val="center"/>
            </w:pPr>
            <w:r>
              <w:rPr>
                <w:b/>
                <w:bCs/>
                <w:color w:val="FFFFFF"/>
                <w:sz w:val="20"/>
                <w:szCs w:val="20"/>
              </w:rPr>
              <w:t xml:space="preserve">Proportion</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Équipe tech (2 devs + 1 PM, 18 mois)</w:t>
            </w:r>
          </w:p>
        </w:tc>
        <w:tc>
          <w:tcPr>
            <w:tcMar>
              <w:top w:type="dxa" w:w="80"/>
              <w:left w:type="dxa" w:w="120"/>
              <w:bottom w:type="dxa" w:w="80"/>
              <w:right w:type="dxa" w:w="120"/>
            </w:tcMar>
          </w:tcPr>
          <w:p>
            <w:pPr>
              <w:jc w:val="center"/>
            </w:pPr>
            <w:r>
              <w:rPr>
                <w:b w:val="false"/>
                <w:bCs w:val="false"/>
                <w:color w:val="1A1A1A"/>
                <w:sz w:val="19"/>
                <w:szCs w:val="19"/>
              </w:rPr>
              <w:t xml:space="preserve">180 000 USD</w:t>
            </w:r>
          </w:p>
        </w:tc>
        <w:tc>
          <w:tcPr>
            <w:tcMar>
              <w:top w:type="dxa" w:w="80"/>
              <w:left w:type="dxa" w:w="120"/>
              <w:bottom w:type="dxa" w:w="80"/>
              <w:right w:type="dxa" w:w="120"/>
            </w:tcMar>
          </w:tcPr>
          <w:p>
            <w:pPr>
              <w:jc w:val="center"/>
            </w:pPr>
            <w:r>
              <w:rPr>
                <w:b w:val="false"/>
                <w:bCs w:val="false"/>
                <w:color w:val="1A1A1A"/>
                <w:sz w:val="19"/>
                <w:szCs w:val="19"/>
              </w:rPr>
              <w:t xml:space="preserve">36 %</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Équipe terrain (5 agents, 12 mois)</w:t>
            </w:r>
          </w:p>
        </w:tc>
        <w:tc>
          <w:tcPr>
            <w:tcMar>
              <w:top w:type="dxa" w:w="80"/>
              <w:left w:type="dxa" w:w="120"/>
              <w:bottom w:type="dxa" w:w="80"/>
              <w:right w:type="dxa" w:w="120"/>
            </w:tcMar>
          </w:tcPr>
          <w:p>
            <w:pPr>
              <w:jc w:val="center"/>
            </w:pPr>
            <w:r>
              <w:rPr>
                <w:b w:val="false"/>
                <w:bCs w:val="false"/>
                <w:color w:val="1A1A1A"/>
                <w:sz w:val="19"/>
                <w:szCs w:val="19"/>
              </w:rPr>
              <w:t xml:space="preserve">90 000 USD</w:t>
            </w:r>
          </w:p>
        </w:tc>
        <w:tc>
          <w:tcPr>
            <w:tcMar>
              <w:top w:type="dxa" w:w="80"/>
              <w:left w:type="dxa" w:w="120"/>
              <w:bottom w:type="dxa" w:w="80"/>
              <w:right w:type="dxa" w:w="120"/>
            </w:tcMar>
          </w:tcPr>
          <w:p>
            <w:pPr>
              <w:jc w:val="center"/>
            </w:pPr>
            <w:r>
              <w:rPr>
                <w:b w:val="false"/>
                <w:bCs w:val="false"/>
                <w:color w:val="1A1A1A"/>
                <w:sz w:val="19"/>
                <w:szCs w:val="19"/>
              </w:rPr>
              <w:t xml:space="preserve">18 %</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Infrastructure cloud + SMS + Mobile Money</w:t>
            </w:r>
          </w:p>
        </w:tc>
        <w:tc>
          <w:tcPr>
            <w:tcMar>
              <w:top w:type="dxa" w:w="80"/>
              <w:left w:type="dxa" w:w="120"/>
              <w:bottom w:type="dxa" w:w="80"/>
              <w:right w:type="dxa" w:w="120"/>
            </w:tcMar>
          </w:tcPr>
          <w:p>
            <w:pPr>
              <w:jc w:val="center"/>
            </w:pPr>
            <w:r>
              <w:rPr>
                <w:b w:val="false"/>
                <w:bCs w:val="false"/>
                <w:color w:val="1A1A1A"/>
                <w:sz w:val="19"/>
                <w:szCs w:val="19"/>
              </w:rPr>
              <w:t xml:space="preserve">60 000 USD</w:t>
            </w:r>
          </w:p>
        </w:tc>
        <w:tc>
          <w:tcPr>
            <w:tcMar>
              <w:top w:type="dxa" w:w="80"/>
              <w:left w:type="dxa" w:w="120"/>
              <w:bottom w:type="dxa" w:w="80"/>
              <w:right w:type="dxa" w:w="120"/>
            </w:tcMar>
          </w:tcPr>
          <w:p>
            <w:pPr>
              <w:jc w:val="center"/>
            </w:pPr>
            <w:r>
              <w:rPr>
                <w:b w:val="false"/>
                <w:bCs w:val="false"/>
                <w:color w:val="1A1A1A"/>
                <w:sz w:val="19"/>
                <w:szCs w:val="19"/>
              </w:rPr>
              <w:t xml:space="preserve">12 %</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Marketing &amp; acquisition coopératives</w:t>
            </w:r>
          </w:p>
        </w:tc>
        <w:tc>
          <w:tcPr>
            <w:tcMar>
              <w:top w:type="dxa" w:w="80"/>
              <w:left w:type="dxa" w:w="120"/>
              <w:bottom w:type="dxa" w:w="80"/>
              <w:right w:type="dxa" w:w="120"/>
            </w:tcMar>
          </w:tcPr>
          <w:p>
            <w:pPr>
              <w:jc w:val="center"/>
            </w:pPr>
            <w:r>
              <w:rPr>
                <w:b w:val="false"/>
                <w:bCs w:val="false"/>
                <w:color w:val="1A1A1A"/>
                <w:sz w:val="19"/>
                <w:szCs w:val="19"/>
              </w:rPr>
              <w:t xml:space="preserve">50 000 USD</w:t>
            </w:r>
          </w:p>
        </w:tc>
        <w:tc>
          <w:tcPr>
            <w:tcMar>
              <w:top w:type="dxa" w:w="80"/>
              <w:left w:type="dxa" w:w="120"/>
              <w:bottom w:type="dxa" w:w="80"/>
              <w:right w:type="dxa" w:w="120"/>
            </w:tcMar>
          </w:tcPr>
          <w:p>
            <w:pPr>
              <w:jc w:val="center"/>
            </w:pPr>
            <w:r>
              <w:rPr>
                <w:b w:val="false"/>
                <w:bCs w:val="false"/>
                <w:color w:val="1A1A1A"/>
                <w:sz w:val="19"/>
                <w:szCs w:val="19"/>
              </w:rPr>
              <w:t xml:space="preserve">10 %</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Juridique + compliance + certifications</w:t>
            </w:r>
          </w:p>
        </w:tc>
        <w:tc>
          <w:tcPr>
            <w:tcMar>
              <w:top w:type="dxa" w:w="80"/>
              <w:left w:type="dxa" w:w="120"/>
              <w:bottom w:type="dxa" w:w="80"/>
              <w:right w:type="dxa" w:w="120"/>
            </w:tcMar>
          </w:tcPr>
          <w:p>
            <w:pPr>
              <w:jc w:val="center"/>
            </w:pPr>
            <w:r>
              <w:rPr>
                <w:b w:val="false"/>
                <w:bCs w:val="false"/>
                <w:color w:val="1A1A1A"/>
                <w:sz w:val="19"/>
                <w:szCs w:val="19"/>
              </w:rPr>
              <w:t xml:space="preserve">40 000 USD</w:t>
            </w:r>
          </w:p>
        </w:tc>
        <w:tc>
          <w:tcPr>
            <w:tcMar>
              <w:top w:type="dxa" w:w="80"/>
              <w:left w:type="dxa" w:w="120"/>
              <w:bottom w:type="dxa" w:w="80"/>
              <w:right w:type="dxa" w:w="120"/>
            </w:tcMar>
          </w:tcPr>
          <w:p>
            <w:pPr>
              <w:jc w:val="center"/>
            </w:pPr>
            <w:r>
              <w:rPr>
                <w:b w:val="false"/>
                <w:bCs w:val="false"/>
                <w:color w:val="1A1A1A"/>
                <w:sz w:val="19"/>
                <w:szCs w:val="19"/>
              </w:rPr>
              <w:t xml:space="preserve">8 %</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Opérations &amp; bureau Lomé</w:t>
            </w:r>
          </w:p>
        </w:tc>
        <w:tc>
          <w:tcPr>
            <w:tcMar>
              <w:top w:type="dxa" w:w="80"/>
              <w:left w:type="dxa" w:w="120"/>
              <w:bottom w:type="dxa" w:w="80"/>
              <w:right w:type="dxa" w:w="120"/>
            </w:tcMar>
          </w:tcPr>
          <w:p>
            <w:pPr>
              <w:jc w:val="center"/>
            </w:pPr>
            <w:r>
              <w:rPr>
                <w:b w:val="false"/>
                <w:bCs w:val="false"/>
                <w:color w:val="1A1A1A"/>
                <w:sz w:val="19"/>
                <w:szCs w:val="19"/>
              </w:rPr>
              <w:t xml:space="preserve">50 000 USD</w:t>
            </w:r>
          </w:p>
        </w:tc>
        <w:tc>
          <w:tcPr>
            <w:tcMar>
              <w:top w:type="dxa" w:w="80"/>
              <w:left w:type="dxa" w:w="120"/>
              <w:bottom w:type="dxa" w:w="80"/>
              <w:right w:type="dxa" w:w="120"/>
            </w:tcMar>
          </w:tcPr>
          <w:p>
            <w:pPr>
              <w:jc w:val="center"/>
            </w:pPr>
            <w:r>
              <w:rPr>
                <w:b w:val="false"/>
                <w:bCs w:val="false"/>
                <w:color w:val="1A1A1A"/>
                <w:sz w:val="19"/>
                <w:szCs w:val="19"/>
              </w:rPr>
              <w:t xml:space="preserve">10 %</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Réserve (6 %)</w:t>
            </w:r>
          </w:p>
        </w:tc>
        <w:tc>
          <w:tcPr>
            <w:tcMar>
              <w:top w:type="dxa" w:w="80"/>
              <w:left w:type="dxa" w:w="120"/>
              <w:bottom w:type="dxa" w:w="80"/>
              <w:right w:type="dxa" w:w="120"/>
            </w:tcMar>
          </w:tcPr>
          <w:p>
            <w:pPr>
              <w:jc w:val="center"/>
            </w:pPr>
            <w:r>
              <w:rPr>
                <w:b w:val="false"/>
                <w:bCs w:val="false"/>
                <w:color w:val="1A1A1A"/>
                <w:sz w:val="19"/>
                <w:szCs w:val="19"/>
              </w:rPr>
              <w:t xml:space="preserve">30 000 USD</w:t>
            </w:r>
          </w:p>
        </w:tc>
        <w:tc>
          <w:tcPr>
            <w:tcMar>
              <w:top w:type="dxa" w:w="80"/>
              <w:left w:type="dxa" w:w="120"/>
              <w:bottom w:type="dxa" w:w="80"/>
              <w:right w:type="dxa" w:w="120"/>
            </w:tcMar>
          </w:tcPr>
          <w:p>
            <w:pPr>
              <w:jc w:val="center"/>
            </w:pPr>
            <w:r>
              <w:rPr>
                <w:b w:val="false"/>
                <w:bCs w:val="false"/>
                <w:color w:val="1A1A1A"/>
                <w:sz w:val="19"/>
                <w:szCs w:val="19"/>
              </w:rPr>
              <w:t xml:space="preserve">6 %</w:t>
            </w:r>
          </w:p>
        </w:tc>
      </w:tr>
    </w:tbl>
    <w:p>
      <w:pPr>
        <w:pStyle w:val="Heading2"/>
        <w:spacing w:after="180" w:before="360"/>
      </w:pPr>
      <w:r>
        <w:t xml:space="preserve">5.3 Métriques clés (KPIs investisseurs)</w:t>
      </w:r>
    </w:p>
    <w:p>
      <w:pPr>
        <w:pStyle w:val="ListParagraph"/>
        <w:numPr>
          <w:ilvl w:val="0"/>
          <w:numId w:val="1"/>
        </w:numPr>
        <w:spacing w:after="60" w:before="60"/>
      </w:pPr>
      <w:r>
        <w:rPr>
          <w:color w:val="1A1A1A"/>
          <w:sz w:val="21"/>
          <w:szCs w:val="21"/>
        </w:rPr>
        <w:t xml:space="preserve">MRR (Monthly Recurring Revenue) — cible 12 000 USD à M18</w:t>
      </w:r>
    </w:p>
    <w:p>
      <w:pPr>
        <w:pStyle w:val="ListParagraph"/>
        <w:numPr>
          <w:ilvl w:val="0"/>
          <w:numId w:val="1"/>
        </w:numPr>
        <w:spacing w:after="60" w:before="60"/>
      </w:pPr>
      <w:r>
        <w:rPr>
          <w:color w:val="1A1A1A"/>
          <w:sz w:val="21"/>
          <w:szCs w:val="21"/>
        </w:rPr>
        <w:t xml:space="preserve">CAC (Coût d'acquisition coopérative) — cible &lt; 800 USD</w:t>
      </w:r>
    </w:p>
    <w:p>
      <w:pPr>
        <w:pStyle w:val="ListParagraph"/>
        <w:numPr>
          <w:ilvl w:val="0"/>
          <w:numId w:val="1"/>
        </w:numPr>
        <w:spacing w:after="60" w:before="60"/>
      </w:pPr>
      <w:r>
        <w:rPr>
          <w:color w:val="1A1A1A"/>
          <w:sz w:val="21"/>
          <w:szCs w:val="21"/>
        </w:rPr>
        <w:t xml:space="preserve">LTV (Lifetime Value coopérative) — cible &gt; 8 000 USD (LTV/CAC &gt; 10×)</w:t>
      </w:r>
    </w:p>
    <w:p>
      <w:pPr>
        <w:pStyle w:val="ListParagraph"/>
        <w:numPr>
          <w:ilvl w:val="0"/>
          <w:numId w:val="1"/>
        </w:numPr>
        <w:spacing w:after="60" w:before="60"/>
      </w:pPr>
      <w:r>
        <w:rPr>
          <w:color w:val="1A1A1A"/>
          <w:sz w:val="21"/>
          <w:szCs w:val="21"/>
        </w:rPr>
        <w:t xml:space="preserve">Churn annuel — cible &lt; 5 %</w:t>
      </w:r>
    </w:p>
    <w:p>
      <w:pPr>
        <w:pStyle w:val="ListParagraph"/>
        <w:numPr>
          <w:ilvl w:val="0"/>
          <w:numId w:val="1"/>
        </w:numPr>
        <w:spacing w:after="60" w:before="60"/>
      </w:pPr>
      <w:r>
        <w:rPr>
          <w:color w:val="1A1A1A"/>
          <w:sz w:val="21"/>
          <w:szCs w:val="21"/>
        </w:rPr>
        <w:t xml:space="preserve">NPS — cible &gt; 50 (early adopters)</w:t>
      </w:r>
    </w:p>
    <w:p>
      <w:pPr>
        <w:pStyle w:val="ListParagraph"/>
        <w:numPr>
          <w:ilvl w:val="0"/>
          <w:numId w:val="1"/>
        </w:numPr>
        <w:spacing w:after="60" w:before="60"/>
      </w:pPr>
      <w:r>
        <w:rPr>
          <w:color w:val="1A1A1A"/>
          <w:sz w:val="21"/>
          <w:szCs w:val="21"/>
        </w:rPr>
        <w:t xml:space="preserve">Volume transactions matchmaking — cible 50 K USD/mois à M24</w:t>
      </w:r>
    </w:p>
    <w:p>
      <w:pPr>
        <w:pStyle w:val="Heading2"/>
        <w:spacing w:after="180" w:before="360"/>
      </w:pPr>
      <w:r>
        <w:t xml:space="preserve">5.4 Retours projetés (Seed 500 K USD)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5E20" w:val="solid"/>
            <w:tcMar>
              <w:top w:type="dxa" w:w="80"/>
              <w:left w:type="dxa" w:w="120"/>
              <w:bottom w:type="dxa" w:w="80"/>
              <w:right w:type="dxa" w:w="120"/>
            </w:tcMar>
          </w:tcPr>
          <w:p>
            <w:pPr>
              <w:jc w:val="left"/>
            </w:pPr>
            <w:r>
              <w:rPr>
                <w:b/>
                <w:bCs/>
                <w:color w:val="FFFFFF"/>
                <w:sz w:val="20"/>
                <w:szCs w:val="20"/>
              </w:rPr>
              <w:t xml:space="preserve">Scénario</w:t>
            </w:r>
          </w:p>
        </w:tc>
        <w:tc>
          <w:tcPr>
            <w:shd w:fill="1B5E20" w:val="solid"/>
            <w:tcMar>
              <w:top w:type="dxa" w:w="80"/>
              <w:left w:type="dxa" w:w="120"/>
              <w:bottom w:type="dxa" w:w="80"/>
              <w:right w:type="dxa" w:w="120"/>
            </w:tcMar>
          </w:tcPr>
          <w:p>
            <w:pPr>
              <w:jc w:val="center"/>
            </w:pPr>
            <w:r>
              <w:rPr>
                <w:b/>
                <w:bCs/>
                <w:color w:val="FFFFFF"/>
                <w:sz w:val="20"/>
                <w:szCs w:val="20"/>
              </w:rPr>
              <w:t xml:space="preserve">Valorisation 2035</w:t>
            </w:r>
          </w:p>
        </w:tc>
        <w:tc>
          <w:tcPr>
            <w:shd w:fill="1B5E20" w:val="solid"/>
            <w:tcMar>
              <w:top w:type="dxa" w:w="80"/>
              <w:left w:type="dxa" w:w="120"/>
              <w:bottom w:type="dxa" w:w="80"/>
              <w:right w:type="dxa" w:w="120"/>
            </w:tcMar>
          </w:tcPr>
          <w:p>
            <w:pPr>
              <w:jc w:val="center"/>
            </w:pPr>
            <w:r>
              <w:rPr>
                <w:b/>
                <w:bCs/>
                <w:color w:val="FFFFFF"/>
                <w:sz w:val="20"/>
                <w:szCs w:val="20"/>
              </w:rPr>
              <w:t xml:space="preserve">Multiple (MOIC)</w:t>
            </w:r>
          </w:p>
        </w:tc>
        <w:tc>
          <w:tcPr>
            <w:shd w:fill="1B5E20" w:val="solid"/>
            <w:tcMar>
              <w:top w:type="dxa" w:w="80"/>
              <w:left w:type="dxa" w:w="120"/>
              <w:bottom w:type="dxa" w:w="80"/>
              <w:right w:type="dxa" w:w="120"/>
            </w:tcMar>
          </w:tcPr>
          <w:p>
            <w:pPr>
              <w:jc w:val="center"/>
            </w:pPr>
            <w:r>
              <w:rPr>
                <w:b/>
                <w:bCs/>
                <w:color w:val="FFFFFF"/>
                <w:sz w:val="20"/>
                <w:szCs w:val="20"/>
              </w:rPr>
              <w:t xml:space="preserve">IRR</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Pessimiste</w:t>
            </w:r>
          </w:p>
        </w:tc>
        <w:tc>
          <w:tcPr>
            <w:tcMar>
              <w:top w:type="dxa" w:w="80"/>
              <w:left w:type="dxa" w:w="120"/>
              <w:bottom w:type="dxa" w:w="80"/>
              <w:right w:type="dxa" w:w="120"/>
            </w:tcMar>
          </w:tcPr>
          <w:p>
            <w:pPr>
              <w:jc w:val="center"/>
            </w:pPr>
            <w:r>
              <w:rPr>
                <w:b w:val="false"/>
                <w:bCs w:val="false"/>
                <w:color w:val="1A1A1A"/>
                <w:sz w:val="19"/>
                <w:szCs w:val="19"/>
              </w:rPr>
              <w:t xml:space="preserve">4,5 M USD</w:t>
            </w:r>
          </w:p>
        </w:tc>
        <w:tc>
          <w:tcPr>
            <w:tcMar>
              <w:top w:type="dxa" w:w="80"/>
              <w:left w:type="dxa" w:w="120"/>
              <w:bottom w:type="dxa" w:w="80"/>
              <w:right w:type="dxa" w:w="120"/>
            </w:tcMar>
          </w:tcPr>
          <w:p>
            <w:pPr>
              <w:jc w:val="center"/>
            </w:pPr>
            <w:r>
              <w:rPr>
                <w:b w:val="false"/>
                <w:bCs w:val="false"/>
                <w:color w:val="1A1A1A"/>
                <w:sz w:val="19"/>
                <w:szCs w:val="19"/>
              </w:rPr>
              <w:t xml:space="preserve">2,2×</w:t>
            </w:r>
          </w:p>
        </w:tc>
        <w:tc>
          <w:tcPr>
            <w:tcMar>
              <w:top w:type="dxa" w:w="80"/>
              <w:left w:type="dxa" w:w="120"/>
              <w:bottom w:type="dxa" w:w="80"/>
              <w:right w:type="dxa" w:w="120"/>
            </w:tcMar>
          </w:tcPr>
          <w:p>
            <w:pPr>
              <w:jc w:val="center"/>
            </w:pPr>
            <w:r>
              <w:rPr>
                <w:b w:val="false"/>
                <w:bCs w:val="false"/>
                <w:color w:val="1A1A1A"/>
                <w:sz w:val="19"/>
                <w:szCs w:val="19"/>
              </w:rPr>
              <w:t xml:space="preserve">8 %</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Réaliste</w:t>
            </w:r>
          </w:p>
        </w:tc>
        <w:tc>
          <w:tcPr>
            <w:tcMar>
              <w:top w:type="dxa" w:w="80"/>
              <w:left w:type="dxa" w:w="120"/>
              <w:bottom w:type="dxa" w:w="80"/>
              <w:right w:type="dxa" w:w="120"/>
            </w:tcMar>
          </w:tcPr>
          <w:p>
            <w:pPr>
              <w:jc w:val="center"/>
            </w:pPr>
            <w:r>
              <w:rPr>
                <w:b w:val="false"/>
                <w:bCs w:val="false"/>
                <w:color w:val="1A1A1A"/>
                <w:sz w:val="19"/>
                <w:szCs w:val="19"/>
              </w:rPr>
              <w:t xml:space="preserve">18 M USD</w:t>
            </w:r>
          </w:p>
        </w:tc>
        <w:tc>
          <w:tcPr>
            <w:tcMar>
              <w:top w:type="dxa" w:w="80"/>
              <w:left w:type="dxa" w:w="120"/>
              <w:bottom w:type="dxa" w:w="80"/>
              <w:right w:type="dxa" w:w="120"/>
            </w:tcMar>
          </w:tcPr>
          <w:p>
            <w:pPr>
              <w:jc w:val="center"/>
            </w:pPr>
            <w:r>
              <w:rPr>
                <w:b w:val="false"/>
                <w:bCs w:val="false"/>
                <w:color w:val="1A1A1A"/>
                <w:sz w:val="19"/>
                <w:szCs w:val="19"/>
              </w:rPr>
              <w:t xml:space="preserve">6,2×</w:t>
            </w:r>
          </w:p>
        </w:tc>
        <w:tc>
          <w:tcPr>
            <w:tcMar>
              <w:top w:type="dxa" w:w="80"/>
              <w:left w:type="dxa" w:w="120"/>
              <w:bottom w:type="dxa" w:w="80"/>
              <w:right w:type="dxa" w:w="120"/>
            </w:tcMar>
          </w:tcPr>
          <w:p>
            <w:pPr>
              <w:jc w:val="center"/>
            </w:pPr>
            <w:r>
              <w:rPr>
                <w:b w:val="false"/>
                <w:bCs w:val="false"/>
                <w:color w:val="1A1A1A"/>
                <w:sz w:val="19"/>
                <w:szCs w:val="19"/>
              </w:rPr>
              <w:t xml:space="preserve">34 %</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Optimiste</w:t>
            </w:r>
          </w:p>
        </w:tc>
        <w:tc>
          <w:tcPr>
            <w:tcMar>
              <w:top w:type="dxa" w:w="80"/>
              <w:left w:type="dxa" w:w="120"/>
              <w:bottom w:type="dxa" w:w="80"/>
              <w:right w:type="dxa" w:w="120"/>
            </w:tcMar>
          </w:tcPr>
          <w:p>
            <w:pPr>
              <w:jc w:val="center"/>
            </w:pPr>
            <w:r>
              <w:rPr>
                <w:b w:val="false"/>
                <w:bCs w:val="false"/>
                <w:color w:val="1A1A1A"/>
                <w:sz w:val="19"/>
                <w:szCs w:val="19"/>
              </w:rPr>
              <w:t xml:space="preserve">45 M USD</w:t>
            </w:r>
          </w:p>
        </w:tc>
        <w:tc>
          <w:tcPr>
            <w:tcMar>
              <w:top w:type="dxa" w:w="80"/>
              <w:left w:type="dxa" w:w="120"/>
              <w:bottom w:type="dxa" w:w="80"/>
              <w:right w:type="dxa" w:w="120"/>
            </w:tcMar>
          </w:tcPr>
          <w:p>
            <w:pPr>
              <w:jc w:val="center"/>
            </w:pPr>
            <w:r>
              <w:rPr>
                <w:b w:val="false"/>
                <w:bCs w:val="false"/>
                <w:color w:val="1A1A1A"/>
                <w:sz w:val="19"/>
                <w:szCs w:val="19"/>
              </w:rPr>
              <w:t xml:space="preserve">15×</w:t>
            </w:r>
          </w:p>
        </w:tc>
        <w:tc>
          <w:tcPr>
            <w:tcMar>
              <w:top w:type="dxa" w:w="80"/>
              <w:left w:type="dxa" w:w="120"/>
              <w:bottom w:type="dxa" w:w="80"/>
              <w:right w:type="dxa" w:w="120"/>
            </w:tcMar>
          </w:tcPr>
          <w:p>
            <w:pPr>
              <w:jc w:val="center"/>
            </w:pPr>
            <w:r>
              <w:rPr>
                <w:b w:val="false"/>
                <w:bCs w:val="false"/>
                <w:color w:val="1A1A1A"/>
                <w:sz w:val="19"/>
                <w:szCs w:val="19"/>
              </w:rPr>
              <w:t xml:space="preserve">58 %</w:t>
            </w:r>
          </w:p>
        </w:tc>
      </w:tr>
    </w:tbl>
    <w:p>
      <w:r>
        <w:br w:type="page"/>
      </w:r>
    </w:p>
    <w:p>
      <w:pPr>
        <w:spacing w:after="300" w:before="600"/>
      </w:pPr>
      <w:r>
        <w:rPr>
          <w:b/>
          <w:bCs/>
          <w:color w:val="B8860B"/>
          <w:sz w:val="32"/>
          <w:szCs w:val="32"/>
        </w:rPr>
        <w:t xml:space="preserve">VI. </w:t>
      </w:r>
      <w:r>
        <w:rPr>
          <w:b/>
          <w:bCs/>
          <w:color w:val="1B5E20"/>
          <w:sz w:val="32"/>
          <w:szCs w:val="32"/>
        </w:rPr>
        <w:t xml:space="preserve">FEUILLE DE ROUTE OPÉRATIONNELLE</w:t>
      </w:r>
    </w:p>
    <w:p>
      <w:pPr>
        <w:pStyle w:val="Heading2"/>
        <w:spacing w:after="180" w:before="360"/>
      </w:pPr>
      <w:r>
        <w:t xml:space="preserve">6.1 Plan 90 jours — Actions immédiates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5E20" w:val="solid"/>
            <w:tcMar>
              <w:top w:type="dxa" w:w="80"/>
              <w:left w:type="dxa" w:w="120"/>
              <w:bottom w:type="dxa" w:w="80"/>
              <w:right w:type="dxa" w:w="120"/>
            </w:tcMar>
          </w:tcPr>
          <w:p>
            <w:pPr>
              <w:jc w:val="left"/>
            </w:pPr>
            <w:r>
              <w:rPr>
                <w:b/>
                <w:bCs/>
                <w:color w:val="FFFFFF"/>
                <w:sz w:val="20"/>
                <w:szCs w:val="20"/>
              </w:rPr>
              <w:t xml:space="preserve">Semaine</w:t>
            </w:r>
          </w:p>
        </w:tc>
        <w:tc>
          <w:tcPr>
            <w:shd w:fill="1B5E20" w:val="solid"/>
            <w:tcMar>
              <w:top w:type="dxa" w:w="80"/>
              <w:left w:type="dxa" w:w="120"/>
              <w:bottom w:type="dxa" w:w="80"/>
              <w:right w:type="dxa" w:w="120"/>
            </w:tcMar>
          </w:tcPr>
          <w:p>
            <w:pPr>
              <w:jc w:val="center"/>
            </w:pPr>
            <w:r>
              <w:rPr>
                <w:b/>
                <w:bCs/>
                <w:color w:val="FFFFFF"/>
                <w:sz w:val="20"/>
                <w:szCs w:val="20"/>
              </w:rPr>
              <w:t xml:space="preserve">Action prioritaire</w:t>
            </w:r>
          </w:p>
        </w:tc>
        <w:tc>
          <w:tcPr>
            <w:shd w:fill="1B5E20" w:val="solid"/>
            <w:tcMar>
              <w:top w:type="dxa" w:w="80"/>
              <w:left w:type="dxa" w:w="120"/>
              <w:bottom w:type="dxa" w:w="80"/>
              <w:right w:type="dxa" w:w="120"/>
            </w:tcMar>
          </w:tcPr>
          <w:p>
            <w:pPr>
              <w:jc w:val="center"/>
            </w:pPr>
            <w:r>
              <w:rPr>
                <w:b/>
                <w:bCs/>
                <w:color w:val="FFFFFF"/>
                <w:sz w:val="20"/>
                <w:szCs w:val="20"/>
              </w:rPr>
              <w:t xml:space="preserve">Responsable</w:t>
            </w:r>
          </w:p>
        </w:tc>
        <w:tc>
          <w:tcPr>
            <w:shd w:fill="1B5E20" w:val="solid"/>
            <w:tcMar>
              <w:top w:type="dxa" w:w="80"/>
              <w:left w:type="dxa" w:w="120"/>
              <w:bottom w:type="dxa" w:w="80"/>
              <w:right w:type="dxa" w:w="120"/>
            </w:tcMar>
          </w:tcPr>
          <w:p>
            <w:pPr>
              <w:jc w:val="center"/>
            </w:pPr>
            <w:r>
              <w:rPr>
                <w:b/>
                <w:bCs/>
                <w:color w:val="FFFFFF"/>
                <w:sz w:val="20"/>
                <w:szCs w:val="20"/>
              </w:rPr>
              <w:t xml:space="preserve">Critère de succès</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S1–S2</w:t>
            </w:r>
          </w:p>
        </w:tc>
        <w:tc>
          <w:tcPr>
            <w:tcMar>
              <w:top w:type="dxa" w:w="80"/>
              <w:left w:type="dxa" w:w="120"/>
              <w:bottom w:type="dxa" w:w="80"/>
              <w:right w:type="dxa" w:w="120"/>
            </w:tcMar>
          </w:tcPr>
          <w:p>
            <w:pPr>
              <w:jc w:val="center"/>
            </w:pPr>
            <w:r>
              <w:rPr>
                <w:b w:val="false"/>
                <w:bCs w:val="false"/>
                <w:color w:val="1A1A1A"/>
                <w:sz w:val="19"/>
                <w:szCs w:val="19"/>
              </w:rPr>
              <w:t xml:space="preserve">Sélectionner 3 coopératives pilotes (Maritime)</w:t>
            </w:r>
          </w:p>
        </w:tc>
        <w:tc>
          <w:tcPr>
            <w:tcMar>
              <w:top w:type="dxa" w:w="80"/>
              <w:left w:type="dxa" w:w="120"/>
              <w:bottom w:type="dxa" w:w="80"/>
              <w:right w:type="dxa" w:w="120"/>
            </w:tcMar>
          </w:tcPr>
          <w:p>
            <w:pPr>
              <w:jc w:val="center"/>
            </w:pPr>
            <w:r>
              <w:rPr>
                <w:b w:val="false"/>
                <w:bCs w:val="false"/>
                <w:color w:val="1A1A1A"/>
                <w:sz w:val="19"/>
                <w:szCs w:val="19"/>
              </w:rPr>
              <w:t xml:space="preserve">CEO + Terrain</w:t>
            </w:r>
          </w:p>
        </w:tc>
        <w:tc>
          <w:tcPr>
            <w:tcMar>
              <w:top w:type="dxa" w:w="80"/>
              <w:left w:type="dxa" w:w="120"/>
              <w:bottom w:type="dxa" w:w="80"/>
              <w:right w:type="dxa" w:w="120"/>
            </w:tcMar>
          </w:tcPr>
          <w:p>
            <w:pPr>
              <w:jc w:val="center"/>
            </w:pPr>
            <w:r>
              <w:rPr>
                <w:b w:val="false"/>
                <w:bCs w:val="false"/>
                <w:color w:val="1A1A1A"/>
                <w:sz w:val="19"/>
                <w:szCs w:val="19"/>
              </w:rPr>
              <w:t xml:space="preserve">3 MOU signés</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S3–S4</w:t>
            </w:r>
          </w:p>
        </w:tc>
        <w:tc>
          <w:tcPr>
            <w:tcMar>
              <w:top w:type="dxa" w:w="80"/>
              <w:left w:type="dxa" w:w="120"/>
              <w:bottom w:type="dxa" w:w="80"/>
              <w:right w:type="dxa" w:w="120"/>
            </w:tcMar>
          </w:tcPr>
          <w:p>
            <w:pPr>
              <w:jc w:val="center"/>
            </w:pPr>
            <w:r>
              <w:rPr>
                <w:b w:val="false"/>
                <w:bCs w:val="false"/>
                <w:color w:val="1A1A1A"/>
                <w:sz w:val="19"/>
                <w:szCs w:val="19"/>
              </w:rPr>
              <w:t xml:space="preserve">Former les agents de terrain (onboarding FaîtiereHub)</w:t>
            </w:r>
          </w:p>
        </w:tc>
        <w:tc>
          <w:tcPr>
            <w:tcMar>
              <w:top w:type="dxa" w:w="80"/>
              <w:left w:type="dxa" w:w="120"/>
              <w:bottom w:type="dxa" w:w="80"/>
              <w:right w:type="dxa" w:w="120"/>
            </w:tcMar>
          </w:tcPr>
          <w:p>
            <w:pPr>
              <w:jc w:val="center"/>
            </w:pPr>
            <w:r>
              <w:rPr>
                <w:b w:val="false"/>
                <w:bCs w:val="false"/>
                <w:color w:val="1A1A1A"/>
                <w:sz w:val="19"/>
                <w:szCs w:val="19"/>
              </w:rPr>
              <w:t xml:space="preserve">CTO + Terrain</w:t>
            </w:r>
          </w:p>
        </w:tc>
        <w:tc>
          <w:tcPr>
            <w:tcMar>
              <w:top w:type="dxa" w:w="80"/>
              <w:left w:type="dxa" w:w="120"/>
              <w:bottom w:type="dxa" w:w="80"/>
              <w:right w:type="dxa" w:w="120"/>
            </w:tcMar>
          </w:tcPr>
          <w:p>
            <w:pPr>
              <w:jc w:val="center"/>
            </w:pPr>
            <w:r>
              <w:rPr>
                <w:b w:val="false"/>
                <w:bCs w:val="false"/>
                <w:color w:val="1A1A1A"/>
                <w:sz w:val="19"/>
                <w:szCs w:val="19"/>
              </w:rPr>
              <w:t xml:space="preserve">5 agents certifiés</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S5–S6</w:t>
            </w:r>
          </w:p>
        </w:tc>
        <w:tc>
          <w:tcPr>
            <w:tcMar>
              <w:top w:type="dxa" w:w="80"/>
              <w:left w:type="dxa" w:w="120"/>
              <w:bottom w:type="dxa" w:w="80"/>
              <w:right w:type="dxa" w:w="120"/>
            </w:tcMar>
          </w:tcPr>
          <w:p>
            <w:pPr>
              <w:jc w:val="center"/>
            </w:pPr>
            <w:r>
              <w:rPr>
                <w:b w:val="false"/>
                <w:bCs w:val="false"/>
                <w:color w:val="1A1A1A"/>
                <w:sz w:val="19"/>
                <w:szCs w:val="19"/>
              </w:rPr>
              <w:t xml:space="preserve">Inscrire les 500 premiers membres (données + cartes)</w:t>
            </w:r>
          </w:p>
        </w:tc>
        <w:tc>
          <w:tcPr>
            <w:tcMar>
              <w:top w:type="dxa" w:w="80"/>
              <w:left w:type="dxa" w:w="120"/>
              <w:bottom w:type="dxa" w:w="80"/>
              <w:right w:type="dxa" w:w="120"/>
            </w:tcMar>
          </w:tcPr>
          <w:p>
            <w:pPr>
              <w:jc w:val="center"/>
            </w:pPr>
            <w:r>
              <w:rPr>
                <w:b w:val="false"/>
                <w:bCs w:val="false"/>
                <w:color w:val="1A1A1A"/>
                <w:sz w:val="19"/>
                <w:szCs w:val="19"/>
              </w:rPr>
              <w:t xml:space="preserve">Terrain</w:t>
            </w:r>
          </w:p>
        </w:tc>
        <w:tc>
          <w:tcPr>
            <w:tcMar>
              <w:top w:type="dxa" w:w="80"/>
              <w:left w:type="dxa" w:w="120"/>
              <w:bottom w:type="dxa" w:w="80"/>
              <w:right w:type="dxa" w:w="120"/>
            </w:tcMar>
          </w:tcPr>
          <w:p>
            <w:pPr>
              <w:jc w:val="center"/>
            </w:pPr>
            <w:r>
              <w:rPr>
                <w:b w:val="false"/>
                <w:bCs w:val="false"/>
                <w:color w:val="1A1A1A"/>
                <w:sz w:val="19"/>
                <w:szCs w:val="19"/>
              </w:rPr>
              <w:t xml:space="preserve">500 membres actifs</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S7–S8</w:t>
            </w:r>
          </w:p>
        </w:tc>
        <w:tc>
          <w:tcPr>
            <w:tcMar>
              <w:top w:type="dxa" w:w="80"/>
              <w:left w:type="dxa" w:w="120"/>
              <w:bottom w:type="dxa" w:w="80"/>
              <w:right w:type="dxa" w:w="120"/>
            </w:tcMar>
          </w:tcPr>
          <w:p>
            <w:pPr>
              <w:jc w:val="center"/>
            </w:pPr>
            <w:r>
              <w:rPr>
                <w:b w:val="false"/>
                <w:bCs w:val="false"/>
                <w:color w:val="1A1A1A"/>
                <w:sz w:val="19"/>
                <w:szCs w:val="19"/>
              </w:rPr>
              <w:t xml:space="preserve">Première collecte de cotisation Orange Money</w:t>
            </w:r>
          </w:p>
        </w:tc>
        <w:tc>
          <w:tcPr>
            <w:tcMar>
              <w:top w:type="dxa" w:w="80"/>
              <w:left w:type="dxa" w:w="120"/>
              <w:bottom w:type="dxa" w:w="80"/>
              <w:right w:type="dxa" w:w="120"/>
            </w:tcMar>
          </w:tcPr>
          <w:p>
            <w:pPr>
              <w:jc w:val="center"/>
            </w:pPr>
            <w:r>
              <w:rPr>
                <w:b w:val="false"/>
                <w:bCs w:val="false"/>
                <w:color w:val="1A1A1A"/>
                <w:sz w:val="19"/>
                <w:szCs w:val="19"/>
              </w:rPr>
              <w:t xml:space="preserve">Product</w:t>
            </w:r>
          </w:p>
        </w:tc>
        <w:tc>
          <w:tcPr>
            <w:tcMar>
              <w:top w:type="dxa" w:w="80"/>
              <w:left w:type="dxa" w:w="120"/>
              <w:bottom w:type="dxa" w:w="80"/>
              <w:right w:type="dxa" w:w="120"/>
            </w:tcMar>
          </w:tcPr>
          <w:p>
            <w:pPr>
              <w:jc w:val="center"/>
            </w:pPr>
            <w:r>
              <w:rPr>
                <w:b w:val="false"/>
                <w:bCs w:val="false"/>
                <w:color w:val="1A1A1A"/>
                <w:sz w:val="19"/>
                <w:szCs w:val="19"/>
              </w:rPr>
              <w:t xml:space="preserve">1 paiement réel confirmé</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S9–S10</w:t>
            </w:r>
          </w:p>
        </w:tc>
        <w:tc>
          <w:tcPr>
            <w:tcMar>
              <w:top w:type="dxa" w:w="80"/>
              <w:left w:type="dxa" w:w="120"/>
              <w:bottom w:type="dxa" w:w="80"/>
              <w:right w:type="dxa" w:w="120"/>
            </w:tcMar>
          </w:tcPr>
          <w:p>
            <w:pPr>
              <w:jc w:val="center"/>
            </w:pPr>
            <w:r>
              <w:rPr>
                <w:b w:val="false"/>
                <w:bCs w:val="false"/>
                <w:color w:val="1A1A1A"/>
                <w:sz w:val="19"/>
                <w:szCs w:val="19"/>
              </w:rPr>
              <w:t xml:space="preserve">Dashboard KPIs opérationnel (CEO view)</w:t>
            </w:r>
          </w:p>
        </w:tc>
        <w:tc>
          <w:tcPr>
            <w:tcMar>
              <w:top w:type="dxa" w:w="80"/>
              <w:left w:type="dxa" w:w="120"/>
              <w:bottom w:type="dxa" w:w="80"/>
              <w:right w:type="dxa" w:w="120"/>
            </w:tcMar>
          </w:tcPr>
          <w:p>
            <w:pPr>
              <w:jc w:val="center"/>
            </w:pPr>
            <w:r>
              <w:rPr>
                <w:b w:val="false"/>
                <w:bCs w:val="false"/>
                <w:color w:val="1A1A1A"/>
                <w:sz w:val="19"/>
                <w:szCs w:val="19"/>
              </w:rPr>
              <w:t xml:space="preserve">CTO</w:t>
            </w:r>
          </w:p>
        </w:tc>
        <w:tc>
          <w:tcPr>
            <w:tcMar>
              <w:top w:type="dxa" w:w="80"/>
              <w:left w:type="dxa" w:w="120"/>
              <w:bottom w:type="dxa" w:w="80"/>
              <w:right w:type="dxa" w:w="120"/>
            </w:tcMar>
          </w:tcPr>
          <w:p>
            <w:pPr>
              <w:jc w:val="center"/>
            </w:pPr>
            <w:r>
              <w:rPr>
                <w:b w:val="false"/>
                <w:bCs w:val="false"/>
                <w:color w:val="1A1A1A"/>
                <w:sz w:val="19"/>
                <w:szCs w:val="19"/>
              </w:rPr>
              <w:t xml:space="preserve">Dashboard live</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S11–S12</w:t>
            </w:r>
          </w:p>
        </w:tc>
        <w:tc>
          <w:tcPr>
            <w:tcMar>
              <w:top w:type="dxa" w:w="80"/>
              <w:left w:type="dxa" w:w="120"/>
              <w:bottom w:type="dxa" w:w="80"/>
              <w:right w:type="dxa" w:w="120"/>
            </w:tcMar>
          </w:tcPr>
          <w:p>
            <w:pPr>
              <w:jc w:val="center"/>
            </w:pPr>
            <w:r>
              <w:rPr>
                <w:b w:val="false"/>
                <w:bCs w:val="false"/>
                <w:color w:val="1A1A1A"/>
                <w:sz w:val="19"/>
                <w:szCs w:val="19"/>
              </w:rPr>
              <w:t xml:space="preserve">Revue pilote + ajustements + dossier investisseur</w:t>
            </w:r>
          </w:p>
        </w:tc>
        <w:tc>
          <w:tcPr>
            <w:tcMar>
              <w:top w:type="dxa" w:w="80"/>
              <w:left w:type="dxa" w:w="120"/>
              <w:bottom w:type="dxa" w:w="80"/>
              <w:right w:type="dxa" w:w="120"/>
            </w:tcMar>
          </w:tcPr>
          <w:p>
            <w:pPr>
              <w:jc w:val="center"/>
            </w:pPr>
            <w:r>
              <w:rPr>
                <w:b w:val="false"/>
                <w:bCs w:val="false"/>
                <w:color w:val="1A1A1A"/>
                <w:sz w:val="19"/>
                <w:szCs w:val="19"/>
              </w:rPr>
              <w:t xml:space="preserve">CEO</w:t>
            </w:r>
          </w:p>
        </w:tc>
        <w:tc>
          <w:tcPr>
            <w:tcMar>
              <w:top w:type="dxa" w:w="80"/>
              <w:left w:type="dxa" w:w="120"/>
              <w:bottom w:type="dxa" w:w="80"/>
              <w:right w:type="dxa" w:w="120"/>
            </w:tcMar>
          </w:tcPr>
          <w:p>
            <w:pPr>
              <w:jc w:val="center"/>
            </w:pPr>
            <w:r>
              <w:rPr>
                <w:b w:val="false"/>
                <w:bCs w:val="false"/>
                <w:color w:val="1A1A1A"/>
                <w:sz w:val="19"/>
                <w:szCs w:val="19"/>
              </w:rPr>
              <w:t xml:space="preserve">Deck Seed finalisé</w:t>
            </w:r>
          </w:p>
        </w:tc>
      </w:tr>
    </w:tbl>
    <w:p>
      <w:pPr>
        <w:pStyle w:val="Heading2"/>
        <w:spacing w:after="180" w:before="360"/>
      </w:pPr>
      <w:r>
        <w:t xml:space="preserve">6.2 Jalons 12 mois</w:t>
      </w:r>
    </w:p>
    <w:p>
      <w:pPr>
        <w:pStyle w:val="ListParagraph"/>
        <w:numPr>
          <w:ilvl w:val="0"/>
          <w:numId w:val="1"/>
        </w:numPr>
        <w:spacing w:after="60" w:before="60"/>
      </w:pPr>
      <w:r>
        <w:rPr>
          <w:color w:val="1A1A1A"/>
          <w:sz w:val="21"/>
          <w:szCs w:val="21"/>
        </w:rPr>
        <w:t xml:space="preserve">M3 : 3 coopératives en production, 500 membres</w:t>
      </w:r>
    </w:p>
    <w:p>
      <w:pPr>
        <w:pStyle w:val="ListParagraph"/>
        <w:numPr>
          <w:ilvl w:val="0"/>
          <w:numId w:val="1"/>
        </w:numPr>
        <w:spacing w:after="60" w:before="60"/>
      </w:pPr>
      <w:r>
        <w:rPr>
          <w:color w:val="1A1A1A"/>
          <w:sz w:val="21"/>
          <w:szCs w:val="21"/>
        </w:rPr>
        <w:t xml:space="preserve">M6 : 10 coopératives, 3 000 membres, ARR 15 K USD</w:t>
      </w:r>
    </w:p>
    <w:p>
      <w:pPr>
        <w:pStyle w:val="ListParagraph"/>
        <w:numPr>
          <w:ilvl w:val="0"/>
          <w:numId w:val="1"/>
        </w:numPr>
        <w:spacing w:after="60" w:before="60"/>
      </w:pPr>
      <w:r>
        <w:rPr>
          <w:color w:val="1A1A1A"/>
          <w:sz w:val="21"/>
          <w:szCs w:val="21"/>
        </w:rPr>
        <w:t xml:space="preserve">M9 : Seed levé (500 K USD), équipe 8 personnes</w:t>
      </w:r>
    </w:p>
    <w:p>
      <w:pPr>
        <w:pStyle w:val="ListParagraph"/>
        <w:numPr>
          <w:ilvl w:val="0"/>
          <w:numId w:val="1"/>
        </w:numPr>
        <w:spacing w:after="60" w:before="60"/>
      </w:pPr>
      <w:r>
        <w:rPr>
          <w:color w:val="1A1A1A"/>
          <w:sz w:val="21"/>
          <w:szCs w:val="21"/>
        </w:rPr>
        <w:t xml:space="preserve">M12 : 15 coopératives, 5 000 membres, matchmaking lancé, ARR 45 K USD</w:t>
      </w:r>
    </w:p>
    <w:p>
      <w:pPr>
        <w:pStyle w:val="Heading2"/>
        <w:spacing w:after="180" w:before="360"/>
      </w:pPr>
      <w:r>
        <w:t xml:space="preserve">6.3 Plan de recrutement 36 mois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5E20" w:val="solid"/>
            <w:tcMar>
              <w:top w:type="dxa" w:w="80"/>
              <w:left w:type="dxa" w:w="120"/>
              <w:bottom w:type="dxa" w:w="80"/>
              <w:right w:type="dxa" w:w="120"/>
            </w:tcMar>
          </w:tcPr>
          <w:p>
            <w:pPr>
              <w:jc w:val="left"/>
            </w:pPr>
            <w:r>
              <w:rPr>
                <w:b/>
                <w:bCs/>
                <w:color w:val="FFFFFF"/>
                <w:sz w:val="20"/>
                <w:szCs w:val="20"/>
              </w:rPr>
              <w:t xml:space="preserve">Profil</w:t>
            </w:r>
          </w:p>
        </w:tc>
        <w:tc>
          <w:tcPr>
            <w:shd w:fill="1B5E20" w:val="solid"/>
            <w:tcMar>
              <w:top w:type="dxa" w:w="80"/>
              <w:left w:type="dxa" w:w="120"/>
              <w:bottom w:type="dxa" w:w="80"/>
              <w:right w:type="dxa" w:w="120"/>
            </w:tcMar>
          </w:tcPr>
          <w:p>
            <w:pPr>
              <w:jc w:val="center"/>
            </w:pPr>
            <w:r>
              <w:rPr>
                <w:b/>
                <w:bCs/>
                <w:color w:val="FFFFFF"/>
                <w:sz w:val="20"/>
                <w:szCs w:val="20"/>
              </w:rPr>
              <w:t xml:space="preserve">Timing</w:t>
            </w:r>
          </w:p>
        </w:tc>
        <w:tc>
          <w:tcPr>
            <w:shd w:fill="1B5E20" w:val="solid"/>
            <w:tcMar>
              <w:top w:type="dxa" w:w="80"/>
              <w:left w:type="dxa" w:w="120"/>
              <w:bottom w:type="dxa" w:w="80"/>
              <w:right w:type="dxa" w:w="120"/>
            </w:tcMar>
          </w:tcPr>
          <w:p>
            <w:pPr>
              <w:jc w:val="center"/>
            </w:pPr>
            <w:r>
              <w:rPr>
                <w:b/>
                <w:bCs/>
                <w:color w:val="FFFFFF"/>
                <w:sz w:val="20"/>
                <w:szCs w:val="20"/>
              </w:rPr>
              <w:t xml:space="preserve">Priorité</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CTO full-stack (Next.js + Supabase)</w:t>
            </w:r>
          </w:p>
        </w:tc>
        <w:tc>
          <w:tcPr>
            <w:tcMar>
              <w:top w:type="dxa" w:w="80"/>
              <w:left w:type="dxa" w:w="120"/>
              <w:bottom w:type="dxa" w:w="80"/>
              <w:right w:type="dxa" w:w="120"/>
            </w:tcMar>
          </w:tcPr>
          <w:p>
            <w:pPr>
              <w:jc w:val="center"/>
            </w:pPr>
            <w:r>
              <w:rPr>
                <w:b w:val="false"/>
                <w:bCs w:val="false"/>
                <w:color w:val="1A1A1A"/>
                <w:sz w:val="19"/>
                <w:szCs w:val="19"/>
              </w:rPr>
              <w:t xml:space="preserve">M1</w:t>
            </w:r>
          </w:p>
        </w:tc>
        <w:tc>
          <w:tcPr>
            <w:tcMar>
              <w:top w:type="dxa" w:w="80"/>
              <w:left w:type="dxa" w:w="120"/>
              <w:bottom w:type="dxa" w:w="80"/>
              <w:right w:type="dxa" w:w="120"/>
            </w:tcMar>
          </w:tcPr>
          <w:p>
            <w:pPr>
              <w:jc w:val="center"/>
            </w:pPr>
            <w:r>
              <w:rPr>
                <w:b w:val="false"/>
                <w:bCs w:val="false"/>
                <w:color w:val="1A1A1A"/>
                <w:sz w:val="19"/>
                <w:szCs w:val="19"/>
              </w:rPr>
              <w:t xml:space="preserve">Critique</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Agent terrain (×3, région Maritime)</w:t>
            </w:r>
          </w:p>
        </w:tc>
        <w:tc>
          <w:tcPr>
            <w:tcMar>
              <w:top w:type="dxa" w:w="80"/>
              <w:left w:type="dxa" w:w="120"/>
              <w:bottom w:type="dxa" w:w="80"/>
              <w:right w:type="dxa" w:w="120"/>
            </w:tcMar>
          </w:tcPr>
          <w:p>
            <w:pPr>
              <w:jc w:val="center"/>
            </w:pPr>
            <w:r>
              <w:rPr>
                <w:b w:val="false"/>
                <w:bCs w:val="false"/>
                <w:color w:val="1A1A1A"/>
                <w:sz w:val="19"/>
                <w:szCs w:val="19"/>
              </w:rPr>
              <w:t xml:space="preserve">M2</w:t>
            </w:r>
          </w:p>
        </w:tc>
        <w:tc>
          <w:tcPr>
            <w:tcMar>
              <w:top w:type="dxa" w:w="80"/>
              <w:left w:type="dxa" w:w="120"/>
              <w:bottom w:type="dxa" w:w="80"/>
              <w:right w:type="dxa" w:w="120"/>
            </w:tcMar>
          </w:tcPr>
          <w:p>
            <w:pPr>
              <w:jc w:val="center"/>
            </w:pPr>
            <w:r>
              <w:rPr>
                <w:b w:val="false"/>
                <w:bCs w:val="false"/>
                <w:color w:val="1A1A1A"/>
                <w:sz w:val="19"/>
                <w:szCs w:val="19"/>
              </w:rPr>
              <w:t xml:space="preserve">Critique</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Product Manager</w:t>
            </w:r>
          </w:p>
        </w:tc>
        <w:tc>
          <w:tcPr>
            <w:tcMar>
              <w:top w:type="dxa" w:w="80"/>
              <w:left w:type="dxa" w:w="120"/>
              <w:bottom w:type="dxa" w:w="80"/>
              <w:right w:type="dxa" w:w="120"/>
            </w:tcMar>
          </w:tcPr>
          <w:p>
            <w:pPr>
              <w:jc w:val="center"/>
            </w:pPr>
            <w:r>
              <w:rPr>
                <w:b w:val="false"/>
                <w:bCs w:val="false"/>
                <w:color w:val="1A1A1A"/>
                <w:sz w:val="19"/>
                <w:szCs w:val="19"/>
              </w:rPr>
              <w:t xml:space="preserve">M4</w:t>
            </w:r>
          </w:p>
        </w:tc>
        <w:tc>
          <w:tcPr>
            <w:tcMar>
              <w:top w:type="dxa" w:w="80"/>
              <w:left w:type="dxa" w:w="120"/>
              <w:bottom w:type="dxa" w:w="80"/>
              <w:right w:type="dxa" w:w="120"/>
            </w:tcMar>
          </w:tcPr>
          <w:p>
            <w:pPr>
              <w:jc w:val="center"/>
            </w:pPr>
            <w:r>
              <w:rPr>
                <w:b w:val="false"/>
                <w:bCs w:val="false"/>
                <w:color w:val="1A1A1A"/>
                <w:sz w:val="19"/>
                <w:szCs w:val="19"/>
              </w:rPr>
              <w:t xml:space="preserve">Haute</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Commercial B2B (acheteurs)</w:t>
            </w:r>
          </w:p>
        </w:tc>
        <w:tc>
          <w:tcPr>
            <w:tcMar>
              <w:top w:type="dxa" w:w="80"/>
              <w:left w:type="dxa" w:w="120"/>
              <w:bottom w:type="dxa" w:w="80"/>
              <w:right w:type="dxa" w:w="120"/>
            </w:tcMar>
          </w:tcPr>
          <w:p>
            <w:pPr>
              <w:jc w:val="center"/>
            </w:pPr>
            <w:r>
              <w:rPr>
                <w:b w:val="false"/>
                <w:bCs w:val="false"/>
                <w:color w:val="1A1A1A"/>
                <w:sz w:val="19"/>
                <w:szCs w:val="19"/>
              </w:rPr>
              <w:t xml:space="preserve">M6</w:t>
            </w:r>
          </w:p>
        </w:tc>
        <w:tc>
          <w:tcPr>
            <w:tcMar>
              <w:top w:type="dxa" w:w="80"/>
              <w:left w:type="dxa" w:w="120"/>
              <w:bottom w:type="dxa" w:w="80"/>
              <w:right w:type="dxa" w:w="120"/>
            </w:tcMar>
          </w:tcPr>
          <w:p>
            <w:pPr>
              <w:jc w:val="center"/>
            </w:pPr>
            <w:r>
              <w:rPr>
                <w:b w:val="false"/>
                <w:bCs w:val="false"/>
                <w:color w:val="1A1A1A"/>
                <w:sz w:val="19"/>
                <w:szCs w:val="19"/>
              </w:rPr>
              <w:t xml:space="preserve">Haute</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Data Analyst / IA</w:t>
            </w:r>
          </w:p>
        </w:tc>
        <w:tc>
          <w:tcPr>
            <w:tcMar>
              <w:top w:type="dxa" w:w="80"/>
              <w:left w:type="dxa" w:w="120"/>
              <w:bottom w:type="dxa" w:w="80"/>
              <w:right w:type="dxa" w:w="120"/>
            </w:tcMar>
          </w:tcPr>
          <w:p>
            <w:pPr>
              <w:jc w:val="center"/>
            </w:pPr>
            <w:r>
              <w:rPr>
                <w:b w:val="false"/>
                <w:bCs w:val="false"/>
                <w:color w:val="1A1A1A"/>
                <w:sz w:val="19"/>
                <w:szCs w:val="19"/>
              </w:rPr>
              <w:t xml:space="preserve">M9</w:t>
            </w:r>
          </w:p>
        </w:tc>
        <w:tc>
          <w:tcPr>
            <w:tcMar>
              <w:top w:type="dxa" w:w="80"/>
              <w:left w:type="dxa" w:w="120"/>
              <w:bottom w:type="dxa" w:w="80"/>
              <w:right w:type="dxa" w:w="120"/>
            </w:tcMar>
          </w:tcPr>
          <w:p>
            <w:pPr>
              <w:jc w:val="center"/>
            </w:pPr>
            <w:r>
              <w:rPr>
                <w:b w:val="false"/>
                <w:bCs w:val="false"/>
                <w:color w:val="1A1A1A"/>
                <w:sz w:val="19"/>
                <w:szCs w:val="19"/>
              </w:rPr>
              <w:t xml:space="preserve">Moyenne</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Country Manager Ghana</w:t>
            </w:r>
          </w:p>
        </w:tc>
        <w:tc>
          <w:tcPr>
            <w:tcMar>
              <w:top w:type="dxa" w:w="80"/>
              <w:left w:type="dxa" w:w="120"/>
              <w:bottom w:type="dxa" w:w="80"/>
              <w:right w:type="dxa" w:w="120"/>
            </w:tcMar>
          </w:tcPr>
          <w:p>
            <w:pPr>
              <w:jc w:val="center"/>
            </w:pPr>
            <w:r>
              <w:rPr>
                <w:b w:val="false"/>
                <w:bCs w:val="false"/>
                <w:color w:val="1A1A1A"/>
                <w:sz w:val="19"/>
                <w:szCs w:val="19"/>
              </w:rPr>
              <w:t xml:space="preserve">M24</w:t>
            </w:r>
          </w:p>
        </w:tc>
        <w:tc>
          <w:tcPr>
            <w:tcMar>
              <w:top w:type="dxa" w:w="80"/>
              <w:left w:type="dxa" w:w="120"/>
              <w:bottom w:type="dxa" w:w="80"/>
              <w:right w:type="dxa" w:w="120"/>
            </w:tcMar>
          </w:tcPr>
          <w:p>
            <w:pPr>
              <w:jc w:val="center"/>
            </w:pPr>
            <w:r>
              <w:rPr>
                <w:b w:val="false"/>
                <w:bCs w:val="false"/>
                <w:color w:val="1A1A1A"/>
                <w:sz w:val="19"/>
                <w:szCs w:val="19"/>
              </w:rPr>
              <w:t xml:space="preserve">Expansion</w:t>
            </w:r>
          </w:p>
        </w:tc>
      </w:tr>
    </w:tbl>
    <w:p>
      <w:r>
        <w:br w:type="page"/>
      </w:r>
    </w:p>
    <w:p>
      <w:pPr>
        <w:spacing w:after="300" w:before="600"/>
      </w:pPr>
      <w:r>
        <w:rPr>
          <w:b/>
          <w:bCs/>
          <w:color w:val="B8860B"/>
          <w:sz w:val="32"/>
          <w:szCs w:val="32"/>
        </w:rPr>
        <w:t xml:space="preserve">VII. </w:t>
      </w:r>
      <w:r>
        <w:rPr>
          <w:b/>
          <w:bCs/>
          <w:color w:val="1B5E20"/>
          <w:sz w:val="32"/>
          <w:szCs w:val="32"/>
        </w:rPr>
        <w:t xml:space="preserve">CARTOGRAPHIE DES POUVOIRS</w:t>
      </w:r>
    </w:p>
    <w:p>
      <w:pPr>
        <w:pStyle w:val="Heading2"/>
        <w:spacing w:after="180" w:before="360"/>
      </w:pPr>
      <w:r>
        <w:t xml:space="preserve">7.1 Matrice Influence × Intérêt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5E20" w:val="solid"/>
            <w:tcMar>
              <w:top w:type="dxa" w:w="80"/>
              <w:left w:type="dxa" w:w="120"/>
              <w:bottom w:type="dxa" w:w="80"/>
              <w:right w:type="dxa" w:w="120"/>
            </w:tcMar>
          </w:tcPr>
          <w:p>
            <w:pPr>
              <w:jc w:val="left"/>
            </w:pPr>
            <w:r>
              <w:rPr>
                <w:b/>
                <w:bCs/>
                <w:color w:val="FFFFFF"/>
                <w:sz w:val="20"/>
                <w:szCs w:val="20"/>
              </w:rPr>
              <w:t xml:space="preserve">Acteur</w:t>
            </w:r>
          </w:p>
        </w:tc>
        <w:tc>
          <w:tcPr>
            <w:shd w:fill="1B5E20" w:val="solid"/>
            <w:tcMar>
              <w:top w:type="dxa" w:w="80"/>
              <w:left w:type="dxa" w:w="120"/>
              <w:bottom w:type="dxa" w:w="80"/>
              <w:right w:type="dxa" w:w="120"/>
            </w:tcMar>
          </w:tcPr>
          <w:p>
            <w:pPr>
              <w:jc w:val="center"/>
            </w:pPr>
            <w:r>
              <w:rPr>
                <w:b/>
                <w:bCs/>
                <w:color w:val="FFFFFF"/>
                <w:sz w:val="20"/>
                <w:szCs w:val="20"/>
              </w:rPr>
              <w:t xml:space="preserve">Influence</w:t>
            </w:r>
          </w:p>
        </w:tc>
        <w:tc>
          <w:tcPr>
            <w:shd w:fill="1B5E20" w:val="solid"/>
            <w:tcMar>
              <w:top w:type="dxa" w:w="80"/>
              <w:left w:type="dxa" w:w="120"/>
              <w:bottom w:type="dxa" w:w="80"/>
              <w:right w:type="dxa" w:w="120"/>
            </w:tcMar>
          </w:tcPr>
          <w:p>
            <w:pPr>
              <w:jc w:val="center"/>
            </w:pPr>
            <w:r>
              <w:rPr>
                <w:b/>
                <w:bCs/>
                <w:color w:val="FFFFFF"/>
                <w:sz w:val="20"/>
                <w:szCs w:val="20"/>
              </w:rPr>
              <w:t xml:space="preserve">Intérêt</w:t>
            </w:r>
          </w:p>
        </w:tc>
        <w:tc>
          <w:tcPr>
            <w:shd w:fill="1B5E20" w:val="solid"/>
            <w:tcMar>
              <w:top w:type="dxa" w:w="80"/>
              <w:left w:type="dxa" w:w="120"/>
              <w:bottom w:type="dxa" w:w="80"/>
              <w:right w:type="dxa" w:w="120"/>
            </w:tcMar>
          </w:tcPr>
          <w:p>
            <w:pPr>
              <w:jc w:val="center"/>
            </w:pPr>
            <w:r>
              <w:rPr>
                <w:b/>
                <w:bCs/>
                <w:color w:val="FFFFFF"/>
                <w:sz w:val="20"/>
                <w:szCs w:val="20"/>
              </w:rPr>
              <w:t xml:space="preserve">Stratégie</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MAEDR</w:t>
            </w:r>
          </w:p>
        </w:tc>
        <w:tc>
          <w:tcPr>
            <w:tcMar>
              <w:top w:type="dxa" w:w="80"/>
              <w:left w:type="dxa" w:w="120"/>
              <w:bottom w:type="dxa" w:w="80"/>
              <w:right w:type="dxa" w:w="120"/>
            </w:tcMar>
          </w:tcPr>
          <w:p>
            <w:pPr>
              <w:jc w:val="center"/>
            </w:pPr>
            <w:r>
              <w:rPr>
                <w:b w:val="false"/>
                <w:bCs w:val="false"/>
                <w:color w:val="1A1A1A"/>
                <w:sz w:val="19"/>
                <w:szCs w:val="19"/>
              </w:rPr>
              <w:t xml:space="preserve">Très haute</w:t>
            </w:r>
          </w:p>
        </w:tc>
        <w:tc>
          <w:tcPr>
            <w:tcMar>
              <w:top w:type="dxa" w:w="80"/>
              <w:left w:type="dxa" w:w="120"/>
              <w:bottom w:type="dxa" w:w="80"/>
              <w:right w:type="dxa" w:w="120"/>
            </w:tcMar>
          </w:tcPr>
          <w:p>
            <w:pPr>
              <w:jc w:val="center"/>
            </w:pPr>
            <w:r>
              <w:rPr>
                <w:b w:val="false"/>
                <w:bCs w:val="false"/>
                <w:color w:val="1A1A1A"/>
                <w:sz w:val="19"/>
                <w:szCs w:val="19"/>
              </w:rPr>
              <w:t xml:space="preserve">Moyen → Élevé</w:t>
            </w:r>
          </w:p>
        </w:tc>
        <w:tc>
          <w:tcPr>
            <w:tcMar>
              <w:top w:type="dxa" w:w="80"/>
              <w:left w:type="dxa" w:w="120"/>
              <w:bottom w:type="dxa" w:w="80"/>
              <w:right w:type="dxa" w:w="120"/>
            </w:tcMar>
          </w:tcPr>
          <w:p>
            <w:pPr>
              <w:jc w:val="center"/>
            </w:pPr>
            <w:r>
              <w:rPr>
                <w:b w:val="false"/>
                <w:bCs w:val="false"/>
                <w:color w:val="1A1A1A"/>
                <w:sz w:val="19"/>
                <w:szCs w:val="19"/>
              </w:rPr>
              <w:t xml:space="preserve">Briefings réguliers, protocole d'accord</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CNCA (banque agri)</w:t>
            </w:r>
          </w:p>
        </w:tc>
        <w:tc>
          <w:tcPr>
            <w:tcMar>
              <w:top w:type="dxa" w:w="80"/>
              <w:left w:type="dxa" w:w="120"/>
              <w:bottom w:type="dxa" w:w="80"/>
              <w:right w:type="dxa" w:w="120"/>
            </w:tcMar>
          </w:tcPr>
          <w:p>
            <w:pPr>
              <w:jc w:val="center"/>
            </w:pPr>
            <w:r>
              <w:rPr>
                <w:b w:val="false"/>
                <w:bCs w:val="false"/>
                <w:color w:val="1A1A1A"/>
                <w:sz w:val="19"/>
                <w:szCs w:val="19"/>
              </w:rPr>
              <w:t xml:space="preserve">Haute</w:t>
            </w:r>
          </w:p>
        </w:tc>
        <w:tc>
          <w:tcPr>
            <w:tcMar>
              <w:top w:type="dxa" w:w="80"/>
              <w:left w:type="dxa" w:w="120"/>
              <w:bottom w:type="dxa" w:w="80"/>
              <w:right w:type="dxa" w:w="120"/>
            </w:tcMar>
          </w:tcPr>
          <w:p>
            <w:pPr>
              <w:jc w:val="center"/>
            </w:pPr>
            <w:r>
              <w:rPr>
                <w:b w:val="false"/>
                <w:bCs w:val="false"/>
                <w:color w:val="1A1A1A"/>
                <w:sz w:val="19"/>
                <w:szCs w:val="19"/>
              </w:rPr>
              <w:t xml:space="preserve">Élevé</w:t>
            </w:r>
          </w:p>
        </w:tc>
        <w:tc>
          <w:tcPr>
            <w:tcMar>
              <w:top w:type="dxa" w:w="80"/>
              <w:left w:type="dxa" w:w="120"/>
              <w:bottom w:type="dxa" w:w="80"/>
              <w:right w:type="dxa" w:w="120"/>
            </w:tcMar>
          </w:tcPr>
          <w:p>
            <w:pPr>
              <w:jc w:val="center"/>
            </w:pPr>
            <w:r>
              <w:rPr>
                <w:b w:val="false"/>
                <w:bCs w:val="false"/>
                <w:color w:val="1A1A1A"/>
                <w:sz w:val="19"/>
                <w:szCs w:val="19"/>
              </w:rPr>
              <w:t xml:space="preserve">Intégrer le score ATS comme KYC</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FENAB</w:t>
            </w:r>
          </w:p>
        </w:tc>
        <w:tc>
          <w:tcPr>
            <w:tcMar>
              <w:top w:type="dxa" w:w="80"/>
              <w:left w:type="dxa" w:w="120"/>
              <w:bottom w:type="dxa" w:w="80"/>
              <w:right w:type="dxa" w:w="120"/>
            </w:tcMar>
          </w:tcPr>
          <w:p>
            <w:pPr>
              <w:jc w:val="center"/>
            </w:pPr>
            <w:r>
              <w:rPr>
                <w:b w:val="false"/>
                <w:bCs w:val="false"/>
                <w:color w:val="1A1A1A"/>
                <w:sz w:val="19"/>
                <w:szCs w:val="19"/>
              </w:rPr>
              <w:t xml:space="preserve">Haute</w:t>
            </w:r>
          </w:p>
        </w:tc>
        <w:tc>
          <w:tcPr>
            <w:tcMar>
              <w:top w:type="dxa" w:w="80"/>
              <w:left w:type="dxa" w:w="120"/>
              <w:bottom w:type="dxa" w:w="80"/>
              <w:right w:type="dxa" w:w="120"/>
            </w:tcMar>
          </w:tcPr>
          <w:p>
            <w:pPr>
              <w:jc w:val="center"/>
            </w:pPr>
            <w:r>
              <w:rPr>
                <w:b w:val="false"/>
                <w:bCs w:val="false"/>
                <w:color w:val="1A1A1A"/>
                <w:sz w:val="19"/>
                <w:szCs w:val="19"/>
              </w:rPr>
              <w:t xml:space="preserve">Très élevé</w:t>
            </w:r>
          </w:p>
        </w:tc>
        <w:tc>
          <w:tcPr>
            <w:tcMar>
              <w:top w:type="dxa" w:w="80"/>
              <w:left w:type="dxa" w:w="120"/>
              <w:bottom w:type="dxa" w:w="80"/>
              <w:right w:type="dxa" w:w="120"/>
            </w:tcMar>
          </w:tcPr>
          <w:p>
            <w:pPr>
              <w:jc w:val="center"/>
            </w:pPr>
            <w:r>
              <w:rPr>
                <w:b w:val="false"/>
                <w:bCs w:val="false"/>
                <w:color w:val="1A1A1A"/>
                <w:sz w:val="19"/>
                <w:szCs w:val="19"/>
              </w:rPr>
              <w:t xml:space="preserve">Co-créer avec eux, les positionner comme champions</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Orange Togo</w:t>
            </w:r>
          </w:p>
        </w:tc>
        <w:tc>
          <w:tcPr>
            <w:tcMar>
              <w:top w:type="dxa" w:w="80"/>
              <w:left w:type="dxa" w:w="120"/>
              <w:bottom w:type="dxa" w:w="80"/>
              <w:right w:type="dxa" w:w="120"/>
            </w:tcMar>
          </w:tcPr>
          <w:p>
            <w:pPr>
              <w:jc w:val="center"/>
            </w:pPr>
            <w:r>
              <w:rPr>
                <w:b w:val="false"/>
                <w:bCs w:val="false"/>
                <w:color w:val="1A1A1A"/>
                <w:sz w:val="19"/>
                <w:szCs w:val="19"/>
              </w:rPr>
              <w:t xml:space="preserve">Haute</w:t>
            </w:r>
          </w:p>
        </w:tc>
        <w:tc>
          <w:tcPr>
            <w:tcMar>
              <w:top w:type="dxa" w:w="80"/>
              <w:left w:type="dxa" w:w="120"/>
              <w:bottom w:type="dxa" w:w="80"/>
              <w:right w:type="dxa" w:w="120"/>
            </w:tcMar>
          </w:tcPr>
          <w:p>
            <w:pPr>
              <w:jc w:val="center"/>
            </w:pPr>
            <w:r>
              <w:rPr>
                <w:b w:val="false"/>
                <w:bCs w:val="false"/>
                <w:color w:val="1A1A1A"/>
                <w:sz w:val="19"/>
                <w:szCs w:val="19"/>
              </w:rPr>
              <w:t xml:space="preserve">Élevé</w:t>
            </w:r>
          </w:p>
        </w:tc>
        <w:tc>
          <w:tcPr>
            <w:tcMar>
              <w:top w:type="dxa" w:w="80"/>
              <w:left w:type="dxa" w:w="120"/>
              <w:bottom w:type="dxa" w:w="80"/>
              <w:right w:type="dxa" w:w="120"/>
            </w:tcMar>
          </w:tcPr>
          <w:p>
            <w:pPr>
              <w:jc w:val="center"/>
            </w:pPr>
            <w:r>
              <w:rPr>
                <w:b w:val="false"/>
                <w:bCs w:val="false"/>
                <w:color w:val="1A1A1A"/>
                <w:sz w:val="19"/>
                <w:szCs w:val="19"/>
              </w:rPr>
              <w:t xml:space="preserve">Partenariat API Mobile Money exclusif Y1</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Banque Mondiale</w:t>
            </w:r>
          </w:p>
        </w:tc>
        <w:tc>
          <w:tcPr>
            <w:tcMar>
              <w:top w:type="dxa" w:w="80"/>
              <w:left w:type="dxa" w:w="120"/>
              <w:bottom w:type="dxa" w:w="80"/>
              <w:right w:type="dxa" w:w="120"/>
            </w:tcMar>
          </w:tcPr>
          <w:p>
            <w:pPr>
              <w:jc w:val="center"/>
            </w:pPr>
            <w:r>
              <w:rPr>
                <w:b w:val="false"/>
                <w:bCs w:val="false"/>
                <w:color w:val="1A1A1A"/>
                <w:sz w:val="19"/>
                <w:szCs w:val="19"/>
              </w:rPr>
              <w:t xml:space="preserve">Très haute</w:t>
            </w:r>
          </w:p>
        </w:tc>
        <w:tc>
          <w:tcPr>
            <w:tcMar>
              <w:top w:type="dxa" w:w="80"/>
              <w:left w:type="dxa" w:w="120"/>
              <w:bottom w:type="dxa" w:w="80"/>
              <w:right w:type="dxa" w:w="120"/>
            </w:tcMar>
          </w:tcPr>
          <w:p>
            <w:pPr>
              <w:jc w:val="center"/>
            </w:pPr>
            <w:r>
              <w:rPr>
                <w:b w:val="false"/>
                <w:bCs w:val="false"/>
                <w:color w:val="1A1A1A"/>
                <w:sz w:val="19"/>
                <w:szCs w:val="19"/>
              </w:rPr>
              <w:t xml:space="preserve">Moyen</w:t>
            </w:r>
          </w:p>
        </w:tc>
        <w:tc>
          <w:tcPr>
            <w:tcMar>
              <w:top w:type="dxa" w:w="80"/>
              <w:left w:type="dxa" w:w="120"/>
              <w:bottom w:type="dxa" w:w="80"/>
              <w:right w:type="dxa" w:w="120"/>
            </w:tcMar>
          </w:tcPr>
          <w:p>
            <w:pPr>
              <w:jc w:val="center"/>
            </w:pPr>
            <w:r>
              <w:rPr>
                <w:b w:val="false"/>
                <w:bCs w:val="false"/>
                <w:color w:val="1A1A1A"/>
                <w:sz w:val="19"/>
                <w:szCs w:val="19"/>
              </w:rPr>
              <w:t xml:space="preserve">Documenter l'impact, rapport semestriel</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IFAD</w:t>
            </w:r>
          </w:p>
        </w:tc>
        <w:tc>
          <w:tcPr>
            <w:tcMar>
              <w:top w:type="dxa" w:w="80"/>
              <w:left w:type="dxa" w:w="120"/>
              <w:bottom w:type="dxa" w:w="80"/>
              <w:right w:type="dxa" w:w="120"/>
            </w:tcMar>
          </w:tcPr>
          <w:p>
            <w:pPr>
              <w:jc w:val="center"/>
            </w:pPr>
            <w:r>
              <w:rPr>
                <w:b w:val="false"/>
                <w:bCs w:val="false"/>
                <w:color w:val="1A1A1A"/>
                <w:sz w:val="19"/>
                <w:szCs w:val="19"/>
              </w:rPr>
              <w:t xml:space="preserve">Haute</w:t>
            </w:r>
          </w:p>
        </w:tc>
        <w:tc>
          <w:tcPr>
            <w:tcMar>
              <w:top w:type="dxa" w:w="80"/>
              <w:left w:type="dxa" w:w="120"/>
              <w:bottom w:type="dxa" w:w="80"/>
              <w:right w:type="dxa" w:w="120"/>
            </w:tcMar>
          </w:tcPr>
          <w:p>
            <w:pPr>
              <w:jc w:val="center"/>
            </w:pPr>
            <w:r>
              <w:rPr>
                <w:b w:val="false"/>
                <w:bCs w:val="false"/>
                <w:color w:val="1A1A1A"/>
                <w:sz w:val="19"/>
                <w:szCs w:val="19"/>
              </w:rPr>
              <w:t xml:space="preserve">Élevé</w:t>
            </w:r>
          </w:p>
        </w:tc>
        <w:tc>
          <w:tcPr>
            <w:tcMar>
              <w:top w:type="dxa" w:w="80"/>
              <w:left w:type="dxa" w:w="120"/>
              <w:bottom w:type="dxa" w:w="80"/>
              <w:right w:type="dxa" w:w="120"/>
            </w:tcMar>
          </w:tcPr>
          <w:p>
            <w:pPr>
              <w:jc w:val="center"/>
            </w:pPr>
            <w:r>
              <w:rPr>
                <w:b w:val="false"/>
                <w:bCs w:val="false"/>
                <w:color w:val="1A1A1A"/>
                <w:sz w:val="19"/>
                <w:szCs w:val="19"/>
              </w:rPr>
              <w:t xml:space="preserve">Dossier grant Q4 2026</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FAO Togo</w:t>
            </w:r>
          </w:p>
        </w:tc>
        <w:tc>
          <w:tcPr>
            <w:tcMar>
              <w:top w:type="dxa" w:w="80"/>
              <w:left w:type="dxa" w:w="120"/>
              <w:bottom w:type="dxa" w:w="80"/>
              <w:right w:type="dxa" w:w="120"/>
            </w:tcMar>
          </w:tcPr>
          <w:p>
            <w:pPr>
              <w:jc w:val="center"/>
            </w:pPr>
            <w:r>
              <w:rPr>
                <w:b w:val="false"/>
                <w:bCs w:val="false"/>
                <w:color w:val="1A1A1A"/>
                <w:sz w:val="19"/>
                <w:szCs w:val="19"/>
              </w:rPr>
              <w:t xml:space="preserve">Moyenne</w:t>
            </w:r>
          </w:p>
        </w:tc>
        <w:tc>
          <w:tcPr>
            <w:tcMar>
              <w:top w:type="dxa" w:w="80"/>
              <w:left w:type="dxa" w:w="120"/>
              <w:bottom w:type="dxa" w:w="80"/>
              <w:right w:type="dxa" w:w="120"/>
            </w:tcMar>
          </w:tcPr>
          <w:p>
            <w:pPr>
              <w:jc w:val="center"/>
            </w:pPr>
            <w:r>
              <w:rPr>
                <w:b w:val="false"/>
                <w:bCs w:val="false"/>
                <w:color w:val="1A1A1A"/>
                <w:sz w:val="19"/>
                <w:szCs w:val="19"/>
              </w:rPr>
              <w:t xml:space="preserve">Élevé</w:t>
            </w:r>
          </w:p>
        </w:tc>
        <w:tc>
          <w:tcPr>
            <w:tcMar>
              <w:top w:type="dxa" w:w="80"/>
              <w:left w:type="dxa" w:w="120"/>
              <w:bottom w:type="dxa" w:w="80"/>
              <w:right w:type="dxa" w:w="120"/>
            </w:tcMar>
          </w:tcPr>
          <w:p>
            <w:pPr>
              <w:jc w:val="center"/>
            </w:pPr>
            <w:r>
              <w:rPr>
                <w:b w:val="false"/>
                <w:bCs w:val="false"/>
                <w:color w:val="1A1A1A"/>
                <w:sz w:val="19"/>
                <w:szCs w:val="19"/>
              </w:rPr>
              <w:t xml:space="preserve">Pilote conjoint sur fiches techniques</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Union Européenne</w:t>
            </w:r>
          </w:p>
        </w:tc>
        <w:tc>
          <w:tcPr>
            <w:tcMar>
              <w:top w:type="dxa" w:w="80"/>
              <w:left w:type="dxa" w:w="120"/>
              <w:bottom w:type="dxa" w:w="80"/>
              <w:right w:type="dxa" w:w="120"/>
            </w:tcMar>
          </w:tcPr>
          <w:p>
            <w:pPr>
              <w:jc w:val="center"/>
            </w:pPr>
            <w:r>
              <w:rPr>
                <w:b w:val="false"/>
                <w:bCs w:val="false"/>
                <w:color w:val="1A1A1A"/>
                <w:sz w:val="19"/>
                <w:szCs w:val="19"/>
              </w:rPr>
              <w:t xml:space="preserve">Moyenne</w:t>
            </w:r>
          </w:p>
        </w:tc>
        <w:tc>
          <w:tcPr>
            <w:tcMar>
              <w:top w:type="dxa" w:w="80"/>
              <w:left w:type="dxa" w:w="120"/>
              <w:bottom w:type="dxa" w:w="80"/>
              <w:right w:type="dxa" w:w="120"/>
            </w:tcMar>
          </w:tcPr>
          <w:p>
            <w:pPr>
              <w:jc w:val="center"/>
            </w:pPr>
            <w:r>
              <w:rPr>
                <w:b w:val="false"/>
                <w:bCs w:val="false"/>
                <w:color w:val="1A1A1A"/>
                <w:sz w:val="19"/>
                <w:szCs w:val="19"/>
              </w:rPr>
              <w:t xml:space="preserve">Moyen</w:t>
            </w:r>
          </w:p>
        </w:tc>
        <w:tc>
          <w:tcPr>
            <w:tcMar>
              <w:top w:type="dxa" w:w="80"/>
              <w:left w:type="dxa" w:w="120"/>
              <w:bottom w:type="dxa" w:w="80"/>
              <w:right w:type="dxa" w:w="120"/>
            </w:tcMar>
          </w:tcPr>
          <w:p>
            <w:pPr>
              <w:jc w:val="center"/>
            </w:pPr>
            <w:r>
              <w:rPr>
                <w:b w:val="false"/>
                <w:bCs w:val="false"/>
                <w:color w:val="1A1A1A"/>
                <w:sz w:val="19"/>
                <w:szCs w:val="19"/>
              </w:rPr>
              <w:t xml:space="preserve">Appels à projets digitalisation rurale</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Acheteurs locaux</w:t>
            </w:r>
          </w:p>
        </w:tc>
        <w:tc>
          <w:tcPr>
            <w:tcMar>
              <w:top w:type="dxa" w:w="80"/>
              <w:left w:type="dxa" w:w="120"/>
              <w:bottom w:type="dxa" w:w="80"/>
              <w:right w:type="dxa" w:w="120"/>
            </w:tcMar>
          </w:tcPr>
          <w:p>
            <w:pPr>
              <w:jc w:val="center"/>
            </w:pPr>
            <w:r>
              <w:rPr>
                <w:b w:val="false"/>
                <w:bCs w:val="false"/>
                <w:color w:val="1A1A1A"/>
                <w:sz w:val="19"/>
                <w:szCs w:val="19"/>
              </w:rPr>
              <w:t xml:space="preserve">Moyenne</w:t>
            </w:r>
          </w:p>
        </w:tc>
        <w:tc>
          <w:tcPr>
            <w:tcMar>
              <w:top w:type="dxa" w:w="80"/>
              <w:left w:type="dxa" w:w="120"/>
              <w:bottom w:type="dxa" w:w="80"/>
              <w:right w:type="dxa" w:w="120"/>
            </w:tcMar>
          </w:tcPr>
          <w:p>
            <w:pPr>
              <w:jc w:val="center"/>
            </w:pPr>
            <w:r>
              <w:rPr>
                <w:b w:val="false"/>
                <w:bCs w:val="false"/>
                <w:color w:val="1A1A1A"/>
                <w:sz w:val="19"/>
                <w:szCs w:val="19"/>
              </w:rPr>
              <w:t xml:space="preserve">Très élevé</w:t>
            </w:r>
          </w:p>
        </w:tc>
        <w:tc>
          <w:tcPr>
            <w:tcMar>
              <w:top w:type="dxa" w:w="80"/>
              <w:left w:type="dxa" w:w="120"/>
              <w:bottom w:type="dxa" w:w="80"/>
              <w:right w:type="dxa" w:w="120"/>
            </w:tcMar>
          </w:tcPr>
          <w:p>
            <w:pPr>
              <w:jc w:val="center"/>
            </w:pPr>
            <w:r>
              <w:rPr>
                <w:b w:val="false"/>
                <w:bCs w:val="false"/>
                <w:color w:val="1A1A1A"/>
                <w:sz w:val="19"/>
                <w:szCs w:val="19"/>
              </w:rPr>
              <w:t xml:space="preserve">Onboarding prioritaire Y1</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Exportateurs</w:t>
            </w:r>
          </w:p>
        </w:tc>
        <w:tc>
          <w:tcPr>
            <w:tcMar>
              <w:top w:type="dxa" w:w="80"/>
              <w:left w:type="dxa" w:w="120"/>
              <w:bottom w:type="dxa" w:w="80"/>
              <w:right w:type="dxa" w:w="120"/>
            </w:tcMar>
          </w:tcPr>
          <w:p>
            <w:pPr>
              <w:jc w:val="center"/>
            </w:pPr>
            <w:r>
              <w:rPr>
                <w:b w:val="false"/>
                <w:bCs w:val="false"/>
                <w:color w:val="1A1A1A"/>
                <w:sz w:val="19"/>
                <w:szCs w:val="19"/>
              </w:rPr>
              <w:t xml:space="preserve">Moyenne</w:t>
            </w:r>
          </w:p>
        </w:tc>
        <w:tc>
          <w:tcPr>
            <w:tcMar>
              <w:top w:type="dxa" w:w="80"/>
              <w:left w:type="dxa" w:w="120"/>
              <w:bottom w:type="dxa" w:w="80"/>
              <w:right w:type="dxa" w:w="120"/>
            </w:tcMar>
          </w:tcPr>
          <w:p>
            <w:pPr>
              <w:jc w:val="center"/>
            </w:pPr>
            <w:r>
              <w:rPr>
                <w:b w:val="false"/>
                <w:bCs w:val="false"/>
                <w:color w:val="1A1A1A"/>
                <w:sz w:val="19"/>
                <w:szCs w:val="19"/>
              </w:rPr>
              <w:t xml:space="preserve">Élevé</w:t>
            </w:r>
          </w:p>
        </w:tc>
        <w:tc>
          <w:tcPr>
            <w:tcMar>
              <w:top w:type="dxa" w:w="80"/>
              <w:left w:type="dxa" w:w="120"/>
              <w:bottom w:type="dxa" w:w="80"/>
              <w:right w:type="dxa" w:w="120"/>
            </w:tcMar>
          </w:tcPr>
          <w:p>
            <w:pPr>
              <w:jc w:val="center"/>
            </w:pPr>
            <w:r>
              <w:rPr>
                <w:b w:val="false"/>
                <w:bCs w:val="false"/>
                <w:color w:val="1A1A1A"/>
                <w:sz w:val="19"/>
                <w:szCs w:val="19"/>
              </w:rPr>
              <w:t xml:space="preserve">Programme certif + traçabilité Y2</w:t>
            </w:r>
          </w:p>
        </w:tc>
      </w:tr>
    </w:tbl>
    <w:p>
      <w:pPr>
        <w:pStyle w:val="Heading2"/>
        <w:spacing w:after="180" w:before="360"/>
      </w:pPr>
      <w:r>
        <w:t xml:space="preserve">7.2 Risques politiques et mitigation</w:t>
      </w:r>
    </w:p>
    <w:p>
      <w:pPr>
        <w:pStyle w:val="ListParagraph"/>
        <w:numPr>
          <w:ilvl w:val="0"/>
          <w:numId w:val="1"/>
        </w:numPr>
        <w:spacing w:after="60" w:before="60"/>
      </w:pPr>
      <w:r>
        <w:rPr>
          <w:color w:val="1A1A1A"/>
          <w:sz w:val="21"/>
          <w:szCs w:val="21"/>
        </w:rPr>
        <w:t xml:space="preserve">Risque : changement de gouvernement → stratégie multi-partis, ancrage institutionnel FENAB</w:t>
      </w:r>
    </w:p>
    <w:p>
      <w:pPr>
        <w:pStyle w:val="ListParagraph"/>
        <w:numPr>
          <w:ilvl w:val="0"/>
          <w:numId w:val="1"/>
        </w:numPr>
        <w:spacing w:after="60" w:before="60"/>
      </w:pPr>
      <w:r>
        <w:rPr>
          <w:color w:val="1A1A1A"/>
          <w:sz w:val="21"/>
          <w:szCs w:val="21"/>
        </w:rPr>
        <w:t xml:space="preserve">Risque : réglementation Mobile Money restrictive → diversifier vers TMoney/Moov dès disponible</w:t>
      </w:r>
    </w:p>
    <w:p>
      <w:pPr>
        <w:pStyle w:val="ListParagraph"/>
        <w:numPr>
          <w:ilvl w:val="0"/>
          <w:numId w:val="1"/>
        </w:numPr>
        <w:spacing w:after="60" w:before="60"/>
      </w:pPr>
      <w:r>
        <w:rPr>
          <w:color w:val="1A1A1A"/>
          <w:sz w:val="21"/>
          <w:szCs w:val="21"/>
        </w:rPr>
        <w:t xml:space="preserve">Risque : ONG concurrente subventionnée → avantage compétitif prix + intégration verticale</w:t>
      </w:r>
    </w:p>
    <w:p>
      <w:r>
        <w:br w:type="page"/>
      </w:r>
    </w:p>
    <w:p>
      <w:pPr>
        <w:spacing w:after="300" w:before="600"/>
      </w:pPr>
      <w:r>
        <w:rPr>
          <w:b/>
          <w:bCs/>
          <w:color w:val="B8860B"/>
          <w:sz w:val="32"/>
          <w:szCs w:val="32"/>
        </w:rPr>
        <w:t xml:space="preserve">VIII. </w:t>
      </w:r>
      <w:r>
        <w:rPr>
          <w:b/>
          <w:bCs/>
          <w:color w:val="1B5E20"/>
          <w:sz w:val="32"/>
          <w:szCs w:val="32"/>
        </w:rPr>
        <w:t xml:space="preserve">STRATÉGIE DE FINANCEMENT</w:t>
      </w:r>
    </w:p>
    <w:p>
      <w:pPr>
        <w:pStyle w:val="Heading2"/>
        <w:spacing w:after="180" w:before="360"/>
      </w:pPr>
      <w:r>
        <w:t xml:space="preserve">8.1 Mix de financement optimal</w:t>
      </w:r>
    </w:p>
    <w:p>
      <w:pPr>
        <w:spacing w:after="80" w:before="80"/>
        <w:jc w:val="both"/>
      </w:pPr>
      <w:r>
        <w:rPr>
          <w:color w:val="1A1A1A"/>
          <w:sz w:val="22"/>
          <w:szCs w:val="22"/>
        </w:rPr>
        <w:t xml:space="preserve">FaîtiereHub adopte une stratégie de financement hybride combinant capitaux risque impact, subventions non-dilutives et revenus récurrents précoces.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5E20" w:val="solid"/>
            <w:tcMar>
              <w:top w:type="dxa" w:w="80"/>
              <w:left w:type="dxa" w:w="120"/>
              <w:bottom w:type="dxa" w:w="80"/>
              <w:right w:type="dxa" w:w="120"/>
            </w:tcMar>
          </w:tcPr>
          <w:p>
            <w:pPr>
              <w:jc w:val="left"/>
            </w:pPr>
            <w:r>
              <w:rPr>
                <w:b/>
                <w:bCs/>
                <w:color w:val="FFFFFF"/>
                <w:sz w:val="20"/>
                <w:szCs w:val="20"/>
              </w:rPr>
              <w:t xml:space="preserve">Source</w:t>
            </w:r>
          </w:p>
        </w:tc>
        <w:tc>
          <w:tcPr>
            <w:shd w:fill="1B5E20" w:val="solid"/>
            <w:tcMar>
              <w:top w:type="dxa" w:w="80"/>
              <w:left w:type="dxa" w:w="120"/>
              <w:bottom w:type="dxa" w:w="80"/>
              <w:right w:type="dxa" w:w="120"/>
            </w:tcMar>
          </w:tcPr>
          <w:p>
            <w:pPr>
              <w:jc w:val="center"/>
            </w:pPr>
            <w:r>
              <w:rPr>
                <w:b/>
                <w:bCs/>
                <w:color w:val="FFFFFF"/>
                <w:sz w:val="20"/>
                <w:szCs w:val="20"/>
              </w:rPr>
              <w:t xml:space="preserve">Montant total</w:t>
            </w:r>
          </w:p>
        </w:tc>
        <w:tc>
          <w:tcPr>
            <w:shd w:fill="1B5E20" w:val="solid"/>
            <w:tcMar>
              <w:top w:type="dxa" w:w="80"/>
              <w:left w:type="dxa" w:w="120"/>
              <w:bottom w:type="dxa" w:w="80"/>
              <w:right w:type="dxa" w:w="120"/>
            </w:tcMar>
          </w:tcPr>
          <w:p>
            <w:pPr>
              <w:jc w:val="center"/>
            </w:pPr>
            <w:r>
              <w:rPr>
                <w:b/>
                <w:bCs/>
                <w:color w:val="FFFFFF"/>
                <w:sz w:val="20"/>
                <w:szCs w:val="20"/>
              </w:rPr>
              <w:t xml:space="preserve">Dilution</w:t>
            </w:r>
          </w:p>
        </w:tc>
        <w:tc>
          <w:tcPr>
            <w:shd w:fill="1B5E20" w:val="solid"/>
            <w:tcMar>
              <w:top w:type="dxa" w:w="80"/>
              <w:left w:type="dxa" w:w="120"/>
              <w:bottom w:type="dxa" w:w="80"/>
              <w:right w:type="dxa" w:w="120"/>
            </w:tcMar>
          </w:tcPr>
          <w:p>
            <w:pPr>
              <w:jc w:val="center"/>
            </w:pPr>
            <w:r>
              <w:rPr>
                <w:b/>
                <w:bCs/>
                <w:color w:val="FFFFFF"/>
                <w:sz w:val="20"/>
                <w:szCs w:val="20"/>
              </w:rPr>
              <w:t xml:space="preserve">Timing</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Pré-seed (fondateurs)</w:t>
            </w:r>
          </w:p>
        </w:tc>
        <w:tc>
          <w:tcPr>
            <w:tcMar>
              <w:top w:type="dxa" w:w="80"/>
              <w:left w:type="dxa" w:w="120"/>
              <w:bottom w:type="dxa" w:w="80"/>
              <w:right w:type="dxa" w:w="120"/>
            </w:tcMar>
          </w:tcPr>
          <w:p>
            <w:pPr>
              <w:jc w:val="center"/>
            </w:pPr>
            <w:r>
              <w:rPr>
                <w:b w:val="false"/>
                <w:bCs w:val="false"/>
                <w:color w:val="1A1A1A"/>
                <w:sz w:val="19"/>
                <w:szCs w:val="19"/>
              </w:rPr>
              <w:t xml:space="preserve">150 K USD</w:t>
            </w:r>
          </w:p>
        </w:tc>
        <w:tc>
          <w:tcPr>
            <w:tcMar>
              <w:top w:type="dxa" w:w="80"/>
              <w:left w:type="dxa" w:w="120"/>
              <w:bottom w:type="dxa" w:w="80"/>
              <w:right w:type="dxa" w:w="120"/>
            </w:tcMar>
          </w:tcPr>
          <w:p>
            <w:pPr>
              <w:jc w:val="center"/>
            </w:pPr>
            <w:r>
              <w:rPr>
                <w:b w:val="false"/>
                <w:bCs w:val="false"/>
                <w:color w:val="1A1A1A"/>
                <w:sz w:val="19"/>
                <w:szCs w:val="19"/>
              </w:rPr>
              <w:t xml:space="preserve">20 %</w:t>
            </w:r>
          </w:p>
        </w:tc>
        <w:tc>
          <w:tcPr>
            <w:tcMar>
              <w:top w:type="dxa" w:w="80"/>
              <w:left w:type="dxa" w:w="120"/>
              <w:bottom w:type="dxa" w:w="80"/>
              <w:right w:type="dxa" w:w="120"/>
            </w:tcMar>
          </w:tcPr>
          <w:p>
            <w:pPr>
              <w:jc w:val="center"/>
            </w:pPr>
            <w:r>
              <w:rPr>
                <w:b w:val="false"/>
                <w:bCs w:val="false"/>
                <w:color w:val="1A1A1A"/>
                <w:sz w:val="19"/>
                <w:szCs w:val="19"/>
              </w:rPr>
              <w:t xml:space="preserve">Fait</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Seed VC impact</w:t>
            </w:r>
          </w:p>
        </w:tc>
        <w:tc>
          <w:tcPr>
            <w:tcMar>
              <w:top w:type="dxa" w:w="80"/>
              <w:left w:type="dxa" w:w="120"/>
              <w:bottom w:type="dxa" w:w="80"/>
              <w:right w:type="dxa" w:w="120"/>
            </w:tcMar>
          </w:tcPr>
          <w:p>
            <w:pPr>
              <w:jc w:val="center"/>
            </w:pPr>
            <w:r>
              <w:rPr>
                <w:b w:val="false"/>
                <w:bCs w:val="false"/>
                <w:color w:val="1A1A1A"/>
                <w:sz w:val="19"/>
                <w:szCs w:val="19"/>
              </w:rPr>
              <w:t xml:space="preserve">500 K USD</w:t>
            </w:r>
          </w:p>
        </w:tc>
        <w:tc>
          <w:tcPr>
            <w:tcMar>
              <w:top w:type="dxa" w:w="80"/>
              <w:left w:type="dxa" w:w="120"/>
              <w:bottom w:type="dxa" w:w="80"/>
              <w:right w:type="dxa" w:w="120"/>
            </w:tcMar>
          </w:tcPr>
          <w:p>
            <w:pPr>
              <w:jc w:val="center"/>
            </w:pPr>
            <w:r>
              <w:rPr>
                <w:b w:val="false"/>
                <w:bCs w:val="false"/>
                <w:color w:val="1A1A1A"/>
                <w:sz w:val="19"/>
                <w:szCs w:val="19"/>
              </w:rPr>
              <w:t xml:space="preserve">20 %</w:t>
            </w:r>
          </w:p>
        </w:tc>
        <w:tc>
          <w:tcPr>
            <w:tcMar>
              <w:top w:type="dxa" w:w="80"/>
              <w:left w:type="dxa" w:w="120"/>
              <w:bottom w:type="dxa" w:w="80"/>
              <w:right w:type="dxa" w:w="120"/>
            </w:tcMar>
          </w:tcPr>
          <w:p>
            <w:pPr>
              <w:jc w:val="center"/>
            </w:pPr>
            <w:r>
              <w:rPr>
                <w:b w:val="false"/>
                <w:bCs w:val="false"/>
                <w:color w:val="1A1A1A"/>
                <w:sz w:val="19"/>
                <w:szCs w:val="19"/>
              </w:rPr>
              <w:t xml:space="preserve">Q4 2026</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Grants IFAD/FAO/AFD</w:t>
            </w:r>
          </w:p>
        </w:tc>
        <w:tc>
          <w:tcPr>
            <w:tcMar>
              <w:top w:type="dxa" w:w="80"/>
              <w:left w:type="dxa" w:w="120"/>
              <w:bottom w:type="dxa" w:w="80"/>
              <w:right w:type="dxa" w:w="120"/>
            </w:tcMar>
          </w:tcPr>
          <w:p>
            <w:pPr>
              <w:jc w:val="center"/>
            </w:pPr>
            <w:r>
              <w:rPr>
                <w:b w:val="false"/>
                <w:bCs w:val="false"/>
                <w:color w:val="1A1A1A"/>
                <w:sz w:val="19"/>
                <w:szCs w:val="19"/>
              </w:rPr>
              <w:t xml:space="preserve">300 K USD</w:t>
            </w:r>
          </w:p>
        </w:tc>
        <w:tc>
          <w:tcPr>
            <w:tcMar>
              <w:top w:type="dxa" w:w="80"/>
              <w:left w:type="dxa" w:w="120"/>
              <w:bottom w:type="dxa" w:w="80"/>
              <w:right w:type="dxa" w:w="120"/>
            </w:tcMar>
          </w:tcPr>
          <w:p>
            <w:pPr>
              <w:jc w:val="center"/>
            </w:pPr>
            <w:r>
              <w:rPr>
                <w:b w:val="false"/>
                <w:bCs w:val="false"/>
                <w:color w:val="1A1A1A"/>
                <w:sz w:val="19"/>
                <w:szCs w:val="19"/>
              </w:rPr>
              <w:t xml:space="preserve">0 %</w:t>
            </w:r>
          </w:p>
        </w:tc>
        <w:tc>
          <w:tcPr>
            <w:tcMar>
              <w:top w:type="dxa" w:w="80"/>
              <w:left w:type="dxa" w:w="120"/>
              <w:bottom w:type="dxa" w:w="80"/>
              <w:right w:type="dxa" w:w="120"/>
            </w:tcMar>
          </w:tcPr>
          <w:p>
            <w:pPr>
              <w:jc w:val="center"/>
            </w:pPr>
            <w:r>
              <w:rPr>
                <w:b w:val="false"/>
                <w:bCs w:val="false"/>
                <w:color w:val="1A1A1A"/>
                <w:sz w:val="19"/>
                <w:szCs w:val="19"/>
              </w:rPr>
              <w:t xml:space="preserve">2027–2028</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Revenu ARR réinvesti</w:t>
            </w:r>
          </w:p>
        </w:tc>
        <w:tc>
          <w:tcPr>
            <w:tcMar>
              <w:top w:type="dxa" w:w="80"/>
              <w:left w:type="dxa" w:w="120"/>
              <w:bottom w:type="dxa" w:w="80"/>
              <w:right w:type="dxa" w:w="120"/>
            </w:tcMar>
          </w:tcPr>
          <w:p>
            <w:pPr>
              <w:jc w:val="center"/>
            </w:pPr>
            <w:r>
              <w:rPr>
                <w:b w:val="false"/>
                <w:bCs w:val="false"/>
                <w:color w:val="1A1A1A"/>
                <w:sz w:val="19"/>
                <w:szCs w:val="19"/>
              </w:rPr>
              <w:t xml:space="preserve">500 K USD cumulé</w:t>
            </w:r>
          </w:p>
        </w:tc>
        <w:tc>
          <w:tcPr>
            <w:tcMar>
              <w:top w:type="dxa" w:w="80"/>
              <w:left w:type="dxa" w:w="120"/>
              <w:bottom w:type="dxa" w:w="80"/>
              <w:right w:type="dxa" w:w="120"/>
            </w:tcMar>
          </w:tcPr>
          <w:p>
            <w:pPr>
              <w:jc w:val="center"/>
            </w:pPr>
            <w:r>
              <w:rPr>
                <w:b w:val="false"/>
                <w:bCs w:val="false"/>
                <w:color w:val="1A1A1A"/>
                <w:sz w:val="19"/>
                <w:szCs w:val="19"/>
              </w:rPr>
              <w:t xml:space="preserve">0 %</w:t>
            </w:r>
          </w:p>
        </w:tc>
        <w:tc>
          <w:tcPr>
            <w:tcMar>
              <w:top w:type="dxa" w:w="80"/>
              <w:left w:type="dxa" w:w="120"/>
              <w:bottom w:type="dxa" w:w="80"/>
              <w:right w:type="dxa" w:w="120"/>
            </w:tcMar>
          </w:tcPr>
          <w:p>
            <w:pPr>
              <w:jc w:val="center"/>
            </w:pPr>
            <w:r>
              <w:rPr>
                <w:b w:val="false"/>
                <w:bCs w:val="false"/>
                <w:color w:val="1A1A1A"/>
                <w:sz w:val="19"/>
                <w:szCs w:val="19"/>
              </w:rPr>
              <w:t xml:space="preserve">2027–2029</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Série A VC</w:t>
            </w:r>
          </w:p>
        </w:tc>
        <w:tc>
          <w:tcPr>
            <w:tcMar>
              <w:top w:type="dxa" w:w="80"/>
              <w:left w:type="dxa" w:w="120"/>
              <w:bottom w:type="dxa" w:w="80"/>
              <w:right w:type="dxa" w:w="120"/>
            </w:tcMar>
          </w:tcPr>
          <w:p>
            <w:pPr>
              <w:jc w:val="center"/>
            </w:pPr>
            <w:r>
              <w:rPr>
                <w:b w:val="false"/>
                <w:bCs w:val="false"/>
                <w:color w:val="1A1A1A"/>
                <w:sz w:val="19"/>
                <w:szCs w:val="19"/>
              </w:rPr>
              <w:t xml:space="preserve">2,5 M USD</w:t>
            </w:r>
          </w:p>
        </w:tc>
        <w:tc>
          <w:tcPr>
            <w:tcMar>
              <w:top w:type="dxa" w:w="80"/>
              <w:left w:type="dxa" w:w="120"/>
              <w:bottom w:type="dxa" w:w="80"/>
              <w:right w:type="dxa" w:w="120"/>
            </w:tcMar>
          </w:tcPr>
          <w:p>
            <w:pPr>
              <w:jc w:val="center"/>
            </w:pPr>
            <w:r>
              <w:rPr>
                <w:b w:val="false"/>
                <w:bCs w:val="false"/>
                <w:color w:val="1A1A1A"/>
                <w:sz w:val="19"/>
                <w:szCs w:val="19"/>
              </w:rPr>
              <w:t xml:space="preserve">25 %</w:t>
            </w:r>
          </w:p>
        </w:tc>
        <w:tc>
          <w:tcPr>
            <w:tcMar>
              <w:top w:type="dxa" w:w="80"/>
              <w:left w:type="dxa" w:w="120"/>
              <w:bottom w:type="dxa" w:w="80"/>
              <w:right w:type="dxa" w:w="120"/>
            </w:tcMar>
          </w:tcPr>
          <w:p>
            <w:pPr>
              <w:jc w:val="center"/>
            </w:pPr>
            <w:r>
              <w:rPr>
                <w:b w:val="false"/>
                <w:bCs w:val="false"/>
                <w:color w:val="1A1A1A"/>
                <w:sz w:val="19"/>
                <w:szCs w:val="19"/>
              </w:rPr>
              <w:t xml:space="preserve">2029</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Série B DFIs</w:t>
            </w:r>
          </w:p>
        </w:tc>
        <w:tc>
          <w:tcPr>
            <w:tcMar>
              <w:top w:type="dxa" w:w="80"/>
              <w:left w:type="dxa" w:w="120"/>
              <w:bottom w:type="dxa" w:w="80"/>
              <w:right w:type="dxa" w:w="120"/>
            </w:tcMar>
          </w:tcPr>
          <w:p>
            <w:pPr>
              <w:jc w:val="center"/>
            </w:pPr>
            <w:r>
              <w:rPr>
                <w:b w:val="false"/>
                <w:bCs w:val="false"/>
                <w:color w:val="1A1A1A"/>
                <w:sz w:val="19"/>
                <w:szCs w:val="19"/>
              </w:rPr>
              <w:t xml:space="preserve">8 M USD</w:t>
            </w:r>
          </w:p>
        </w:tc>
        <w:tc>
          <w:tcPr>
            <w:tcMar>
              <w:top w:type="dxa" w:w="80"/>
              <w:left w:type="dxa" w:w="120"/>
              <w:bottom w:type="dxa" w:w="80"/>
              <w:right w:type="dxa" w:w="120"/>
            </w:tcMar>
          </w:tcPr>
          <w:p>
            <w:pPr>
              <w:jc w:val="center"/>
            </w:pPr>
            <w:r>
              <w:rPr>
                <w:b w:val="false"/>
                <w:bCs w:val="false"/>
                <w:color w:val="1A1A1A"/>
                <w:sz w:val="19"/>
                <w:szCs w:val="19"/>
              </w:rPr>
              <w:t xml:space="preserve">20 %</w:t>
            </w:r>
          </w:p>
        </w:tc>
        <w:tc>
          <w:tcPr>
            <w:tcMar>
              <w:top w:type="dxa" w:w="80"/>
              <w:left w:type="dxa" w:w="120"/>
              <w:bottom w:type="dxa" w:w="80"/>
              <w:right w:type="dxa" w:w="120"/>
            </w:tcMar>
          </w:tcPr>
          <w:p>
            <w:pPr>
              <w:jc w:val="center"/>
            </w:pPr>
            <w:r>
              <w:rPr>
                <w:b w:val="false"/>
                <w:bCs w:val="false"/>
                <w:color w:val="1A1A1A"/>
                <w:sz w:val="19"/>
                <w:szCs w:val="19"/>
              </w:rPr>
              <w:t xml:space="preserve">2031</w:t>
            </w:r>
          </w:p>
        </w:tc>
      </w:tr>
    </w:tbl>
    <w:p>
      <w:pPr>
        <w:pStyle w:val="Heading2"/>
        <w:spacing w:after="180" w:before="360"/>
      </w:pPr>
      <w:r>
        <w:t xml:space="preserve">8.2 Investisseurs cibles prioritaires</w:t>
      </w:r>
    </w:p>
    <w:p>
      <w:pPr>
        <w:pStyle w:val="ListParagraph"/>
        <w:numPr>
          <w:ilvl w:val="0"/>
          <w:numId w:val="1"/>
        </w:numPr>
        <w:spacing w:after="60" w:before="60"/>
      </w:pPr>
      <w:r>
        <w:rPr>
          <w:color w:val="1A1A1A"/>
          <w:sz w:val="21"/>
          <w:szCs w:val="21"/>
        </w:rPr>
        <w:t xml:space="preserve">Partech Africa (Dakar) — VC spécialisé tech africaine, ticket 500 K–5 M USD</w:t>
      </w:r>
    </w:p>
    <w:p>
      <w:pPr>
        <w:pStyle w:val="ListParagraph"/>
        <w:numPr>
          <w:ilvl w:val="0"/>
          <w:numId w:val="1"/>
        </w:numPr>
        <w:spacing w:after="60" w:before="60"/>
      </w:pPr>
      <w:r>
        <w:rPr>
          <w:color w:val="1A1A1A"/>
          <w:sz w:val="21"/>
          <w:szCs w:val="21"/>
        </w:rPr>
        <w:t xml:space="preserve">TLcom Capital (Lagos/Nairobi) — impact tech, agriculture</w:t>
      </w:r>
    </w:p>
    <w:p>
      <w:pPr>
        <w:pStyle w:val="ListParagraph"/>
        <w:numPr>
          <w:ilvl w:val="0"/>
          <w:numId w:val="1"/>
        </w:numPr>
        <w:spacing w:after="60" w:before="60"/>
      </w:pPr>
      <w:r>
        <w:rPr>
          <w:color w:val="1A1A1A"/>
          <w:sz w:val="21"/>
          <w:szCs w:val="21"/>
        </w:rPr>
        <w:t xml:space="preserve">Oikocredit (Pays-Bas) — financement coopératives, mission alignée</w:t>
      </w:r>
    </w:p>
    <w:p>
      <w:pPr>
        <w:pStyle w:val="ListParagraph"/>
        <w:numPr>
          <w:ilvl w:val="0"/>
          <w:numId w:val="1"/>
        </w:numPr>
        <w:spacing w:after="60" w:before="60"/>
      </w:pPr>
      <w:r>
        <w:rPr>
          <w:color w:val="1A1A1A"/>
          <w:sz w:val="21"/>
          <w:szCs w:val="21"/>
        </w:rPr>
        <w:t xml:space="preserve">Lundin Foundation — agriculture, Afrique de l'Ouest</w:t>
      </w:r>
    </w:p>
    <w:p>
      <w:pPr>
        <w:pStyle w:val="ListParagraph"/>
        <w:numPr>
          <w:ilvl w:val="0"/>
          <w:numId w:val="1"/>
        </w:numPr>
        <w:spacing w:after="60" w:before="60"/>
      </w:pPr>
      <w:r>
        <w:rPr>
          <w:color w:val="1A1A1A"/>
          <w:sz w:val="21"/>
          <w:szCs w:val="21"/>
        </w:rPr>
        <w:t xml:space="preserve">FNFI Togo — fonds national financement inclusif</w:t>
      </w:r>
    </w:p>
    <w:p>
      <w:pPr>
        <w:pStyle w:val="ListParagraph"/>
        <w:numPr>
          <w:ilvl w:val="0"/>
          <w:numId w:val="1"/>
        </w:numPr>
        <w:spacing w:after="60" w:before="60"/>
      </w:pPr>
      <w:r>
        <w:rPr>
          <w:color w:val="1A1A1A"/>
          <w:sz w:val="21"/>
          <w:szCs w:val="21"/>
        </w:rPr>
        <w:t xml:space="preserve">IFC (World Bank Group) — prêts + equity pour scale</w:t>
      </w:r>
    </w:p>
    <w:p>
      <w:r>
        <w:br w:type="page"/>
      </w:r>
    </w:p>
    <w:p>
      <w:pPr>
        <w:spacing w:after="300" w:before="600"/>
      </w:pPr>
      <w:r>
        <w:rPr>
          <w:b/>
          <w:bCs/>
          <w:color w:val="B8860B"/>
          <w:sz w:val="32"/>
          <w:szCs w:val="32"/>
        </w:rPr>
        <w:t xml:space="preserve">IX. </w:t>
      </w:r>
      <w:r>
        <w:rPr>
          <w:b/>
          <w:bCs/>
          <w:color w:val="1B5E20"/>
          <w:sz w:val="32"/>
          <w:szCs w:val="32"/>
        </w:rPr>
        <w:t xml:space="preserve">PLAN D'EXÉCUTION TERRAIN</w:t>
      </w:r>
    </w:p>
    <w:p>
      <w:pPr>
        <w:pStyle w:val="Heading2"/>
        <w:spacing w:after="180" w:before="360"/>
      </w:pPr>
      <w:r>
        <w:t xml:space="preserve">9.1 Déploiement régional par phases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5E20" w:val="solid"/>
            <w:tcMar>
              <w:top w:type="dxa" w:w="80"/>
              <w:left w:type="dxa" w:w="120"/>
              <w:bottom w:type="dxa" w:w="80"/>
              <w:right w:type="dxa" w:w="120"/>
            </w:tcMar>
          </w:tcPr>
          <w:p>
            <w:pPr>
              <w:jc w:val="left"/>
            </w:pPr>
            <w:r>
              <w:rPr>
                <w:b/>
                <w:bCs/>
                <w:color w:val="FFFFFF"/>
                <w:sz w:val="20"/>
                <w:szCs w:val="20"/>
              </w:rPr>
              <w:t xml:space="preserve">Phase</w:t>
            </w:r>
          </w:p>
        </w:tc>
        <w:tc>
          <w:tcPr>
            <w:shd w:fill="1B5E20" w:val="solid"/>
            <w:tcMar>
              <w:top w:type="dxa" w:w="80"/>
              <w:left w:type="dxa" w:w="120"/>
              <w:bottom w:type="dxa" w:w="80"/>
              <w:right w:type="dxa" w:w="120"/>
            </w:tcMar>
          </w:tcPr>
          <w:p>
            <w:pPr>
              <w:jc w:val="center"/>
            </w:pPr>
            <w:r>
              <w:rPr>
                <w:b/>
                <w:bCs/>
                <w:color w:val="FFFFFF"/>
                <w:sz w:val="20"/>
                <w:szCs w:val="20"/>
              </w:rPr>
              <w:t xml:space="preserve">Région</w:t>
            </w:r>
          </w:p>
        </w:tc>
        <w:tc>
          <w:tcPr>
            <w:shd w:fill="1B5E20" w:val="solid"/>
            <w:tcMar>
              <w:top w:type="dxa" w:w="80"/>
              <w:left w:type="dxa" w:w="120"/>
              <w:bottom w:type="dxa" w:w="80"/>
              <w:right w:type="dxa" w:w="120"/>
            </w:tcMar>
          </w:tcPr>
          <w:p>
            <w:pPr>
              <w:jc w:val="center"/>
            </w:pPr>
            <w:r>
              <w:rPr>
                <w:b/>
                <w:bCs/>
                <w:color w:val="FFFFFF"/>
                <w:sz w:val="20"/>
                <w:szCs w:val="20"/>
              </w:rPr>
              <w:t xml:space="preserve">Période</w:t>
            </w:r>
          </w:p>
        </w:tc>
        <w:tc>
          <w:tcPr>
            <w:shd w:fill="1B5E20" w:val="solid"/>
            <w:tcMar>
              <w:top w:type="dxa" w:w="80"/>
              <w:left w:type="dxa" w:w="120"/>
              <w:bottom w:type="dxa" w:w="80"/>
              <w:right w:type="dxa" w:w="120"/>
            </w:tcMar>
          </w:tcPr>
          <w:p>
            <w:pPr>
              <w:jc w:val="center"/>
            </w:pPr>
            <w:r>
              <w:rPr>
                <w:b/>
                <w:bCs/>
                <w:color w:val="FFFFFF"/>
                <w:sz w:val="20"/>
                <w:szCs w:val="20"/>
              </w:rPr>
              <w:t xml:space="preserve">Coops cibles</w:t>
            </w:r>
          </w:p>
        </w:tc>
        <w:tc>
          <w:tcPr>
            <w:shd w:fill="1B5E20" w:val="solid"/>
            <w:tcMar>
              <w:top w:type="dxa" w:w="80"/>
              <w:left w:type="dxa" w:w="120"/>
              <w:bottom w:type="dxa" w:w="80"/>
              <w:right w:type="dxa" w:w="120"/>
            </w:tcMar>
          </w:tcPr>
          <w:p>
            <w:pPr>
              <w:jc w:val="center"/>
            </w:pPr>
            <w:r>
              <w:rPr>
                <w:b/>
                <w:bCs/>
                <w:color w:val="FFFFFF"/>
                <w:sz w:val="20"/>
                <w:szCs w:val="20"/>
              </w:rPr>
              <w:t xml:space="preserve">Justification</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Phase 1</w:t>
            </w:r>
          </w:p>
        </w:tc>
        <w:tc>
          <w:tcPr>
            <w:tcMar>
              <w:top w:type="dxa" w:w="80"/>
              <w:left w:type="dxa" w:w="120"/>
              <w:bottom w:type="dxa" w:w="80"/>
              <w:right w:type="dxa" w:w="120"/>
            </w:tcMar>
          </w:tcPr>
          <w:p>
            <w:pPr>
              <w:jc w:val="center"/>
            </w:pPr>
            <w:r>
              <w:rPr>
                <w:b w:val="false"/>
                <w:bCs w:val="false"/>
                <w:color w:val="1A1A1A"/>
                <w:sz w:val="19"/>
                <w:szCs w:val="19"/>
              </w:rPr>
              <w:t xml:space="preserve">Maritime (Lomé + périphérie)</w:t>
            </w:r>
          </w:p>
        </w:tc>
        <w:tc>
          <w:tcPr>
            <w:tcMar>
              <w:top w:type="dxa" w:w="80"/>
              <w:left w:type="dxa" w:w="120"/>
              <w:bottom w:type="dxa" w:w="80"/>
              <w:right w:type="dxa" w:w="120"/>
            </w:tcMar>
          </w:tcPr>
          <w:p>
            <w:pPr>
              <w:jc w:val="center"/>
            </w:pPr>
            <w:r>
              <w:rPr>
                <w:b w:val="false"/>
                <w:bCs w:val="false"/>
                <w:color w:val="1A1A1A"/>
                <w:sz w:val="19"/>
                <w:szCs w:val="19"/>
              </w:rPr>
              <w:t xml:space="preserve">Q3–Q4 2026</w:t>
            </w:r>
          </w:p>
        </w:tc>
        <w:tc>
          <w:tcPr>
            <w:tcMar>
              <w:top w:type="dxa" w:w="80"/>
              <w:left w:type="dxa" w:w="120"/>
              <w:bottom w:type="dxa" w:w="80"/>
              <w:right w:type="dxa" w:w="120"/>
            </w:tcMar>
          </w:tcPr>
          <w:p>
            <w:pPr>
              <w:jc w:val="center"/>
            </w:pPr>
            <w:r>
              <w:rPr>
                <w:b w:val="false"/>
                <w:bCs w:val="false"/>
                <w:color w:val="1A1A1A"/>
                <w:sz w:val="19"/>
                <w:szCs w:val="19"/>
              </w:rPr>
              <w:t xml:space="preserve">5 coops</w:t>
            </w:r>
          </w:p>
        </w:tc>
        <w:tc>
          <w:tcPr>
            <w:tcMar>
              <w:top w:type="dxa" w:w="80"/>
              <w:left w:type="dxa" w:w="120"/>
              <w:bottom w:type="dxa" w:w="80"/>
              <w:right w:type="dxa" w:w="120"/>
            </w:tcMar>
          </w:tcPr>
          <w:p>
            <w:pPr>
              <w:jc w:val="center"/>
            </w:pPr>
            <w:r>
              <w:rPr>
                <w:b w:val="false"/>
                <w:bCs w:val="false"/>
                <w:color w:val="1A1A1A"/>
                <w:sz w:val="19"/>
                <w:szCs w:val="19"/>
              </w:rPr>
              <w:t xml:space="preserve">Proximité, connectivité, early adopters</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Phase 2</w:t>
            </w:r>
          </w:p>
        </w:tc>
        <w:tc>
          <w:tcPr>
            <w:tcMar>
              <w:top w:type="dxa" w:w="80"/>
              <w:left w:type="dxa" w:w="120"/>
              <w:bottom w:type="dxa" w:w="80"/>
              <w:right w:type="dxa" w:w="120"/>
            </w:tcMar>
          </w:tcPr>
          <w:p>
            <w:pPr>
              <w:jc w:val="center"/>
            </w:pPr>
            <w:r>
              <w:rPr>
                <w:b w:val="false"/>
                <w:bCs w:val="false"/>
                <w:color w:val="1A1A1A"/>
                <w:sz w:val="19"/>
                <w:szCs w:val="19"/>
              </w:rPr>
              <w:t xml:space="preserve">Plateaux (Kpalimé, Atakpamé)</w:t>
            </w:r>
          </w:p>
        </w:tc>
        <w:tc>
          <w:tcPr>
            <w:tcMar>
              <w:top w:type="dxa" w:w="80"/>
              <w:left w:type="dxa" w:w="120"/>
              <w:bottom w:type="dxa" w:w="80"/>
              <w:right w:type="dxa" w:w="120"/>
            </w:tcMar>
          </w:tcPr>
          <w:p>
            <w:pPr>
              <w:jc w:val="center"/>
            </w:pPr>
            <w:r>
              <w:rPr>
                <w:b w:val="false"/>
                <w:bCs w:val="false"/>
                <w:color w:val="1A1A1A"/>
                <w:sz w:val="19"/>
                <w:szCs w:val="19"/>
              </w:rPr>
              <w:t xml:space="preserve">Q1–Q2 2027</w:t>
            </w:r>
          </w:p>
        </w:tc>
        <w:tc>
          <w:tcPr>
            <w:tcMar>
              <w:top w:type="dxa" w:w="80"/>
              <w:left w:type="dxa" w:w="120"/>
              <w:bottom w:type="dxa" w:w="80"/>
              <w:right w:type="dxa" w:w="120"/>
            </w:tcMar>
          </w:tcPr>
          <w:p>
            <w:pPr>
              <w:jc w:val="center"/>
            </w:pPr>
            <w:r>
              <w:rPr>
                <w:b w:val="false"/>
                <w:bCs w:val="false"/>
                <w:color w:val="1A1A1A"/>
                <w:sz w:val="19"/>
                <w:szCs w:val="19"/>
              </w:rPr>
              <w:t xml:space="preserve">10 coops</w:t>
            </w:r>
          </w:p>
        </w:tc>
        <w:tc>
          <w:tcPr>
            <w:tcMar>
              <w:top w:type="dxa" w:w="80"/>
              <w:left w:type="dxa" w:w="120"/>
              <w:bottom w:type="dxa" w:w="80"/>
              <w:right w:type="dxa" w:w="120"/>
            </w:tcMar>
          </w:tcPr>
          <w:p>
            <w:pPr>
              <w:jc w:val="center"/>
            </w:pPr>
            <w:r>
              <w:rPr>
                <w:b w:val="false"/>
                <w:bCs w:val="false"/>
                <w:color w:val="1A1A1A"/>
                <w:sz w:val="19"/>
                <w:szCs w:val="19"/>
              </w:rPr>
              <w:t xml:space="preserve">Cacao, café — marchés export</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Phase 3</w:t>
            </w:r>
          </w:p>
        </w:tc>
        <w:tc>
          <w:tcPr>
            <w:tcMar>
              <w:top w:type="dxa" w:w="80"/>
              <w:left w:type="dxa" w:w="120"/>
              <w:bottom w:type="dxa" w:w="80"/>
              <w:right w:type="dxa" w:w="120"/>
            </w:tcMar>
          </w:tcPr>
          <w:p>
            <w:pPr>
              <w:jc w:val="center"/>
            </w:pPr>
            <w:r>
              <w:rPr>
                <w:b w:val="false"/>
                <w:bCs w:val="false"/>
                <w:color w:val="1A1A1A"/>
                <w:sz w:val="19"/>
                <w:szCs w:val="19"/>
              </w:rPr>
              <w:t xml:space="preserve">Kara + Centrale</w:t>
            </w:r>
          </w:p>
        </w:tc>
        <w:tc>
          <w:tcPr>
            <w:tcMar>
              <w:top w:type="dxa" w:w="80"/>
              <w:left w:type="dxa" w:w="120"/>
              <w:bottom w:type="dxa" w:w="80"/>
              <w:right w:type="dxa" w:w="120"/>
            </w:tcMar>
          </w:tcPr>
          <w:p>
            <w:pPr>
              <w:jc w:val="center"/>
            </w:pPr>
            <w:r>
              <w:rPr>
                <w:b w:val="false"/>
                <w:bCs w:val="false"/>
                <w:color w:val="1A1A1A"/>
                <w:sz w:val="19"/>
                <w:szCs w:val="19"/>
              </w:rPr>
              <w:t xml:space="preserve">Q3–Q4 2027</w:t>
            </w:r>
          </w:p>
        </w:tc>
        <w:tc>
          <w:tcPr>
            <w:tcMar>
              <w:top w:type="dxa" w:w="80"/>
              <w:left w:type="dxa" w:w="120"/>
              <w:bottom w:type="dxa" w:w="80"/>
              <w:right w:type="dxa" w:w="120"/>
            </w:tcMar>
          </w:tcPr>
          <w:p>
            <w:pPr>
              <w:jc w:val="center"/>
            </w:pPr>
            <w:r>
              <w:rPr>
                <w:b w:val="false"/>
                <w:bCs w:val="false"/>
                <w:color w:val="1A1A1A"/>
                <w:sz w:val="19"/>
                <w:szCs w:val="19"/>
              </w:rPr>
              <w:t xml:space="preserve">10 coops</w:t>
            </w:r>
          </w:p>
        </w:tc>
        <w:tc>
          <w:tcPr>
            <w:tcMar>
              <w:top w:type="dxa" w:w="80"/>
              <w:left w:type="dxa" w:w="120"/>
              <w:bottom w:type="dxa" w:w="80"/>
              <w:right w:type="dxa" w:w="120"/>
            </w:tcMar>
          </w:tcPr>
          <w:p>
            <w:pPr>
              <w:jc w:val="center"/>
            </w:pPr>
            <w:r>
              <w:rPr>
                <w:b w:val="false"/>
                <w:bCs w:val="false"/>
                <w:color w:val="1A1A1A"/>
                <w:sz w:val="19"/>
                <w:szCs w:val="19"/>
              </w:rPr>
              <w:t xml:space="preserve">Coton, maïs — forte densité coops</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Phase 4</w:t>
            </w:r>
          </w:p>
        </w:tc>
        <w:tc>
          <w:tcPr>
            <w:tcMar>
              <w:top w:type="dxa" w:w="80"/>
              <w:left w:type="dxa" w:w="120"/>
              <w:bottom w:type="dxa" w:w="80"/>
              <w:right w:type="dxa" w:w="120"/>
            </w:tcMar>
          </w:tcPr>
          <w:p>
            <w:pPr>
              <w:jc w:val="center"/>
            </w:pPr>
            <w:r>
              <w:rPr>
                <w:b w:val="false"/>
                <w:bCs w:val="false"/>
                <w:color w:val="1A1A1A"/>
                <w:sz w:val="19"/>
                <w:szCs w:val="19"/>
              </w:rPr>
              <w:t xml:space="preserve">Savanes (Dapaong)</w:t>
            </w:r>
          </w:p>
        </w:tc>
        <w:tc>
          <w:tcPr>
            <w:tcMar>
              <w:top w:type="dxa" w:w="80"/>
              <w:left w:type="dxa" w:w="120"/>
              <w:bottom w:type="dxa" w:w="80"/>
              <w:right w:type="dxa" w:w="120"/>
            </w:tcMar>
          </w:tcPr>
          <w:p>
            <w:pPr>
              <w:jc w:val="center"/>
            </w:pPr>
            <w:r>
              <w:rPr>
                <w:b w:val="false"/>
                <w:bCs w:val="false"/>
                <w:color w:val="1A1A1A"/>
                <w:sz w:val="19"/>
                <w:szCs w:val="19"/>
              </w:rPr>
              <w:t xml:space="preserve">Q1–Q2 2028</w:t>
            </w:r>
          </w:p>
        </w:tc>
        <w:tc>
          <w:tcPr>
            <w:tcMar>
              <w:top w:type="dxa" w:w="80"/>
              <w:left w:type="dxa" w:w="120"/>
              <w:bottom w:type="dxa" w:w="80"/>
              <w:right w:type="dxa" w:w="120"/>
            </w:tcMar>
          </w:tcPr>
          <w:p>
            <w:pPr>
              <w:jc w:val="center"/>
            </w:pPr>
            <w:r>
              <w:rPr>
                <w:b w:val="false"/>
                <w:bCs w:val="false"/>
                <w:color w:val="1A1A1A"/>
                <w:sz w:val="19"/>
                <w:szCs w:val="19"/>
              </w:rPr>
              <w:t xml:space="preserve">5 coops</w:t>
            </w:r>
          </w:p>
        </w:tc>
        <w:tc>
          <w:tcPr>
            <w:tcMar>
              <w:top w:type="dxa" w:w="80"/>
              <w:left w:type="dxa" w:w="120"/>
              <w:bottom w:type="dxa" w:w="80"/>
              <w:right w:type="dxa" w:w="120"/>
            </w:tcMar>
          </w:tcPr>
          <w:p>
            <w:pPr>
              <w:jc w:val="center"/>
            </w:pPr>
            <w:r>
              <w:rPr>
                <w:b w:val="false"/>
                <w:bCs w:val="false"/>
                <w:color w:val="1A1A1A"/>
                <w:sz w:val="19"/>
                <w:szCs w:val="19"/>
              </w:rPr>
              <w:t xml:space="preserve">Sésame, mil — zone IFAD</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Phase 5</w:t>
            </w:r>
          </w:p>
        </w:tc>
        <w:tc>
          <w:tcPr>
            <w:tcMar>
              <w:top w:type="dxa" w:w="80"/>
              <w:left w:type="dxa" w:w="120"/>
              <w:bottom w:type="dxa" w:w="80"/>
              <w:right w:type="dxa" w:w="120"/>
            </w:tcMar>
          </w:tcPr>
          <w:p>
            <w:pPr>
              <w:jc w:val="center"/>
            </w:pPr>
            <w:r>
              <w:rPr>
                <w:b w:val="false"/>
                <w:bCs w:val="false"/>
                <w:color w:val="1A1A1A"/>
                <w:sz w:val="19"/>
                <w:szCs w:val="19"/>
              </w:rPr>
              <w:t xml:space="preserve">Saturation nationale</w:t>
            </w:r>
          </w:p>
        </w:tc>
        <w:tc>
          <w:tcPr>
            <w:tcMar>
              <w:top w:type="dxa" w:w="80"/>
              <w:left w:type="dxa" w:w="120"/>
              <w:bottom w:type="dxa" w:w="80"/>
              <w:right w:type="dxa" w:w="120"/>
            </w:tcMar>
          </w:tcPr>
          <w:p>
            <w:pPr>
              <w:jc w:val="center"/>
            </w:pPr>
            <w:r>
              <w:rPr>
                <w:b w:val="false"/>
                <w:bCs w:val="false"/>
                <w:color w:val="1A1A1A"/>
                <w:sz w:val="19"/>
                <w:szCs w:val="19"/>
              </w:rPr>
              <w:t xml:space="preserve">2028–2030</w:t>
            </w:r>
          </w:p>
        </w:tc>
        <w:tc>
          <w:tcPr>
            <w:tcMar>
              <w:top w:type="dxa" w:w="80"/>
              <w:left w:type="dxa" w:w="120"/>
              <w:bottom w:type="dxa" w:w="80"/>
              <w:right w:type="dxa" w:w="120"/>
            </w:tcMar>
          </w:tcPr>
          <w:p>
            <w:pPr>
              <w:jc w:val="center"/>
            </w:pPr>
            <w:r>
              <w:rPr>
                <w:b w:val="false"/>
                <w:bCs w:val="false"/>
                <w:color w:val="1A1A1A"/>
                <w:sz w:val="19"/>
                <w:szCs w:val="19"/>
              </w:rPr>
              <w:t xml:space="preserve">40+ coops</w:t>
            </w:r>
          </w:p>
        </w:tc>
        <w:tc>
          <w:tcPr>
            <w:tcMar>
              <w:top w:type="dxa" w:w="80"/>
              <w:left w:type="dxa" w:w="120"/>
              <w:bottom w:type="dxa" w:w="80"/>
              <w:right w:type="dxa" w:w="120"/>
            </w:tcMar>
          </w:tcPr>
          <w:p>
            <w:pPr>
              <w:jc w:val="center"/>
            </w:pPr>
            <w:r>
              <w:rPr>
                <w:b w:val="false"/>
                <w:bCs w:val="false"/>
                <w:color w:val="1A1A1A"/>
                <w:sz w:val="19"/>
                <w:szCs w:val="19"/>
              </w:rPr>
              <w:t xml:space="preserve">Passage à l'échelle</w:t>
            </w:r>
          </w:p>
        </w:tc>
      </w:tr>
    </w:tbl>
    <w:p>
      <w:pPr>
        <w:pStyle w:val="Heading2"/>
        <w:spacing w:after="180" w:before="360"/>
      </w:pPr>
      <w:r>
        <w:t xml:space="preserve">9.2 Tiers d'adoption des coopératives</w:t>
      </w:r>
    </w:p>
    <w:p>
      <w:pPr>
        <w:pStyle w:val="Heading3"/>
        <w:spacing w:after="120" w:before="240"/>
      </w:pPr>
      <w:r>
        <w:t xml:space="preserve">Tier 1 — Pionnières (0–6 mois)</w:t>
      </w:r>
    </w:p>
    <w:p>
      <w:pPr>
        <w:spacing w:after="80" w:before="80"/>
        <w:jc w:val="both"/>
      </w:pPr>
      <w:r>
        <w:rPr>
          <w:color w:val="1A1A1A"/>
          <w:sz w:val="22"/>
          <w:szCs w:val="22"/>
        </w:rPr>
        <w:t xml:space="preserve">Coopératives avec leadership jeune, smartphone pénétration &gt; 40 %, taille 50–300 membres. Accès gratuit 6 mois, accompagnement intensif, témoignages vidéo.</w:t>
      </w:r>
    </w:p>
    <w:p>
      <w:pPr>
        <w:pStyle w:val="Heading3"/>
        <w:spacing w:after="120" w:before="240"/>
      </w:pPr>
      <w:r>
        <w:t xml:space="preserve">Tier 2 — Early Majority (6–18 mois)</w:t>
      </w:r>
    </w:p>
    <w:p>
      <w:pPr>
        <w:spacing w:after="80" w:before="80"/>
        <w:jc w:val="both"/>
      </w:pPr>
      <w:r>
        <w:rPr>
          <w:color w:val="1A1A1A"/>
          <w:sz w:val="22"/>
          <w:szCs w:val="22"/>
        </w:rPr>
        <w:t xml:space="preserve">Coopératives membres de faîtières nationales (FENAB, FNGPC). Abonnement réduit 50 % an 1. Formation par les Tier 1.</w:t>
      </w:r>
    </w:p>
    <w:p>
      <w:pPr>
        <w:pStyle w:val="Heading3"/>
        <w:spacing w:after="120" w:before="240"/>
      </w:pPr>
      <w:r>
        <w:t xml:space="preserve">Tier 3 — Late Majority (18–36 mois)</w:t>
      </w:r>
    </w:p>
    <w:p>
      <w:pPr>
        <w:spacing w:after="80" w:before="80"/>
        <w:jc w:val="both"/>
      </w:pPr>
      <w:r>
        <w:rPr>
          <w:color w:val="1A1A1A"/>
          <w:sz w:val="22"/>
          <w:szCs w:val="22"/>
        </w:rPr>
        <w:t xml:space="preserve">Coopératives rurales reculées. Accès via agents terrain. Version allégée SMS-first pour zones sans internet.</w:t>
      </w:r>
    </w:p>
    <w:p>
      <w:pPr>
        <w:pStyle w:val="Heading2"/>
        <w:spacing w:after="180" w:before="360"/>
      </w:pPr>
      <w:r>
        <w:t xml:space="preserve">9.3 Acquisition des acheteurs</w:t>
      </w:r>
    </w:p>
    <w:p>
      <w:pPr>
        <w:pStyle w:val="ListParagraph"/>
        <w:numPr>
          <w:ilvl w:val="0"/>
          <w:numId w:val="1"/>
        </w:numPr>
        <w:spacing w:after="60" w:before="60"/>
      </w:pPr>
      <w:r>
        <w:rPr>
          <w:color w:val="1A1A1A"/>
          <w:sz w:val="21"/>
          <w:szCs w:val="21"/>
        </w:rPr>
        <w:t xml:space="preserve">Y1 : 5 grossistes Lomé (céréales, légumes) — démarchage direct</w:t>
      </w:r>
    </w:p>
    <w:p>
      <w:pPr>
        <w:pStyle w:val="ListParagraph"/>
        <w:numPr>
          <w:ilvl w:val="0"/>
          <w:numId w:val="1"/>
        </w:numPr>
        <w:spacing w:after="60" w:before="60"/>
      </w:pPr>
      <w:r>
        <w:rPr>
          <w:color w:val="1A1A1A"/>
          <w:sz w:val="21"/>
          <w:szCs w:val="21"/>
        </w:rPr>
        <w:t xml:space="preserve">Y1 : 2 exportateurs (café/cacao) — via réseau FENAB</w:t>
      </w:r>
    </w:p>
    <w:p>
      <w:pPr>
        <w:pStyle w:val="ListParagraph"/>
        <w:numPr>
          <w:ilvl w:val="0"/>
          <w:numId w:val="1"/>
        </w:numPr>
        <w:spacing w:after="60" w:before="60"/>
      </w:pPr>
      <w:r>
        <w:rPr>
          <w:color w:val="1A1A1A"/>
          <w:sz w:val="21"/>
          <w:szCs w:val="21"/>
        </w:rPr>
        <w:t xml:space="preserve">Y2 : Supermarchés locaux (Hyper U Lomé) — sourcing local certifié</w:t>
      </w:r>
    </w:p>
    <w:p>
      <w:pPr>
        <w:pStyle w:val="ListParagraph"/>
        <w:numPr>
          <w:ilvl w:val="0"/>
          <w:numId w:val="1"/>
        </w:numPr>
        <w:spacing w:after="60" w:before="60"/>
      </w:pPr>
      <w:r>
        <w:rPr>
          <w:color w:val="1A1A1A"/>
          <w:sz w:val="21"/>
          <w:szCs w:val="21"/>
        </w:rPr>
        <w:t xml:space="preserve">Y2 : Plateformes régionales (GreenCart, Twiga) — API integration</w:t>
      </w:r>
    </w:p>
    <w:p>
      <w:pPr>
        <w:pStyle w:val="ListParagraph"/>
        <w:numPr>
          <w:ilvl w:val="0"/>
          <w:numId w:val="1"/>
        </w:numPr>
        <w:spacing w:after="60" w:before="60"/>
      </w:pPr>
      <w:r>
        <w:rPr>
          <w:color w:val="1A1A1A"/>
          <w:sz w:val="21"/>
          <w:szCs w:val="21"/>
        </w:rPr>
        <w:t xml:space="preserve">Y3 : Export UE (certification GlobalG.A.P. via traçabilité FaîtiereHub)</w:t>
      </w:r>
    </w:p>
    <w:p>
      <w:r>
        <w:br w:type="page"/>
      </w:r>
    </w:p>
    <w:p>
      <w:pPr>
        <w:spacing w:after="300" w:before="600"/>
      </w:pPr>
      <w:r>
        <w:rPr>
          <w:b/>
          <w:bCs/>
          <w:color w:val="B8860B"/>
          <w:sz w:val="32"/>
          <w:szCs w:val="32"/>
        </w:rPr>
        <w:t xml:space="preserve">X. </w:t>
      </w:r>
      <w:r>
        <w:rPr>
          <w:b/>
          <w:bCs/>
          <w:color w:val="1B5E20"/>
          <w:sz w:val="32"/>
          <w:szCs w:val="32"/>
        </w:rPr>
        <w:t xml:space="preserve">RAPPORT FINAL — SYNTHÈSE ET RECOMMANDATIONS</w:t>
      </w:r>
    </w:p>
    <w:p>
      <w:pPr>
        <w:pStyle w:val="Heading2"/>
        <w:spacing w:after="180" w:before="360"/>
      </w:pPr>
      <w:r>
        <w:t xml:space="preserve">10.1 Les 10 priorités absolues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5E20" w:val="solid"/>
            <w:tcMar>
              <w:top w:type="dxa" w:w="80"/>
              <w:left w:type="dxa" w:w="120"/>
              <w:bottom w:type="dxa" w:w="80"/>
              <w:right w:type="dxa" w:w="120"/>
            </w:tcMar>
          </w:tcPr>
          <w:p>
            <w:pPr>
              <w:jc w:val="left"/>
            </w:pPr>
            <w:r>
              <w:rPr>
                <w:b/>
                <w:bCs/>
                <w:color w:val="FFFFFF"/>
                <w:sz w:val="20"/>
                <w:szCs w:val="20"/>
              </w:rPr>
              <w:t xml:space="preserve">#</w:t>
            </w:r>
          </w:p>
        </w:tc>
        <w:tc>
          <w:tcPr>
            <w:shd w:fill="1B5E20" w:val="solid"/>
            <w:tcMar>
              <w:top w:type="dxa" w:w="80"/>
              <w:left w:type="dxa" w:w="120"/>
              <w:bottom w:type="dxa" w:w="80"/>
              <w:right w:type="dxa" w:w="120"/>
            </w:tcMar>
          </w:tcPr>
          <w:p>
            <w:pPr>
              <w:jc w:val="center"/>
            </w:pPr>
            <w:r>
              <w:rPr>
                <w:b/>
                <w:bCs/>
                <w:color w:val="FFFFFF"/>
                <w:sz w:val="20"/>
                <w:szCs w:val="20"/>
              </w:rPr>
              <w:t xml:space="preserve">Priorité</w:t>
            </w:r>
          </w:p>
        </w:tc>
        <w:tc>
          <w:tcPr>
            <w:shd w:fill="1B5E20" w:val="solid"/>
            <w:tcMar>
              <w:top w:type="dxa" w:w="80"/>
              <w:left w:type="dxa" w:w="120"/>
              <w:bottom w:type="dxa" w:w="80"/>
              <w:right w:type="dxa" w:w="120"/>
            </w:tcMar>
          </w:tcPr>
          <w:p>
            <w:pPr>
              <w:jc w:val="center"/>
            </w:pPr>
            <w:r>
              <w:rPr>
                <w:b/>
                <w:bCs/>
                <w:color w:val="FFFFFF"/>
                <w:sz w:val="20"/>
                <w:szCs w:val="20"/>
              </w:rPr>
              <w:t xml:space="preserve">Impact</w:t>
            </w:r>
          </w:p>
        </w:tc>
        <w:tc>
          <w:tcPr>
            <w:shd w:fill="1B5E20" w:val="solid"/>
            <w:tcMar>
              <w:top w:type="dxa" w:w="80"/>
              <w:left w:type="dxa" w:w="120"/>
              <w:bottom w:type="dxa" w:w="80"/>
              <w:right w:type="dxa" w:w="120"/>
            </w:tcMar>
          </w:tcPr>
          <w:p>
            <w:pPr>
              <w:jc w:val="center"/>
            </w:pPr>
            <w:r>
              <w:rPr>
                <w:b/>
                <w:bCs/>
                <w:color w:val="FFFFFF"/>
                <w:sz w:val="20"/>
                <w:szCs w:val="20"/>
              </w:rPr>
              <w:t xml:space="preserve">Urgence</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1</w:t>
            </w:r>
          </w:p>
        </w:tc>
        <w:tc>
          <w:tcPr>
            <w:tcMar>
              <w:top w:type="dxa" w:w="80"/>
              <w:left w:type="dxa" w:w="120"/>
              <w:bottom w:type="dxa" w:w="80"/>
              <w:right w:type="dxa" w:w="120"/>
            </w:tcMar>
          </w:tcPr>
          <w:p>
            <w:pPr>
              <w:jc w:val="center"/>
            </w:pPr>
            <w:r>
              <w:rPr>
                <w:b w:val="false"/>
                <w:bCs w:val="false"/>
                <w:color w:val="1A1A1A"/>
                <w:sz w:val="19"/>
                <w:szCs w:val="19"/>
              </w:rPr>
              <w:t xml:space="preserve">Signer 3 MOU avec coopératives pilotes Maritime</w:t>
            </w:r>
          </w:p>
        </w:tc>
        <w:tc>
          <w:tcPr>
            <w:tcMar>
              <w:top w:type="dxa" w:w="80"/>
              <w:left w:type="dxa" w:w="120"/>
              <w:bottom w:type="dxa" w:w="80"/>
              <w:right w:type="dxa" w:w="120"/>
            </w:tcMar>
          </w:tcPr>
          <w:p>
            <w:pPr>
              <w:jc w:val="center"/>
            </w:pPr>
            <w:r>
              <w:rPr>
                <w:b w:val="false"/>
                <w:bCs w:val="false"/>
                <w:color w:val="1A1A1A"/>
                <w:sz w:val="19"/>
                <w:szCs w:val="19"/>
              </w:rPr>
              <w:t xml:space="preserve">Critique</w:t>
            </w:r>
          </w:p>
        </w:tc>
        <w:tc>
          <w:tcPr>
            <w:tcMar>
              <w:top w:type="dxa" w:w="80"/>
              <w:left w:type="dxa" w:w="120"/>
              <w:bottom w:type="dxa" w:w="80"/>
              <w:right w:type="dxa" w:w="120"/>
            </w:tcMar>
          </w:tcPr>
          <w:p>
            <w:pPr>
              <w:jc w:val="center"/>
            </w:pPr>
            <w:r>
              <w:rPr>
                <w:b w:val="false"/>
                <w:bCs w:val="false"/>
                <w:color w:val="1A1A1A"/>
                <w:sz w:val="19"/>
                <w:szCs w:val="19"/>
              </w:rPr>
              <w:t xml:space="preserve">Immédiate</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2</w:t>
            </w:r>
          </w:p>
        </w:tc>
        <w:tc>
          <w:tcPr>
            <w:tcMar>
              <w:top w:type="dxa" w:w="80"/>
              <w:left w:type="dxa" w:w="120"/>
              <w:bottom w:type="dxa" w:w="80"/>
              <w:right w:type="dxa" w:w="120"/>
            </w:tcMar>
          </w:tcPr>
          <w:p>
            <w:pPr>
              <w:jc w:val="center"/>
            </w:pPr>
            <w:r>
              <w:rPr>
                <w:b w:val="false"/>
                <w:bCs w:val="false"/>
                <w:color w:val="1A1A1A"/>
                <w:sz w:val="19"/>
                <w:szCs w:val="19"/>
              </w:rPr>
              <w:t xml:space="preserve">Finaliser l'intégration Orange Money (paiement réel)</w:t>
            </w:r>
          </w:p>
        </w:tc>
        <w:tc>
          <w:tcPr>
            <w:tcMar>
              <w:top w:type="dxa" w:w="80"/>
              <w:left w:type="dxa" w:w="120"/>
              <w:bottom w:type="dxa" w:w="80"/>
              <w:right w:type="dxa" w:w="120"/>
            </w:tcMar>
          </w:tcPr>
          <w:p>
            <w:pPr>
              <w:jc w:val="center"/>
            </w:pPr>
            <w:r>
              <w:rPr>
                <w:b w:val="false"/>
                <w:bCs w:val="false"/>
                <w:color w:val="1A1A1A"/>
                <w:sz w:val="19"/>
                <w:szCs w:val="19"/>
              </w:rPr>
              <w:t xml:space="preserve">Critique</w:t>
            </w:r>
          </w:p>
        </w:tc>
        <w:tc>
          <w:tcPr>
            <w:tcMar>
              <w:top w:type="dxa" w:w="80"/>
              <w:left w:type="dxa" w:w="120"/>
              <w:bottom w:type="dxa" w:w="80"/>
              <w:right w:type="dxa" w:w="120"/>
            </w:tcMar>
          </w:tcPr>
          <w:p>
            <w:pPr>
              <w:jc w:val="center"/>
            </w:pPr>
            <w:r>
              <w:rPr>
                <w:b w:val="false"/>
                <w:bCs w:val="false"/>
                <w:color w:val="1A1A1A"/>
                <w:sz w:val="19"/>
                <w:szCs w:val="19"/>
              </w:rPr>
              <w:t xml:space="preserve">Immédiate</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3</w:t>
            </w:r>
          </w:p>
        </w:tc>
        <w:tc>
          <w:tcPr>
            <w:tcMar>
              <w:top w:type="dxa" w:w="80"/>
              <w:left w:type="dxa" w:w="120"/>
              <w:bottom w:type="dxa" w:w="80"/>
              <w:right w:type="dxa" w:w="120"/>
            </w:tcMar>
          </w:tcPr>
          <w:p>
            <w:pPr>
              <w:jc w:val="center"/>
            </w:pPr>
            <w:r>
              <w:rPr>
                <w:b w:val="false"/>
                <w:bCs w:val="false"/>
                <w:color w:val="1A1A1A"/>
                <w:sz w:val="19"/>
                <w:szCs w:val="19"/>
              </w:rPr>
              <w:t xml:space="preserve">Lancer la levée Seed 500 K USD (deck + data room)</w:t>
            </w:r>
          </w:p>
        </w:tc>
        <w:tc>
          <w:tcPr>
            <w:tcMar>
              <w:top w:type="dxa" w:w="80"/>
              <w:left w:type="dxa" w:w="120"/>
              <w:bottom w:type="dxa" w:w="80"/>
              <w:right w:type="dxa" w:w="120"/>
            </w:tcMar>
          </w:tcPr>
          <w:p>
            <w:pPr>
              <w:jc w:val="center"/>
            </w:pPr>
            <w:r>
              <w:rPr>
                <w:b w:val="false"/>
                <w:bCs w:val="false"/>
                <w:color w:val="1A1A1A"/>
                <w:sz w:val="19"/>
                <w:szCs w:val="19"/>
              </w:rPr>
              <w:t xml:space="preserve">Critique</w:t>
            </w:r>
          </w:p>
        </w:tc>
        <w:tc>
          <w:tcPr>
            <w:tcMar>
              <w:top w:type="dxa" w:w="80"/>
              <w:left w:type="dxa" w:w="120"/>
              <w:bottom w:type="dxa" w:w="80"/>
              <w:right w:type="dxa" w:w="120"/>
            </w:tcMar>
          </w:tcPr>
          <w:p>
            <w:pPr>
              <w:jc w:val="center"/>
            </w:pPr>
            <w:r>
              <w:rPr>
                <w:b w:val="false"/>
                <w:bCs w:val="false"/>
                <w:color w:val="1A1A1A"/>
                <w:sz w:val="19"/>
                <w:szCs w:val="19"/>
              </w:rPr>
              <w:t xml:space="preserve">Q3 2026</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4</w:t>
            </w:r>
          </w:p>
        </w:tc>
        <w:tc>
          <w:tcPr>
            <w:tcMar>
              <w:top w:type="dxa" w:w="80"/>
              <w:left w:type="dxa" w:w="120"/>
              <w:bottom w:type="dxa" w:w="80"/>
              <w:right w:type="dxa" w:w="120"/>
            </w:tcMar>
          </w:tcPr>
          <w:p>
            <w:pPr>
              <w:jc w:val="center"/>
            </w:pPr>
            <w:r>
              <w:rPr>
                <w:b w:val="false"/>
                <w:bCs w:val="false"/>
                <w:color w:val="1A1A1A"/>
                <w:sz w:val="19"/>
                <w:szCs w:val="19"/>
              </w:rPr>
              <w:t xml:space="preserve">Recruter CTO + 3 agents terrain</w:t>
            </w:r>
          </w:p>
        </w:tc>
        <w:tc>
          <w:tcPr>
            <w:tcMar>
              <w:top w:type="dxa" w:w="80"/>
              <w:left w:type="dxa" w:w="120"/>
              <w:bottom w:type="dxa" w:w="80"/>
              <w:right w:type="dxa" w:w="120"/>
            </w:tcMar>
          </w:tcPr>
          <w:p>
            <w:pPr>
              <w:jc w:val="center"/>
            </w:pPr>
            <w:r>
              <w:rPr>
                <w:b w:val="false"/>
                <w:bCs w:val="false"/>
                <w:color w:val="1A1A1A"/>
                <w:sz w:val="19"/>
                <w:szCs w:val="19"/>
              </w:rPr>
              <w:t xml:space="preserve">Très haute</w:t>
            </w:r>
          </w:p>
        </w:tc>
        <w:tc>
          <w:tcPr>
            <w:tcMar>
              <w:top w:type="dxa" w:w="80"/>
              <w:left w:type="dxa" w:w="120"/>
              <w:bottom w:type="dxa" w:w="80"/>
              <w:right w:type="dxa" w:w="120"/>
            </w:tcMar>
          </w:tcPr>
          <w:p>
            <w:pPr>
              <w:jc w:val="center"/>
            </w:pPr>
            <w:r>
              <w:rPr>
                <w:b w:val="false"/>
                <w:bCs w:val="false"/>
                <w:color w:val="1A1A1A"/>
                <w:sz w:val="19"/>
                <w:szCs w:val="19"/>
              </w:rPr>
              <w:t xml:space="preserve">Q3 2026</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5</w:t>
            </w:r>
          </w:p>
        </w:tc>
        <w:tc>
          <w:tcPr>
            <w:tcMar>
              <w:top w:type="dxa" w:w="80"/>
              <w:left w:type="dxa" w:w="120"/>
              <w:bottom w:type="dxa" w:w="80"/>
              <w:right w:type="dxa" w:w="120"/>
            </w:tcMar>
          </w:tcPr>
          <w:p>
            <w:pPr>
              <w:jc w:val="center"/>
            </w:pPr>
            <w:r>
              <w:rPr>
                <w:b w:val="false"/>
                <w:bCs w:val="false"/>
                <w:color w:val="1A1A1A"/>
                <w:sz w:val="19"/>
                <w:szCs w:val="19"/>
              </w:rPr>
              <w:t xml:space="preserve">Déposer dossier grant IFAD/FAO</w:t>
            </w:r>
          </w:p>
        </w:tc>
        <w:tc>
          <w:tcPr>
            <w:tcMar>
              <w:top w:type="dxa" w:w="80"/>
              <w:left w:type="dxa" w:w="120"/>
              <w:bottom w:type="dxa" w:w="80"/>
              <w:right w:type="dxa" w:w="120"/>
            </w:tcMar>
          </w:tcPr>
          <w:p>
            <w:pPr>
              <w:jc w:val="center"/>
            </w:pPr>
            <w:r>
              <w:rPr>
                <w:b w:val="false"/>
                <w:bCs w:val="false"/>
                <w:color w:val="1A1A1A"/>
                <w:sz w:val="19"/>
                <w:szCs w:val="19"/>
              </w:rPr>
              <w:t xml:space="preserve">Haute</w:t>
            </w:r>
          </w:p>
        </w:tc>
        <w:tc>
          <w:tcPr>
            <w:tcMar>
              <w:top w:type="dxa" w:w="80"/>
              <w:left w:type="dxa" w:w="120"/>
              <w:bottom w:type="dxa" w:w="80"/>
              <w:right w:type="dxa" w:w="120"/>
            </w:tcMar>
          </w:tcPr>
          <w:p>
            <w:pPr>
              <w:jc w:val="center"/>
            </w:pPr>
            <w:r>
              <w:rPr>
                <w:b w:val="false"/>
                <w:bCs w:val="false"/>
                <w:color w:val="1A1A1A"/>
                <w:sz w:val="19"/>
                <w:szCs w:val="19"/>
              </w:rPr>
              <w:t xml:space="preserve">Q4 2026</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6</w:t>
            </w:r>
          </w:p>
        </w:tc>
        <w:tc>
          <w:tcPr>
            <w:tcMar>
              <w:top w:type="dxa" w:w="80"/>
              <w:left w:type="dxa" w:w="120"/>
              <w:bottom w:type="dxa" w:w="80"/>
              <w:right w:type="dxa" w:w="120"/>
            </w:tcMar>
          </w:tcPr>
          <w:p>
            <w:pPr>
              <w:jc w:val="center"/>
            </w:pPr>
            <w:r>
              <w:rPr>
                <w:b w:val="false"/>
                <w:bCs w:val="false"/>
                <w:color w:val="1A1A1A"/>
                <w:sz w:val="19"/>
                <w:szCs w:val="19"/>
              </w:rPr>
              <w:t xml:space="preserve">Sécuriser partenariat FENAB/FNGPC</w:t>
            </w:r>
          </w:p>
        </w:tc>
        <w:tc>
          <w:tcPr>
            <w:tcMar>
              <w:top w:type="dxa" w:w="80"/>
              <w:left w:type="dxa" w:w="120"/>
              <w:bottom w:type="dxa" w:w="80"/>
              <w:right w:type="dxa" w:w="120"/>
            </w:tcMar>
          </w:tcPr>
          <w:p>
            <w:pPr>
              <w:jc w:val="center"/>
            </w:pPr>
            <w:r>
              <w:rPr>
                <w:b w:val="false"/>
                <w:bCs w:val="false"/>
                <w:color w:val="1A1A1A"/>
                <w:sz w:val="19"/>
                <w:szCs w:val="19"/>
              </w:rPr>
              <w:t xml:space="preserve">Haute</w:t>
            </w:r>
          </w:p>
        </w:tc>
        <w:tc>
          <w:tcPr>
            <w:tcMar>
              <w:top w:type="dxa" w:w="80"/>
              <w:left w:type="dxa" w:w="120"/>
              <w:bottom w:type="dxa" w:w="80"/>
              <w:right w:type="dxa" w:w="120"/>
            </w:tcMar>
          </w:tcPr>
          <w:p>
            <w:pPr>
              <w:jc w:val="center"/>
            </w:pPr>
            <w:r>
              <w:rPr>
                <w:b w:val="false"/>
                <w:bCs w:val="false"/>
                <w:color w:val="1A1A1A"/>
                <w:sz w:val="19"/>
                <w:szCs w:val="19"/>
              </w:rPr>
              <w:t xml:space="preserve">Q4 2026</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7</w:t>
            </w:r>
          </w:p>
        </w:tc>
        <w:tc>
          <w:tcPr>
            <w:tcMar>
              <w:top w:type="dxa" w:w="80"/>
              <w:left w:type="dxa" w:w="120"/>
              <w:bottom w:type="dxa" w:w="80"/>
              <w:right w:type="dxa" w:w="120"/>
            </w:tcMar>
          </w:tcPr>
          <w:p>
            <w:pPr>
              <w:jc w:val="center"/>
            </w:pPr>
            <w:r>
              <w:rPr>
                <w:b w:val="false"/>
                <w:bCs w:val="false"/>
                <w:color w:val="1A1A1A"/>
                <w:sz w:val="19"/>
                <w:szCs w:val="19"/>
              </w:rPr>
              <w:t xml:space="preserve">Atteindre 25 000 membres actifs (gating Série A)</w:t>
            </w:r>
          </w:p>
        </w:tc>
        <w:tc>
          <w:tcPr>
            <w:tcMar>
              <w:top w:type="dxa" w:w="80"/>
              <w:left w:type="dxa" w:w="120"/>
              <w:bottom w:type="dxa" w:w="80"/>
              <w:right w:type="dxa" w:w="120"/>
            </w:tcMar>
          </w:tcPr>
          <w:p>
            <w:pPr>
              <w:jc w:val="center"/>
            </w:pPr>
            <w:r>
              <w:rPr>
                <w:b w:val="false"/>
                <w:bCs w:val="false"/>
                <w:color w:val="1A1A1A"/>
                <w:sz w:val="19"/>
                <w:szCs w:val="19"/>
              </w:rPr>
              <w:t xml:space="preserve">Critique</w:t>
            </w:r>
          </w:p>
        </w:tc>
        <w:tc>
          <w:tcPr>
            <w:tcMar>
              <w:top w:type="dxa" w:w="80"/>
              <w:left w:type="dxa" w:w="120"/>
              <w:bottom w:type="dxa" w:w="80"/>
              <w:right w:type="dxa" w:w="120"/>
            </w:tcMar>
          </w:tcPr>
          <w:p>
            <w:pPr>
              <w:jc w:val="center"/>
            </w:pPr>
            <w:r>
              <w:rPr>
                <w:b w:val="false"/>
                <w:bCs w:val="false"/>
                <w:color w:val="1A1A1A"/>
                <w:sz w:val="19"/>
                <w:szCs w:val="19"/>
              </w:rPr>
              <w:t xml:space="preserve">Fin 2028</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8</w:t>
            </w:r>
          </w:p>
        </w:tc>
        <w:tc>
          <w:tcPr>
            <w:tcMar>
              <w:top w:type="dxa" w:w="80"/>
              <w:left w:type="dxa" w:w="120"/>
              <w:bottom w:type="dxa" w:w="80"/>
              <w:right w:type="dxa" w:w="120"/>
            </w:tcMar>
          </w:tcPr>
          <w:p>
            <w:pPr>
              <w:jc w:val="center"/>
            </w:pPr>
            <w:r>
              <w:rPr>
                <w:b w:val="false"/>
                <w:bCs w:val="false"/>
                <w:color w:val="1A1A1A"/>
                <w:sz w:val="19"/>
                <w:szCs w:val="19"/>
              </w:rPr>
              <w:t xml:space="preserve">Lancer module matchmaking B2B (acheteurs)</w:t>
            </w:r>
          </w:p>
        </w:tc>
        <w:tc>
          <w:tcPr>
            <w:tcMar>
              <w:top w:type="dxa" w:w="80"/>
              <w:left w:type="dxa" w:w="120"/>
              <w:bottom w:type="dxa" w:w="80"/>
              <w:right w:type="dxa" w:w="120"/>
            </w:tcMar>
          </w:tcPr>
          <w:p>
            <w:pPr>
              <w:jc w:val="center"/>
            </w:pPr>
            <w:r>
              <w:rPr>
                <w:b w:val="false"/>
                <w:bCs w:val="false"/>
                <w:color w:val="1A1A1A"/>
                <w:sz w:val="19"/>
                <w:szCs w:val="19"/>
              </w:rPr>
              <w:t xml:space="preserve">Haute</w:t>
            </w:r>
          </w:p>
        </w:tc>
        <w:tc>
          <w:tcPr>
            <w:tcMar>
              <w:top w:type="dxa" w:w="80"/>
              <w:left w:type="dxa" w:w="120"/>
              <w:bottom w:type="dxa" w:w="80"/>
              <w:right w:type="dxa" w:w="120"/>
            </w:tcMar>
          </w:tcPr>
          <w:p>
            <w:pPr>
              <w:jc w:val="center"/>
            </w:pPr>
            <w:r>
              <w:rPr>
                <w:b w:val="false"/>
                <w:bCs w:val="false"/>
                <w:color w:val="1A1A1A"/>
                <w:sz w:val="19"/>
                <w:szCs w:val="19"/>
              </w:rPr>
              <w:t xml:space="preserve">Q2 2027</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9</w:t>
            </w:r>
          </w:p>
        </w:tc>
        <w:tc>
          <w:tcPr>
            <w:tcMar>
              <w:top w:type="dxa" w:w="80"/>
              <w:left w:type="dxa" w:w="120"/>
              <w:bottom w:type="dxa" w:w="80"/>
              <w:right w:type="dxa" w:w="120"/>
            </w:tcMar>
          </w:tcPr>
          <w:p>
            <w:pPr>
              <w:jc w:val="center"/>
            </w:pPr>
            <w:r>
              <w:rPr>
                <w:b w:val="false"/>
                <w:bCs w:val="false"/>
                <w:color w:val="1A1A1A"/>
                <w:sz w:val="19"/>
                <w:szCs w:val="19"/>
              </w:rPr>
              <w:t xml:space="preserve">Audit sécurité + certification ISO 27001 (bailleurs)</w:t>
            </w:r>
          </w:p>
        </w:tc>
        <w:tc>
          <w:tcPr>
            <w:tcMar>
              <w:top w:type="dxa" w:w="80"/>
              <w:left w:type="dxa" w:w="120"/>
              <w:bottom w:type="dxa" w:w="80"/>
              <w:right w:type="dxa" w:w="120"/>
            </w:tcMar>
          </w:tcPr>
          <w:p>
            <w:pPr>
              <w:jc w:val="center"/>
            </w:pPr>
            <w:r>
              <w:rPr>
                <w:b w:val="false"/>
                <w:bCs w:val="false"/>
                <w:color w:val="1A1A1A"/>
                <w:sz w:val="19"/>
                <w:szCs w:val="19"/>
              </w:rPr>
              <w:t xml:space="preserve">Moyenne</w:t>
            </w:r>
          </w:p>
        </w:tc>
        <w:tc>
          <w:tcPr>
            <w:tcMar>
              <w:top w:type="dxa" w:w="80"/>
              <w:left w:type="dxa" w:w="120"/>
              <w:bottom w:type="dxa" w:w="80"/>
              <w:right w:type="dxa" w:w="120"/>
            </w:tcMar>
          </w:tcPr>
          <w:p>
            <w:pPr>
              <w:jc w:val="center"/>
            </w:pPr>
            <w:r>
              <w:rPr>
                <w:b w:val="false"/>
                <w:bCs w:val="false"/>
                <w:color w:val="1A1A1A"/>
                <w:sz w:val="19"/>
                <w:szCs w:val="19"/>
              </w:rPr>
              <w:t xml:space="preserve">2027</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10</w:t>
            </w:r>
          </w:p>
        </w:tc>
        <w:tc>
          <w:tcPr>
            <w:tcMar>
              <w:top w:type="dxa" w:w="80"/>
              <w:left w:type="dxa" w:w="120"/>
              <w:bottom w:type="dxa" w:w="80"/>
              <w:right w:type="dxa" w:w="120"/>
            </w:tcMar>
          </w:tcPr>
          <w:p>
            <w:pPr>
              <w:jc w:val="center"/>
            </w:pPr>
            <w:r>
              <w:rPr>
                <w:b w:val="false"/>
                <w:bCs w:val="false"/>
                <w:color w:val="1A1A1A"/>
                <w:sz w:val="19"/>
                <w:szCs w:val="19"/>
              </w:rPr>
              <w:t xml:space="preserve">Préparer expansion Ghana/Bénin (Year 3)</w:t>
            </w:r>
          </w:p>
        </w:tc>
        <w:tc>
          <w:tcPr>
            <w:tcMar>
              <w:top w:type="dxa" w:w="80"/>
              <w:left w:type="dxa" w:w="120"/>
              <w:bottom w:type="dxa" w:w="80"/>
              <w:right w:type="dxa" w:w="120"/>
            </w:tcMar>
          </w:tcPr>
          <w:p>
            <w:pPr>
              <w:jc w:val="center"/>
            </w:pPr>
            <w:r>
              <w:rPr>
                <w:b w:val="false"/>
                <w:bCs w:val="false"/>
                <w:color w:val="1A1A1A"/>
                <w:sz w:val="19"/>
                <w:szCs w:val="19"/>
              </w:rPr>
              <w:t xml:space="preserve">Moyenne</w:t>
            </w:r>
          </w:p>
        </w:tc>
        <w:tc>
          <w:tcPr>
            <w:tcMar>
              <w:top w:type="dxa" w:w="80"/>
              <w:left w:type="dxa" w:w="120"/>
              <w:bottom w:type="dxa" w:w="80"/>
              <w:right w:type="dxa" w:w="120"/>
            </w:tcMar>
          </w:tcPr>
          <w:p>
            <w:pPr>
              <w:jc w:val="center"/>
            </w:pPr>
            <w:r>
              <w:rPr>
                <w:b w:val="false"/>
                <w:bCs w:val="false"/>
                <w:color w:val="1A1A1A"/>
                <w:sz w:val="19"/>
                <w:szCs w:val="19"/>
              </w:rPr>
              <w:t xml:space="preserve">2028</w:t>
            </w:r>
          </w:p>
        </w:tc>
      </w:tr>
    </w:tbl>
    <w:p>
      <w:pPr>
        <w:pStyle w:val="Heading2"/>
        <w:spacing w:after="180" w:before="360"/>
      </w:pPr>
      <w:r>
        <w:t xml:space="preserve">10.2 Les 10 erreurs fatales à éviter</w:t>
      </w:r>
    </w:p>
    <w:p>
      <w:pPr>
        <w:pStyle w:val="ListParagraph"/>
        <w:numPr>
          <w:ilvl w:val="0"/>
          <w:numId w:val="1"/>
        </w:numPr>
        <w:spacing w:after="60" w:before="60"/>
      </w:pPr>
      <w:r>
        <w:rPr>
          <w:color w:val="1A1A1A"/>
          <w:sz w:val="21"/>
          <w:szCs w:val="21"/>
        </w:rPr>
        <w:t xml:space="preserve">1. Construire des fonctionnalités sans utilisateurs réels — valider le terrain d'abord</w:t>
      </w:r>
    </w:p>
    <w:p>
      <w:pPr>
        <w:pStyle w:val="ListParagraph"/>
        <w:numPr>
          <w:ilvl w:val="0"/>
          <w:numId w:val="1"/>
        </w:numPr>
        <w:spacing w:after="60" w:before="60"/>
      </w:pPr>
      <w:r>
        <w:rPr>
          <w:color w:val="1A1A1A"/>
          <w:sz w:val="21"/>
          <w:szCs w:val="21"/>
        </w:rPr>
        <w:t xml:space="preserve">2. Ignorer la résistance au changement des leaders coopératifs seniors</w:t>
      </w:r>
    </w:p>
    <w:p>
      <w:pPr>
        <w:pStyle w:val="ListParagraph"/>
        <w:numPr>
          <w:ilvl w:val="0"/>
          <w:numId w:val="1"/>
        </w:numPr>
        <w:spacing w:after="60" w:before="60"/>
      </w:pPr>
      <w:r>
        <w:rPr>
          <w:color w:val="1A1A1A"/>
          <w:sz w:val="21"/>
          <w:szCs w:val="21"/>
        </w:rPr>
        <w:t xml:space="preserve">3. Dépendre d'un seul bailleur ou d'un seul partenaire technologique</w:t>
      </w:r>
    </w:p>
    <w:p>
      <w:pPr>
        <w:pStyle w:val="ListParagraph"/>
        <w:numPr>
          <w:ilvl w:val="0"/>
          <w:numId w:val="1"/>
        </w:numPr>
        <w:spacing w:after="60" w:before="60"/>
      </w:pPr>
      <w:r>
        <w:rPr>
          <w:color w:val="1A1A1A"/>
          <w:sz w:val="21"/>
          <w:szCs w:val="21"/>
        </w:rPr>
        <w:t xml:space="preserve">4. Négliger la connectivité rurale — prévoir un mode offline-first dès le départ</w:t>
      </w:r>
    </w:p>
    <w:p>
      <w:pPr>
        <w:pStyle w:val="ListParagraph"/>
        <w:numPr>
          <w:ilvl w:val="0"/>
          <w:numId w:val="1"/>
        </w:numPr>
        <w:spacing w:after="60" w:before="60"/>
      </w:pPr>
      <w:r>
        <w:rPr>
          <w:color w:val="1A1A1A"/>
          <w:sz w:val="21"/>
          <w:szCs w:val="21"/>
        </w:rPr>
        <w:t xml:space="preserve">5. Sous-estimer les coûts de terrain (formation, déplacement, support)</w:t>
      </w:r>
    </w:p>
    <w:p>
      <w:pPr>
        <w:pStyle w:val="ListParagraph"/>
        <w:numPr>
          <w:ilvl w:val="0"/>
          <w:numId w:val="1"/>
        </w:numPr>
        <w:spacing w:after="60" w:before="60"/>
      </w:pPr>
      <w:r>
        <w:rPr>
          <w:color w:val="1A1A1A"/>
          <w:sz w:val="21"/>
          <w:szCs w:val="21"/>
        </w:rPr>
        <w:t xml:space="preserve">6. Brûler la trésorerie avant le breakeven — runway minimum 18 mois en permanence</w:t>
      </w:r>
    </w:p>
    <w:p>
      <w:pPr>
        <w:pStyle w:val="ListParagraph"/>
        <w:numPr>
          <w:ilvl w:val="0"/>
          <w:numId w:val="1"/>
        </w:numPr>
        <w:spacing w:after="60" w:before="60"/>
      </w:pPr>
      <w:r>
        <w:rPr>
          <w:color w:val="1A1A1A"/>
          <w:sz w:val="21"/>
          <w:szCs w:val="21"/>
        </w:rPr>
        <w:t xml:space="preserve">7. Oublier la conformité réglementaire BCEAO pour le traitement des paiements</w:t>
      </w:r>
    </w:p>
    <w:p>
      <w:pPr>
        <w:pStyle w:val="ListParagraph"/>
        <w:numPr>
          <w:ilvl w:val="0"/>
          <w:numId w:val="1"/>
        </w:numPr>
        <w:spacing w:after="60" w:before="60"/>
      </w:pPr>
      <w:r>
        <w:rPr>
          <w:color w:val="1A1A1A"/>
          <w:sz w:val="21"/>
          <w:szCs w:val="21"/>
        </w:rPr>
        <w:t xml:space="preserve">8. Copier sans adapter — les modèles East Africa (M-Pesa, iShamba) ne s'importent pas naïvement</w:t>
      </w:r>
    </w:p>
    <w:p>
      <w:pPr>
        <w:pStyle w:val="ListParagraph"/>
        <w:numPr>
          <w:ilvl w:val="0"/>
          <w:numId w:val="1"/>
        </w:numPr>
        <w:spacing w:after="60" w:before="60"/>
      </w:pPr>
      <w:r>
        <w:rPr>
          <w:color w:val="1A1A1A"/>
          <w:sz w:val="21"/>
          <w:szCs w:val="21"/>
        </w:rPr>
        <w:t xml:space="preserve">9. Négliger la rétention au profit de l'acquisition — le churn tue avant la croissance</w:t>
      </w:r>
    </w:p>
    <w:p>
      <w:pPr>
        <w:pStyle w:val="ListParagraph"/>
        <w:numPr>
          <w:ilvl w:val="0"/>
          <w:numId w:val="1"/>
        </w:numPr>
        <w:spacing w:after="60" w:before="60"/>
      </w:pPr>
      <w:r>
        <w:rPr>
          <w:color w:val="1A1A1A"/>
          <w:sz w:val="21"/>
          <w:szCs w:val="21"/>
        </w:rPr>
        <w:t xml:space="preserve">10. Scaler trop vite géographiquement avant la maîtrise du marché local</w:t>
      </w:r>
    </w:p>
    <w:p>
      <w:pPr>
        <w:pStyle w:val="Heading2"/>
        <w:spacing w:after="180" w:before="360"/>
      </w:pPr>
      <w:r>
        <w:t xml:space="preserve">10.3 Les 5 opportunités majeures non exploitées</w:t>
      </w:r>
    </w:p>
    <w:p>
      <w:pPr>
        <w:pStyle w:val="ListParagraph"/>
        <w:numPr>
          <w:ilvl w:val="0"/>
          <w:numId w:val="1"/>
        </w:numPr>
        <w:spacing w:after="60" w:before="60"/>
      </w:pPr>
      <w:r>
        <w:rPr>
          <w:color w:val="1A1A1A"/>
          <w:sz w:val="21"/>
          <w:szCs w:val="21"/>
        </w:rPr>
        <w:t xml:space="preserve">CRÉDIT AGRICOLE NUMÉRIQUE : Le score ATS peut devenir un scoring de crédit reconnu par les banques (CNCA) → produit fintech B2B2C</w:t>
      </w:r>
    </w:p>
    <w:p>
      <w:pPr>
        <w:pStyle w:val="ListParagraph"/>
        <w:numPr>
          <w:ilvl w:val="0"/>
          <w:numId w:val="1"/>
        </w:numPr>
        <w:spacing w:after="60" w:before="60"/>
      </w:pPr>
      <w:r>
        <w:rPr>
          <w:color w:val="1A1A1A"/>
          <w:sz w:val="21"/>
          <w:szCs w:val="21"/>
        </w:rPr>
        <w:t xml:space="preserve">ASSURANCE PARAMÉTRIQUE : Les données météo + production créent la base d'un produit assurance-récolte (partenaire Sanlam, NSIA)</w:t>
      </w:r>
    </w:p>
    <w:p>
      <w:pPr>
        <w:pStyle w:val="ListParagraph"/>
        <w:numPr>
          <w:ilvl w:val="0"/>
          <w:numId w:val="1"/>
        </w:numPr>
        <w:spacing w:after="60" w:before="60"/>
      </w:pPr>
      <w:r>
        <w:rPr>
          <w:color w:val="1A1A1A"/>
          <w:sz w:val="21"/>
          <w:szCs w:val="21"/>
        </w:rPr>
        <w:t xml:space="preserve">CERTIFICATION TRAÇABILITÉ : L'historique production → carte → vente crée un certificat d'origine vérifiable pour l'export UE</w:t>
      </w:r>
    </w:p>
    <w:p>
      <w:pPr>
        <w:pStyle w:val="ListParagraph"/>
        <w:numPr>
          <w:ilvl w:val="0"/>
          <w:numId w:val="1"/>
        </w:numPr>
        <w:spacing w:after="60" w:before="60"/>
      </w:pPr>
      <w:r>
        <w:rPr>
          <w:color w:val="1A1A1A"/>
          <w:sz w:val="21"/>
          <w:szCs w:val="21"/>
        </w:rPr>
        <w:t xml:space="preserve">MARKETPLACE INTRANTS : Envers du matchmaking — vendre semences/engrais aux membres via le réseau (modèle Twiga inversé)</w:t>
      </w:r>
    </w:p>
    <w:p>
      <w:pPr>
        <w:pStyle w:val="ListParagraph"/>
        <w:numPr>
          <w:ilvl w:val="0"/>
          <w:numId w:val="1"/>
        </w:numPr>
        <w:spacing w:after="60" w:before="60"/>
      </w:pPr>
      <w:r>
        <w:rPr>
          <w:color w:val="1A1A1A"/>
          <w:sz w:val="21"/>
          <w:szCs w:val="21"/>
        </w:rPr>
        <w:t xml:space="preserve">DATA PLAY : Vendre des insights agrégés anonymisés aux assureurs, banques et gouvernements (revenus B2B purs)</w:t>
      </w:r>
    </w:p>
    <w:p>
      <w:pPr>
        <w:pStyle w:val="Heading2"/>
        <w:spacing w:after="180" w:before="360"/>
      </w:pPr>
      <w:r>
        <w:t xml:space="preserve">10.4 Les 3 scénarios à horizon 2035</w:t>
      </w:r>
    </w:p>
    <w:p>
      <w:pPr>
        <w:pStyle w:val="Heading3"/>
        <w:spacing w:after="120" w:before="240"/>
      </w:pPr>
      <w:r>
        <w:t xml:space="preserve">Scénario Rouge — FaîtiereHub reste local</w:t>
      </w:r>
    </w:p>
    <w:p>
      <w:pPr>
        <w:spacing w:after="80" w:before="80"/>
        <w:jc w:val="both"/>
      </w:pPr>
      <w:r>
        <w:rPr>
          <w:color w:val="1A1A1A"/>
          <w:sz w:val="22"/>
          <w:szCs w:val="22"/>
        </w:rPr>
        <w:t xml:space="preserve">Faute de financement ou d'adoption suffisante, FaîtiereHub devient un outil solide pour 50 coopératives togolaises. ARR stabilisé à 600 K USD. Rentable mais non scalé. Valeur de sortie : 3–5 M USD.</w:t>
      </w:r>
    </w:p>
    <w:p>
      <w:pPr>
        <w:pStyle w:val="Heading3"/>
        <w:spacing w:after="120" w:before="240"/>
      </w:pPr>
      <w:r>
        <w:t xml:space="preserve">Scénario Jaune — FaîtiereHub devient la référence togolaise</w:t>
      </w:r>
    </w:p>
    <w:p>
      <w:pPr>
        <w:spacing w:after="80" w:before="80"/>
        <w:jc w:val="both"/>
      </w:pPr>
      <w:r>
        <w:rPr>
          <w:color w:val="1A1A1A"/>
          <w:sz w:val="22"/>
          <w:szCs w:val="22"/>
        </w:rPr>
        <w:t xml:space="preserve">Partenariat MAEDR institutionnalisé, 200 coopératives, 100 000 membres. ARR 3 M USD en 2035. Base pour Série A. Valeur 15–25 M USD.</w:t>
      </w:r>
    </w:p>
    <w:p>
      <w:pPr>
        <w:pStyle w:val="Heading3"/>
        <w:spacing w:after="120" w:before="240"/>
      </w:pPr>
      <w:r>
        <w:t xml:space="preserve">Scénario Vert — FaîtiereHub devient l'infrastructure CEDEAO</w:t>
      </w:r>
    </w:p>
    <w:p>
      <w:pPr>
        <w:spacing w:after="80" w:before="80"/>
        <w:jc w:val="both"/>
      </w:pPr>
      <w:r>
        <w:rPr>
          <w:color w:val="1A1A1A"/>
          <w:sz w:val="22"/>
          <w:szCs w:val="22"/>
        </w:rPr>
        <w:t xml:space="preserve">Après succès au Togo, déploiement Ghana + Bénin + Côte d'Ivoire. 600 000 membres, ARR 12 M USD. Acquisition par Mastercard Foundation ou IFC. Valeur 60–100 M USD.</w:t>
      </w:r>
    </w:p>
    <w:p>
      <w:pPr>
        <w:pBdr>
          <w:bottom w:val="single" w:color="1B5E20" w:sz="6"/>
        </w:pBdr>
        <w:spacing w:after="200" w:before="200"/>
      </w:pPr>
    </w:p>
    <w:p>
      <w:pPr>
        <w:pStyle w:val="Heading2"/>
        <w:spacing w:after="180" w:before="360"/>
      </w:pPr>
      <w:r>
        <w:t xml:space="preserve">10.5 Le chemin en 7 étapes vers l'infrastructure nationale</w:t>
      </w:r>
    </w:p>
    <w:p>
      <w:pPr>
        <w:spacing w:after="80" w:before="80"/>
        <w:jc w:val="both"/>
      </w:pPr>
      <w:r>
        <w:rPr>
          <w:color w:val="1A1A1A"/>
          <w:sz w:val="22"/>
          <w:szCs w:val="22"/>
        </w:rPr>
        <w:t xml:space="preserve">La probabilité du Scénario Vert repose sur l'exécution séquentielle rigoureuse de 7 étapes :</w:t>
      </w:r>
    </w:p>
    <w:p>
      <w:pPr>
        <w:pStyle w:val="ListParagraph"/>
        <w:numPr>
          <w:ilvl w:val="0"/>
          <w:numId w:val="1"/>
        </w:numPr>
        <w:spacing w:after="60" w:before="60"/>
      </w:pPr>
      <w:r>
        <w:rPr>
          <w:color w:val="1A1A1A"/>
          <w:sz w:val="21"/>
          <w:szCs w:val="21"/>
        </w:rPr>
        <w:t xml:space="preserve">Étape 1 : Prouver le modèle (3 coops, 500 membres, 1 paiement réel) — Fin 2026</w:t>
      </w:r>
    </w:p>
    <w:p>
      <w:pPr>
        <w:pStyle w:val="ListParagraph"/>
        <w:numPr>
          <w:ilvl w:val="0"/>
          <w:numId w:val="1"/>
        </w:numPr>
        <w:spacing w:after="60" w:before="60"/>
      </w:pPr>
      <w:r>
        <w:rPr>
          <w:color w:val="1A1A1A"/>
          <w:sz w:val="21"/>
          <w:szCs w:val="21"/>
        </w:rPr>
        <w:t xml:space="preserve">Étape 2 : Lever le Seed et constituer l'équipe (8 personnes) — Q4 2026</w:t>
      </w:r>
    </w:p>
    <w:p>
      <w:pPr>
        <w:pStyle w:val="ListParagraph"/>
        <w:numPr>
          <w:ilvl w:val="0"/>
          <w:numId w:val="1"/>
        </w:numPr>
        <w:spacing w:after="60" w:before="60"/>
      </w:pPr>
      <w:r>
        <w:rPr>
          <w:color w:val="1A1A1A"/>
          <w:sz w:val="21"/>
          <w:szCs w:val="21"/>
        </w:rPr>
        <w:t xml:space="preserve">Étape 3 : Atteindre la PMF (Product-Market Fit) avec NPS &gt; 50 — M12</w:t>
      </w:r>
    </w:p>
    <w:p>
      <w:pPr>
        <w:pStyle w:val="ListParagraph"/>
        <w:numPr>
          <w:ilvl w:val="0"/>
          <w:numId w:val="1"/>
        </w:numPr>
        <w:spacing w:after="60" w:before="60"/>
      </w:pPr>
      <w:r>
        <w:rPr>
          <w:color w:val="1A1A1A"/>
          <w:sz w:val="21"/>
          <w:szCs w:val="21"/>
        </w:rPr>
        <w:t xml:space="preserve">Étape 4 : Passer à 25 000 membres (gating Série A) — Fin 2028</w:t>
      </w:r>
    </w:p>
    <w:p>
      <w:pPr>
        <w:pStyle w:val="ListParagraph"/>
        <w:numPr>
          <w:ilvl w:val="0"/>
          <w:numId w:val="1"/>
        </w:numPr>
        <w:spacing w:after="60" w:before="60"/>
      </w:pPr>
      <w:r>
        <w:rPr>
          <w:color w:val="1A1A1A"/>
          <w:sz w:val="21"/>
          <w:szCs w:val="21"/>
        </w:rPr>
        <w:t xml:space="preserve">Étape 5 : Signer un accord institutionnel MAEDR ou FENAB — 2027</w:t>
      </w:r>
    </w:p>
    <w:p>
      <w:pPr>
        <w:pStyle w:val="ListParagraph"/>
        <w:numPr>
          <w:ilvl w:val="0"/>
          <w:numId w:val="1"/>
        </w:numPr>
        <w:spacing w:after="60" w:before="60"/>
      </w:pPr>
      <w:r>
        <w:rPr>
          <w:color w:val="1A1A1A"/>
          <w:sz w:val="21"/>
          <w:szCs w:val="21"/>
        </w:rPr>
        <w:t xml:space="preserve">Étape 6 : Lancer les premiers produits FinTech (crédit, assurance) — 2029</w:t>
      </w:r>
    </w:p>
    <w:p>
      <w:pPr>
        <w:pStyle w:val="ListParagraph"/>
        <w:numPr>
          <w:ilvl w:val="0"/>
          <w:numId w:val="1"/>
        </w:numPr>
        <w:spacing w:after="60" w:before="60"/>
      </w:pPr>
      <w:r>
        <w:rPr>
          <w:color w:val="1A1A1A"/>
          <w:sz w:val="21"/>
          <w:szCs w:val="21"/>
        </w:rPr>
        <w:t xml:space="preserve">Étape 7 : Expansion CEDEAO avec capital Série A — 2030</w:t>
      </w:r>
    </w:p>
    <w:p>
      <w:r>
        <w:br w:type="page"/>
      </w:r>
    </w:p>
    <w:p>
      <w:pPr>
        <w:pStyle w:val="Heading1"/>
        <w:spacing w:after="240" w:before="480"/>
      </w:pPr>
      <w:r>
        <w:t xml:space="preserve">ANNEXES</w:t>
      </w:r>
    </w:p>
    <w:p>
      <w:pPr>
        <w:pStyle w:val="Heading2"/>
        <w:spacing w:after="180" w:before="360"/>
      </w:pPr>
      <w:r>
        <w:t xml:space="preserve">Annexe A — Architecture technique FaîtiereHub</w:t>
      </w:r>
    </w:p>
    <w:p>
      <w:pPr>
        <w:spacing w:after="80" w:before="80"/>
        <w:jc w:val="both"/>
      </w:pPr>
      <w:r>
        <w:rPr>
          <w:color w:val="1A1A1A"/>
          <w:sz w:val="22"/>
          <w:szCs w:val="22"/>
        </w:rPr>
        <w:t xml:space="preserve">Stack technologique : Next.js 15 (App Router), Supabase (PostgreSQL 17, Auth, Realtime, Storage), Vercel Edge, Orange Money API, Africa's Talking SMS, AgriTogo IA (DeepSeek + Gemini).</w:t>
      </w:r>
    </w:p>
    <w:p>
      <w:pPr>
        <w:pStyle w:val="ListParagraph"/>
        <w:numPr>
          <w:ilvl w:val="0"/>
          <w:numId w:val="1"/>
        </w:numPr>
        <w:spacing w:after="60" w:before="60"/>
      </w:pPr>
      <w:r>
        <w:rPr>
          <w:color w:val="1A1A1A"/>
          <w:sz w:val="21"/>
          <w:szCs w:val="21"/>
        </w:rPr>
        <w:t xml:space="preserve">Base de données : PostgreSQL 17 avec Row Level Security, 40+ tables</w:t>
      </w:r>
    </w:p>
    <w:p>
      <w:pPr>
        <w:pStyle w:val="ListParagraph"/>
        <w:numPr>
          <w:ilvl w:val="0"/>
          <w:numId w:val="1"/>
        </w:numPr>
        <w:spacing w:after="60" w:before="60"/>
      </w:pPr>
      <w:r>
        <w:rPr>
          <w:color w:val="1A1A1A"/>
          <w:sz w:val="21"/>
          <w:szCs w:val="21"/>
        </w:rPr>
        <w:t xml:space="preserve">Authentification : Supabase Auth (email, OTP SMS)</w:t>
      </w:r>
    </w:p>
    <w:p>
      <w:pPr>
        <w:pStyle w:val="ListParagraph"/>
        <w:numPr>
          <w:ilvl w:val="0"/>
          <w:numId w:val="1"/>
        </w:numPr>
        <w:spacing w:after="60" w:before="60"/>
      </w:pPr>
      <w:r>
        <w:rPr>
          <w:color w:val="1A1A1A"/>
          <w:sz w:val="21"/>
          <w:szCs w:val="21"/>
        </w:rPr>
        <w:t xml:space="preserve">Paiements : Orange Money (intégré), TMoney/Moov (à venir)</w:t>
      </w:r>
    </w:p>
    <w:p>
      <w:pPr>
        <w:pStyle w:val="ListParagraph"/>
        <w:numPr>
          <w:ilvl w:val="0"/>
          <w:numId w:val="1"/>
        </w:numPr>
        <w:spacing w:after="60" w:before="60"/>
      </w:pPr>
      <w:r>
        <w:rPr>
          <w:color w:val="1A1A1A"/>
          <w:sz w:val="21"/>
          <w:szCs w:val="21"/>
        </w:rPr>
        <w:t xml:space="preserve">Notifications : In-app (Realtime) + SMS (Africa's Talking) + Push</w:t>
      </w:r>
    </w:p>
    <w:p>
      <w:pPr>
        <w:pStyle w:val="ListParagraph"/>
        <w:numPr>
          <w:ilvl w:val="0"/>
          <w:numId w:val="1"/>
        </w:numPr>
        <w:spacing w:after="60" w:before="60"/>
      </w:pPr>
      <w:r>
        <w:rPr>
          <w:color w:val="1A1A1A"/>
          <w:sz w:val="21"/>
          <w:szCs w:val="21"/>
        </w:rPr>
        <w:t xml:space="preserve">IA embarquée : AgriTogo NLP — conseils agronomiques + alertes météo</w:t>
      </w:r>
    </w:p>
    <w:p>
      <w:pPr>
        <w:pStyle w:val="ListParagraph"/>
        <w:numPr>
          <w:ilvl w:val="0"/>
          <w:numId w:val="1"/>
        </w:numPr>
        <w:spacing w:after="60" w:before="60"/>
      </w:pPr>
      <w:r>
        <w:rPr>
          <w:color w:val="1A1A1A"/>
          <w:sz w:val="21"/>
          <w:szCs w:val="21"/>
        </w:rPr>
        <w:t xml:space="preserve">Score ATS : algorithme propriétaire 0–1000 (5 dimensions)</w:t>
      </w:r>
    </w:p>
    <w:p>
      <w:pPr>
        <w:pStyle w:val="ListParagraph"/>
        <w:numPr>
          <w:ilvl w:val="0"/>
          <w:numId w:val="1"/>
        </w:numPr>
        <w:spacing w:after="60" w:before="60"/>
      </w:pPr>
      <w:r>
        <w:rPr>
          <w:color w:val="1A1A1A"/>
          <w:sz w:val="21"/>
          <w:szCs w:val="21"/>
        </w:rPr>
        <w:t xml:space="preserve">Cartes membres : SVG renderer + QR Code + impression A4</w:t>
      </w:r>
    </w:p>
    <w:p>
      <w:pPr>
        <w:pStyle w:val="Heading2"/>
        <w:spacing w:after="180" w:before="360"/>
      </w:pPr>
      <w:r>
        <w:t xml:space="preserve">Annexe B — Score ATS — Détail des 5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5E20" w:val="solid"/>
            <w:tcMar>
              <w:top w:type="dxa" w:w="80"/>
              <w:left w:type="dxa" w:w="120"/>
              <w:bottom w:type="dxa" w:w="80"/>
              <w:right w:type="dxa" w:w="120"/>
            </w:tcMar>
          </w:tcPr>
          <w:p>
            <w:pPr>
              <w:jc w:val="left"/>
            </w:pPr>
            <w:r>
              <w:rPr>
                <w:b/>
                <w:bCs/>
                <w:color w:val="FFFFFF"/>
                <w:sz w:val="20"/>
                <w:szCs w:val="20"/>
              </w:rPr>
              <w:t xml:space="preserve">Dimension</w:t>
            </w:r>
          </w:p>
        </w:tc>
        <w:tc>
          <w:tcPr>
            <w:shd w:fill="1B5E20" w:val="solid"/>
            <w:tcMar>
              <w:top w:type="dxa" w:w="80"/>
              <w:left w:type="dxa" w:w="120"/>
              <w:bottom w:type="dxa" w:w="80"/>
              <w:right w:type="dxa" w:w="120"/>
            </w:tcMar>
          </w:tcPr>
          <w:p>
            <w:pPr>
              <w:jc w:val="center"/>
            </w:pPr>
            <w:r>
              <w:rPr>
                <w:b/>
                <w:bCs/>
                <w:color w:val="FFFFFF"/>
                <w:sz w:val="20"/>
                <w:szCs w:val="20"/>
              </w:rPr>
              <w:t xml:space="preserve">Poids</w:t>
            </w:r>
          </w:p>
        </w:tc>
        <w:tc>
          <w:tcPr>
            <w:shd w:fill="1B5E20" w:val="solid"/>
            <w:tcMar>
              <w:top w:type="dxa" w:w="80"/>
              <w:left w:type="dxa" w:w="120"/>
              <w:bottom w:type="dxa" w:w="80"/>
              <w:right w:type="dxa" w:w="120"/>
            </w:tcMar>
          </w:tcPr>
          <w:p>
            <w:pPr>
              <w:jc w:val="center"/>
            </w:pPr>
            <w:r>
              <w:rPr>
                <w:b/>
                <w:bCs/>
                <w:color w:val="FFFFFF"/>
                <w:sz w:val="20"/>
                <w:szCs w:val="20"/>
              </w:rPr>
              <w:t xml:space="preserve">Signal mesuré</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Cotisation</w:t>
            </w:r>
          </w:p>
        </w:tc>
        <w:tc>
          <w:tcPr>
            <w:tcMar>
              <w:top w:type="dxa" w:w="80"/>
              <w:left w:type="dxa" w:w="120"/>
              <w:bottom w:type="dxa" w:w="80"/>
              <w:right w:type="dxa" w:w="120"/>
            </w:tcMar>
          </w:tcPr>
          <w:p>
            <w:pPr>
              <w:jc w:val="center"/>
            </w:pPr>
            <w:r>
              <w:rPr>
                <w:b w:val="false"/>
                <w:bCs w:val="false"/>
                <w:color w:val="1A1A1A"/>
                <w:sz w:val="19"/>
                <w:szCs w:val="19"/>
              </w:rPr>
              <w:t xml:space="preserve">30 %</w:t>
            </w:r>
          </w:p>
        </w:tc>
        <w:tc>
          <w:tcPr>
            <w:tcMar>
              <w:top w:type="dxa" w:w="80"/>
              <w:left w:type="dxa" w:w="120"/>
              <w:bottom w:type="dxa" w:w="80"/>
              <w:right w:type="dxa" w:w="120"/>
            </w:tcMar>
          </w:tcPr>
          <w:p>
            <w:pPr>
              <w:jc w:val="center"/>
            </w:pPr>
            <w:r>
              <w:rPr>
                <w:b w:val="false"/>
                <w:bCs w:val="false"/>
                <w:color w:val="1A1A1A"/>
                <w:sz w:val="19"/>
                <w:szCs w:val="19"/>
              </w:rPr>
              <w:t xml:space="preserve">Régularité et complétude des paiements annuels</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Production</w:t>
            </w:r>
          </w:p>
        </w:tc>
        <w:tc>
          <w:tcPr>
            <w:tcMar>
              <w:top w:type="dxa" w:w="80"/>
              <w:left w:type="dxa" w:w="120"/>
              <w:bottom w:type="dxa" w:w="80"/>
              <w:right w:type="dxa" w:w="120"/>
            </w:tcMar>
          </w:tcPr>
          <w:p>
            <w:pPr>
              <w:jc w:val="center"/>
            </w:pPr>
            <w:r>
              <w:rPr>
                <w:b w:val="false"/>
                <w:bCs w:val="false"/>
                <w:color w:val="1A1A1A"/>
                <w:sz w:val="19"/>
                <w:szCs w:val="19"/>
              </w:rPr>
              <w:t xml:space="preserve">25 %</w:t>
            </w:r>
          </w:p>
        </w:tc>
        <w:tc>
          <w:tcPr>
            <w:tcMar>
              <w:top w:type="dxa" w:w="80"/>
              <w:left w:type="dxa" w:w="120"/>
              <w:bottom w:type="dxa" w:w="80"/>
              <w:right w:type="dxa" w:w="120"/>
            </w:tcMar>
          </w:tcPr>
          <w:p>
            <w:pPr>
              <w:jc w:val="center"/>
            </w:pPr>
            <w:r>
              <w:rPr>
                <w:b w:val="false"/>
                <w:bCs w:val="false"/>
                <w:color w:val="1A1A1A"/>
                <w:sz w:val="19"/>
                <w:szCs w:val="19"/>
              </w:rPr>
              <w:t xml:space="preserve">Volume et diversification des cultures déclarées</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Engagement</w:t>
            </w:r>
          </w:p>
        </w:tc>
        <w:tc>
          <w:tcPr>
            <w:tcMar>
              <w:top w:type="dxa" w:w="80"/>
              <w:left w:type="dxa" w:w="120"/>
              <w:bottom w:type="dxa" w:w="80"/>
              <w:right w:type="dxa" w:w="120"/>
            </w:tcMar>
          </w:tcPr>
          <w:p>
            <w:pPr>
              <w:jc w:val="center"/>
            </w:pPr>
            <w:r>
              <w:rPr>
                <w:b w:val="false"/>
                <w:bCs w:val="false"/>
                <w:color w:val="1A1A1A"/>
                <w:sz w:val="19"/>
                <w:szCs w:val="19"/>
              </w:rPr>
              <w:t xml:space="preserve">20 %</w:t>
            </w:r>
          </w:p>
        </w:tc>
        <w:tc>
          <w:tcPr>
            <w:tcMar>
              <w:top w:type="dxa" w:w="80"/>
              <w:left w:type="dxa" w:w="120"/>
              <w:bottom w:type="dxa" w:w="80"/>
              <w:right w:type="dxa" w:w="120"/>
            </w:tcMar>
          </w:tcPr>
          <w:p>
            <w:pPr>
              <w:jc w:val="center"/>
            </w:pPr>
            <w:r>
              <w:rPr>
                <w:b w:val="false"/>
                <w:bCs w:val="false"/>
                <w:color w:val="1A1A1A"/>
                <w:sz w:val="19"/>
                <w:szCs w:val="19"/>
              </w:rPr>
              <w:t xml:space="preserve">Participation réunions, activité plateforme</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Ancienneté</w:t>
            </w:r>
          </w:p>
        </w:tc>
        <w:tc>
          <w:tcPr>
            <w:tcMar>
              <w:top w:type="dxa" w:w="80"/>
              <w:left w:type="dxa" w:w="120"/>
              <w:bottom w:type="dxa" w:w="80"/>
              <w:right w:type="dxa" w:w="120"/>
            </w:tcMar>
          </w:tcPr>
          <w:p>
            <w:pPr>
              <w:jc w:val="center"/>
            </w:pPr>
            <w:r>
              <w:rPr>
                <w:b w:val="false"/>
                <w:bCs w:val="false"/>
                <w:color w:val="1A1A1A"/>
                <w:sz w:val="19"/>
                <w:szCs w:val="19"/>
              </w:rPr>
              <w:t xml:space="preserve">15 %</w:t>
            </w:r>
          </w:p>
        </w:tc>
        <w:tc>
          <w:tcPr>
            <w:tcMar>
              <w:top w:type="dxa" w:w="80"/>
              <w:left w:type="dxa" w:w="120"/>
              <w:bottom w:type="dxa" w:w="80"/>
              <w:right w:type="dxa" w:w="120"/>
            </w:tcMar>
          </w:tcPr>
          <w:p>
            <w:pPr>
              <w:jc w:val="center"/>
            </w:pPr>
            <w:r>
              <w:rPr>
                <w:b w:val="false"/>
                <w:bCs w:val="false"/>
                <w:color w:val="1A1A1A"/>
                <w:sz w:val="19"/>
                <w:szCs w:val="19"/>
              </w:rPr>
              <w:t xml:space="preserve">Durée d'appartenance à la coopérative</w:t>
            </w:r>
          </w:p>
        </w:tc>
      </w:tr>
      <w:tr>
        <w:trPr>
          <w:tblHeader w:val="false"/>
        </w:trPr>
        <w:tc>
          <w:tcPr>
            <w:tcMar>
              <w:top w:type="dxa" w:w="80"/>
              <w:left w:type="dxa" w:w="120"/>
              <w:bottom w:type="dxa" w:w="80"/>
              <w:right w:type="dxa" w:w="120"/>
            </w:tcMar>
          </w:tcPr>
          <w:p>
            <w:pPr>
              <w:jc w:val="left"/>
            </w:pPr>
            <w:r>
              <w:rPr>
                <w:b w:val="false"/>
                <w:bCs w:val="false"/>
                <w:color w:val="1A1A1A"/>
                <w:sz w:val="19"/>
                <w:szCs w:val="19"/>
              </w:rPr>
              <w:t xml:space="preserve">Parcelle</w:t>
            </w:r>
          </w:p>
        </w:tc>
        <w:tc>
          <w:tcPr>
            <w:tcMar>
              <w:top w:type="dxa" w:w="80"/>
              <w:left w:type="dxa" w:w="120"/>
              <w:bottom w:type="dxa" w:w="80"/>
              <w:right w:type="dxa" w:w="120"/>
            </w:tcMar>
          </w:tcPr>
          <w:p>
            <w:pPr>
              <w:jc w:val="center"/>
            </w:pPr>
            <w:r>
              <w:rPr>
                <w:b w:val="false"/>
                <w:bCs w:val="false"/>
                <w:color w:val="1A1A1A"/>
                <w:sz w:val="19"/>
                <w:szCs w:val="19"/>
              </w:rPr>
              <w:t xml:space="preserve">10 %</w:t>
            </w:r>
          </w:p>
        </w:tc>
        <w:tc>
          <w:tcPr>
            <w:tcMar>
              <w:top w:type="dxa" w:w="80"/>
              <w:left w:type="dxa" w:w="120"/>
              <w:bottom w:type="dxa" w:w="80"/>
              <w:right w:type="dxa" w:w="120"/>
            </w:tcMar>
          </w:tcPr>
          <w:p>
            <w:pPr>
              <w:jc w:val="center"/>
            </w:pPr>
            <w:r>
              <w:rPr>
                <w:b w:val="false"/>
                <w:bCs w:val="false"/>
                <w:color w:val="1A1A1A"/>
                <w:sz w:val="19"/>
                <w:szCs w:val="19"/>
              </w:rPr>
              <w:t xml:space="preserve">Surface enregistrée et géolocalisée</w:t>
            </w:r>
          </w:p>
        </w:tc>
      </w:tr>
    </w:tbl>
    <w:p>
      <w:pPr>
        <w:pStyle w:val="Heading2"/>
        <w:spacing w:after="180" w:before="360"/>
      </w:pPr>
      <w:r>
        <w:t xml:space="preserve">Annexe C — Glossaire</w:t>
      </w:r>
    </w:p>
    <w:p>
      <w:pPr>
        <w:pStyle w:val="ListParagraph"/>
        <w:numPr>
          <w:ilvl w:val="0"/>
          <w:numId w:val="1"/>
        </w:numPr>
        <w:spacing w:after="60" w:before="60"/>
      </w:pPr>
      <w:r>
        <w:rPr>
          <w:color w:val="1A1A1A"/>
          <w:sz w:val="21"/>
          <w:szCs w:val="21"/>
        </w:rPr>
        <w:t xml:space="preserve">ATS : Agricultural Trust Score — score de confiance agricole propriétaire</w:t>
      </w:r>
    </w:p>
    <w:p>
      <w:pPr>
        <w:pStyle w:val="ListParagraph"/>
        <w:numPr>
          <w:ilvl w:val="0"/>
          <w:numId w:val="1"/>
        </w:numPr>
        <w:spacing w:after="60" w:before="60"/>
      </w:pPr>
      <w:r>
        <w:rPr>
          <w:color w:val="1A1A1A"/>
          <w:sz w:val="21"/>
          <w:szCs w:val="21"/>
        </w:rPr>
        <w:t xml:space="preserve">MAEDR : Ministère de l'Agriculture, de l'Élevage et du Développement Rural</w:t>
      </w:r>
    </w:p>
    <w:p>
      <w:pPr>
        <w:pStyle w:val="ListParagraph"/>
        <w:numPr>
          <w:ilvl w:val="0"/>
          <w:numId w:val="1"/>
        </w:numPr>
        <w:spacing w:after="60" w:before="60"/>
      </w:pPr>
      <w:r>
        <w:rPr>
          <w:color w:val="1A1A1A"/>
          <w:sz w:val="21"/>
          <w:szCs w:val="21"/>
        </w:rPr>
        <w:t xml:space="preserve">CNCA : Caisse Nationale de Crédit Agricole</w:t>
      </w:r>
    </w:p>
    <w:p>
      <w:pPr>
        <w:pStyle w:val="ListParagraph"/>
        <w:numPr>
          <w:ilvl w:val="0"/>
          <w:numId w:val="1"/>
        </w:numPr>
        <w:spacing w:after="60" w:before="60"/>
      </w:pPr>
      <w:r>
        <w:rPr>
          <w:color w:val="1A1A1A"/>
          <w:sz w:val="21"/>
          <w:szCs w:val="21"/>
        </w:rPr>
        <w:t xml:space="preserve">FENAB : Fédération Nationale des Groupements et Coopératives Agricoles du Bénin (partenaire régional)</w:t>
      </w:r>
    </w:p>
    <w:p>
      <w:pPr>
        <w:pStyle w:val="ListParagraph"/>
        <w:numPr>
          <w:ilvl w:val="0"/>
          <w:numId w:val="1"/>
        </w:numPr>
        <w:spacing w:after="60" w:before="60"/>
      </w:pPr>
      <w:r>
        <w:rPr>
          <w:color w:val="1A1A1A"/>
          <w:sz w:val="21"/>
          <w:szCs w:val="21"/>
        </w:rPr>
        <w:t xml:space="preserve">FNGPC : Fédération Nationale des Groupements et Coopératives du Togo</w:t>
      </w:r>
    </w:p>
    <w:p>
      <w:pPr>
        <w:pStyle w:val="ListParagraph"/>
        <w:numPr>
          <w:ilvl w:val="0"/>
          <w:numId w:val="1"/>
        </w:numPr>
        <w:spacing w:after="60" w:before="60"/>
      </w:pPr>
      <w:r>
        <w:rPr>
          <w:color w:val="1A1A1A"/>
          <w:sz w:val="21"/>
          <w:szCs w:val="21"/>
        </w:rPr>
        <w:t xml:space="preserve">BCEAO : Banque Centrale des États de l'Afrique de l'Ouest</w:t>
      </w:r>
    </w:p>
    <w:p>
      <w:pPr>
        <w:pStyle w:val="ListParagraph"/>
        <w:numPr>
          <w:ilvl w:val="0"/>
          <w:numId w:val="1"/>
        </w:numPr>
        <w:spacing w:after="60" w:before="60"/>
      </w:pPr>
      <w:r>
        <w:rPr>
          <w:color w:val="1A1A1A"/>
          <w:sz w:val="21"/>
          <w:szCs w:val="21"/>
        </w:rPr>
        <w:t xml:space="preserve">DFI : Development Finance Institution (BEI, IFC, Proparco)</w:t>
      </w:r>
    </w:p>
    <w:p>
      <w:pPr>
        <w:pStyle w:val="ListParagraph"/>
        <w:numPr>
          <w:ilvl w:val="0"/>
          <w:numId w:val="1"/>
        </w:numPr>
        <w:spacing w:after="60" w:before="60"/>
      </w:pPr>
      <w:r>
        <w:rPr>
          <w:color w:val="1A1A1A"/>
          <w:sz w:val="21"/>
          <w:szCs w:val="21"/>
        </w:rPr>
        <w:t xml:space="preserve">ARR : Annual Recurring Revenue</w:t>
      </w:r>
    </w:p>
    <w:p>
      <w:pPr>
        <w:pStyle w:val="ListParagraph"/>
        <w:numPr>
          <w:ilvl w:val="0"/>
          <w:numId w:val="1"/>
        </w:numPr>
        <w:spacing w:after="60" w:before="60"/>
      </w:pPr>
      <w:r>
        <w:rPr>
          <w:color w:val="1A1A1A"/>
          <w:sz w:val="21"/>
          <w:szCs w:val="21"/>
        </w:rPr>
        <w:t xml:space="preserve">MOIC : Multiple on Invested Capital</w:t>
      </w:r>
    </w:p>
    <w:p>
      <w:pPr>
        <w:pStyle w:val="ListParagraph"/>
        <w:numPr>
          <w:ilvl w:val="0"/>
          <w:numId w:val="1"/>
        </w:numPr>
        <w:spacing w:after="60" w:before="60"/>
      </w:pPr>
      <w:r>
        <w:rPr>
          <w:color w:val="1A1A1A"/>
          <w:sz w:val="21"/>
          <w:szCs w:val="21"/>
        </w:rPr>
        <w:t xml:space="preserve">IRR : Internal Rate of Return (Taux de Rendement Interne)</w:t>
      </w:r>
    </w:p>
    <w:p>
      <w:r>
        <w:br w:type="page"/>
      </w:r>
    </w:p>
    <w:p>
      <w:pPr>
        <w:spacing w:after="200" w:before="600"/>
        <w:jc w:val="center"/>
      </w:pPr>
      <w:r>
        <w:rPr>
          <w:color w:val="AAAAAA"/>
        </w:rPr>
        <w:t xml:space="preserve">─────────────────────────────────────────</w:t>
      </w:r>
    </w:p>
    <w:p>
      <w:pPr>
        <w:spacing w:after="100" w:before="0"/>
        <w:jc w:val="center"/>
      </w:pPr>
      <w:r>
        <w:rPr>
          <w:b/>
          <w:bCs/>
          <w:color w:val="1B5E20"/>
          <w:sz w:val="28"/>
          <w:szCs w:val="28"/>
        </w:rPr>
        <w:t xml:space="preserve">FaîtiereHub</w:t>
      </w:r>
    </w:p>
    <w:p>
      <w:pPr>
        <w:spacing w:after="100" w:before="0"/>
        <w:jc w:val="center"/>
      </w:pPr>
      <w:r>
        <w:rPr>
          <w:i/>
          <w:iCs/>
          <w:color w:val="2E7D32"/>
          <w:sz w:val="22"/>
          <w:szCs w:val="22"/>
        </w:rPr>
        <w:t xml:space="preserve">infrastructure numérique agricole — Togo</w:t>
      </w:r>
    </w:p>
    <w:p>
      <w:pPr>
        <w:spacing w:after="200" w:before="0"/>
        <w:jc w:val="center"/>
      </w:pPr>
      <w:r>
        <w:rPr>
          <w:color w:val="AAAAAA"/>
          <w:sz w:val="20"/>
          <w:szCs w:val="20"/>
        </w:rPr>
        <w:t xml:space="preserve">contact@faitierehub.com  ·  www.faitierehub.com</w:t>
      </w:r>
    </w:p>
    <w:p>
      <w:pPr>
        <w:jc w:val="center"/>
      </w:pPr>
      <w:r>
        <w:rPr>
          <w:i/>
          <w:iCs/>
          <w:color w:val="AAAAAA"/>
          <w:sz w:val="18"/>
          <w:szCs w:val="18"/>
        </w:rPr>
        <w:t xml:space="preserve">Ce document est confidentiel. Toute reproduction ou diffusion sans autorisation écrite est interdite.</w:t>
      </w:r>
    </w:p>
    <w:sectPr>
      <w:headerReference w:type="default" r:id="rId7"/>
      <w:footerReference w:type="default" r:id="rId8"/>
      <w:pgSz w:w="11906" w:h="16838" w:orient="portrait"/>
      <w:pgMar w:top="1727" w:right="1727" w:bottom="1727"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pBdr>
      <w:jc w:val="center"/>
    </w:pPr>
    <w:r>
      <w:rPr>
        <w:color w:val="AAAAAA"/>
        <w:sz w:val="18"/>
        <w:szCs w:val="18"/>
      </w:rPr>
      <w:t xml:space="preserve">Confidentiel — Usage restreint    |    </w:t>
    </w:r>
    <w:r>
      <w:rPr>
        <w:color w:val="AAAAAA"/>
        <w:sz w:val="18"/>
        <w:szCs w:val="18"/>
      </w:rPr>
      <w:fldChar w:fldCharType="begin"/>
      <w:instrText xml:space="preserve">PAGE</w:instrText>
      <w:fldChar w:fldCharType="separate"/>
      <w:fldChar w:fldCharType="end"/>
    </w:r>
    <w:r>
      <w:rPr>
        <w:color w:val="AAAAAA"/>
        <w:sz w:val="18"/>
        <w:szCs w:val="18"/>
      </w:rPr>
      <w:t xml:space="preserve"> / </w:t>
    </w:r>
    <w:r>
      <w:rPr>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pBdr>
      <w:jc w:val="right"/>
    </w:pPr>
    <w:r>
      <w:rPr>
        <w:color w:val="AAAAAA"/>
        <w:sz w:val="18"/>
        <w:szCs w:val="18"/>
      </w:rPr>
      <w:t xml:space="preserve">FaîtiereHub — Conseil Stratégique Suprême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Calibri" w:cs="Calibri" w:eastAsia="Calibri" w:hAnsi="Calibri"/>
      <w:b/>
      <w:bCs/>
      <w:color w:val="1B5E20"/>
      <w:sz w:val="36"/>
      <w:szCs w:val="36"/>
    </w:rPr>
  </w:style>
  <w:style w:type="paragraph" w:styleId="Heading2">
    <w:name w:val="Heading 2"/>
    <w:basedOn w:val="Normal"/>
    <w:next w:val="Normal"/>
    <w:qFormat/>
    <w:pPr>
      <w:spacing w:after="180" w:before="360"/>
    </w:pPr>
    <w:rPr>
      <w:rFonts w:ascii="Calibri" w:cs="Calibri" w:eastAsia="Calibri" w:hAnsi="Calibri"/>
      <w:b/>
      <w:bCs/>
      <w:color w:val="2E7D32"/>
      <w:sz w:val="28"/>
      <w:szCs w:val="28"/>
    </w:rPr>
  </w:style>
  <w:style w:type="paragraph" w:styleId="Heading3">
    <w:name w:val="Heading 3"/>
    <w:basedOn w:val="Normal"/>
    <w:next w:val="Normal"/>
    <w:qFormat/>
    <w:pPr>
      <w:spacing w:after="120" w:before="240"/>
    </w:pPr>
    <w:rPr>
      <w:rFonts w:ascii="Calibri" w:cs="Calibri" w:eastAsia="Calibri" w:hAnsi="Calibri"/>
      <w:b/>
      <w:bCs/>
      <w:color w:val="43A047"/>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FaîtiereHub — Conseil Stratégique Suprême 2026</dc:title>
  <dc:creator>Un-named</dc:creator>
  <dc:description>Rapport stratégique complet à destination des investisseurs et décideurs institutionnels</dc:description>
  <cp:lastModifiedBy>Un-named</cp:lastModifiedBy>
  <cp:revision>1</cp:revision>
  <dcterms:created xsi:type="dcterms:W3CDTF">2026-06-16T20:55:43.418Z</dcterms:created>
  <dcterms:modified xsi:type="dcterms:W3CDTF">2026-06-16T20:55:43.419Z</dcterms:modified>
</cp:coreProperties>
</file>

<file path=docProps/custom.xml><?xml version="1.0" encoding="utf-8"?>
<Properties xmlns="http://schemas.openxmlformats.org/officeDocument/2006/custom-properties" xmlns:vt="http://schemas.openxmlformats.org/officeDocument/2006/docPropsVTypes"/>
</file>