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1F497D"/>
          <w:sz w:val="40"/>
        </w:rPr>
        <w:t>MScFE 652 — Portfolio Management</w:t>
      </w:r>
    </w:p>
    <w:p>
      <w:pPr>
        <w:jc w:val="center"/>
      </w:pPr>
      <w:r>
        <w:rPr>
          <w:rFonts w:ascii="Calibri" w:hAnsi="Calibri"/>
          <w:b/>
          <w:i w:val="0"/>
          <w:color w:val="1F497D"/>
          <w:sz w:val="32"/>
        </w:rPr>
        <w:t>Group Work Project #2</w:t>
      </w:r>
    </w:p>
    <w:p/>
    <w:p>
      <w:pPr>
        <w:jc w:val="center"/>
      </w:pPr>
      <w:r>
        <w:rPr>
          <w:rFonts w:ascii="Calibri" w:hAnsi="Calibri"/>
          <w:b w:val="0"/>
          <w:i/>
          <w:color w:val="595959"/>
          <w:sz w:val="26"/>
        </w:rPr>
        <w:t>Machine Learning Improvements to Kelly Portfolio Optimisation</w:t>
        <w:br/>
        <w:t>Denoising · Clustering (HRP) · Detoning</w:t>
      </w:r>
    </w:p>
    <w:p/>
    <w:p/>
    <w:tbl>
      <w:tblPr>
        <w:tblStyle w:val="TableGrid"/>
        <w:tblW w:type="auto" w:w="0"/>
        <w:tblLook w:firstColumn="1" w:firstRow="1" w:lastColumn="0" w:lastRow="0" w:noHBand="0" w:noVBand="1" w:val="04A0"/>
      </w:tblPr>
      <w:tblGrid>
        <w:gridCol w:w="4703"/>
        <w:gridCol w:w="4703"/>
      </w:tblGrid>
      <w:tr>
        <w:tc>
          <w:tcPr>
            <w:tcW w:type="dxa" w:w="4703"/>
          </w:tcPr>
          <w:p>
            <w:r>
              <w:rPr>
                <w:rFonts w:ascii="Calibri" w:hAnsi="Calibri"/>
                <w:b/>
                <w:i w:val="0"/>
                <w:sz w:val="20"/>
              </w:rPr>
              <w:t>Course</w:t>
            </w:r>
          </w:p>
        </w:tc>
        <w:tc>
          <w:tcPr>
            <w:tcW w:type="dxa" w:w="4703"/>
          </w:tcPr>
          <w:p>
            <w:r>
              <w:rPr>
                <w:rFonts w:ascii="Calibri" w:hAnsi="Calibri"/>
                <w:b w:val="0"/>
                <w:i w:val="0"/>
                <w:sz w:val="20"/>
              </w:rPr>
              <w:t>MScFE 652 — Portfolio Management</w:t>
            </w:r>
          </w:p>
        </w:tc>
      </w:tr>
      <w:tr>
        <w:tc>
          <w:tcPr>
            <w:tcW w:type="dxa" w:w="4703"/>
          </w:tcPr>
          <w:p>
            <w:r>
              <w:rPr>
                <w:rFonts w:ascii="Calibri" w:hAnsi="Calibri"/>
                <w:b/>
                <w:i w:val="0"/>
                <w:sz w:val="20"/>
              </w:rPr>
              <w:t>Submission</w:t>
            </w:r>
          </w:p>
        </w:tc>
        <w:tc>
          <w:tcPr>
            <w:tcW w:type="dxa" w:w="4703"/>
          </w:tcPr>
          <w:p>
            <w:r>
              <w:rPr>
                <w:rFonts w:ascii="Calibri" w:hAnsi="Calibri"/>
                <w:b w:val="0"/>
                <w:i w:val="0"/>
                <w:sz w:val="20"/>
              </w:rPr>
              <w:t>Group Work Project 2  |  Set F</w:t>
            </w:r>
          </w:p>
        </w:tc>
      </w:tr>
      <w:tr>
        <w:tc>
          <w:tcPr>
            <w:tcW w:type="dxa" w:w="4703"/>
          </w:tcPr>
          <w:p>
            <w:r>
              <w:rPr>
                <w:rFonts w:ascii="Calibri" w:hAnsi="Calibri"/>
                <w:b/>
                <w:i w:val="0"/>
                <w:sz w:val="20"/>
              </w:rPr>
              <w:t>Members</w:t>
            </w:r>
          </w:p>
        </w:tc>
        <w:tc>
          <w:tcPr>
            <w:tcW w:type="dxa" w:w="4703"/>
          </w:tcPr>
          <w:p>
            <w:r>
              <w:rPr>
                <w:rFonts w:ascii="Calibri" w:hAnsi="Calibri"/>
                <w:b w:val="0"/>
                <w:i w:val="0"/>
                <w:sz w:val="20"/>
              </w:rPr>
              <w:t>Kokob Hadgu Beyene (Ethiopia)  |  TATCHIDA Issodo Louis (Togo)</w:t>
            </w:r>
          </w:p>
        </w:tc>
      </w:tr>
      <w:tr>
        <w:tc>
          <w:tcPr>
            <w:tcW w:type="dxa" w:w="4703"/>
          </w:tcPr>
          <w:p>
            <w:r>
              <w:rPr>
                <w:rFonts w:ascii="Calibri" w:hAnsi="Calibri"/>
                <w:b/>
                <w:i w:val="0"/>
                <w:sz w:val="20"/>
              </w:rPr>
              <w:t>Date</w:t>
            </w:r>
          </w:p>
        </w:tc>
        <w:tc>
          <w:tcPr>
            <w:tcW w:type="dxa" w:w="4703"/>
          </w:tcPr>
          <w:p>
            <w:r>
              <w:rPr>
                <w:rFonts w:ascii="Calibri" w:hAnsi="Calibri"/>
                <w:b w:val="0"/>
                <w:i w:val="0"/>
                <w:sz w:val="20"/>
              </w:rPr>
              <w:t>June 2026</w:t>
            </w:r>
          </w:p>
        </w:tc>
      </w:tr>
    </w:tbl>
    <w:p>
      <w:r>
        <w:br w:type="page"/>
      </w:r>
    </w:p>
    <w:p>
      <w:pPr>
        <w:spacing w:before="280" w:after="80"/>
      </w:pPr>
      <w:r>
        <w:rPr>
          <w:rFonts w:ascii="Calibri" w:hAnsi="Calibri"/>
          <w:b/>
          <w:i w:val="0"/>
          <w:color w:val="1F497D"/>
          <w:sz w:val="32"/>
        </w:rPr>
        <w:t>Step 1: Optimal Kelly Portfolio Optimisation</w:t>
      </w:r>
    </w:p>
    <w:p>
      <w:pPr>
        <w:spacing w:after="120" w:before="0"/>
        <w:jc w:val="both"/>
      </w:pPr>
      <w:r>
        <w:rPr>
          <w:rFonts w:ascii="Calibri" w:hAnsi="Calibri"/>
          <w:b w:val="0"/>
          <w:i w:val="0"/>
          <w:sz w:val="22"/>
        </w:rPr>
        <w:t>We construct an institutional portfolio of 10 large-cap US equities: AAPL, MSFT, AMZN, NVDA, JPM, V, XOM, PG, JNJ, and LLY. Daily adjusted closing prices are downloaded via yfinance for the period January 1, 2024 to September 30, 2025 (in-sample training window, 437 trading days). Daily returns are computed as percentage changes in adjusted closing prices, with the annualised risk-free rate set at 4% (rf = 0.04).</w:t>
      </w:r>
    </w:p>
    <w:p>
      <w:pPr>
        <w:spacing w:after="120" w:before="0"/>
        <w:jc w:val="both"/>
      </w:pPr>
      <w:r>
        <w:rPr>
          <w:rFonts w:ascii="Calibri" w:hAnsi="Calibri"/>
          <w:b w:val="0"/>
          <w:i w:val="0"/>
          <w:sz w:val="22"/>
        </w:rPr>
        <w:t>The Kelly criterion maximises the expected log-growth rate of wealth. Under a second-order Taylor approximation, the objective is:</w:t>
      </w:r>
    </w:p>
    <w:p>
      <w:pPr>
        <w:spacing w:after="80" w:before="0"/>
        <w:jc w:val="both"/>
      </w:pPr>
      <w:r>
        <w:rPr>
          <w:rFonts w:ascii="Calibri" w:hAnsi="Calibri"/>
          <w:b w:val="0"/>
          <w:i w:val="0"/>
          <w:sz w:val="22"/>
        </w:rPr>
        <w:t xml:space="preserve">    G(w) = rf + w'(mu - rf*1) - (1/2) * w' * Sigma * w</w:t>
      </w:r>
    </w:p>
    <w:p>
      <w:pPr>
        <w:spacing w:after="80" w:before="0"/>
        <w:jc w:val="both"/>
      </w:pPr>
      <w:r>
        <w:rPr>
          <w:rFonts w:ascii="Calibri" w:hAnsi="Calibri"/>
          <w:b w:val="0"/>
          <w:i w:val="0"/>
          <w:sz w:val="22"/>
        </w:rPr>
        <w:t>where w is the weight vector, mu the annualised expected return vector, and Sigma the annualised covariance matrix. We solve two configurations:</w:t>
      </w:r>
    </w:p>
    <w:p>
      <w:pPr>
        <w:pStyle w:val="ListBullet"/>
        <w:spacing w:after="60"/>
        <w:ind w:left="567"/>
      </w:pPr>
      <w:r>
        <w:rPr>
          <w:rFonts w:ascii="Calibri" w:hAnsi="Calibri"/>
          <w:b w:val="0"/>
          <w:i w:val="0"/>
          <w:sz w:val="22"/>
        </w:rPr>
        <w:t>Unconstrained (long-only, 0–100% per asset): Concentrates 100% in NVDA, the highest-expected-return asset over the in-sample period.</w:t>
      </w:r>
    </w:p>
    <w:p>
      <w:pPr>
        <w:pStyle w:val="ListBullet"/>
        <w:spacing w:after="60"/>
        <w:ind w:left="567"/>
      </w:pPr>
      <w:r>
        <w:rPr>
          <w:rFonts w:ascii="Calibri" w:hAnsi="Calibri"/>
          <w:b w:val="0"/>
          <w:i w:val="0"/>
          <w:sz w:val="22"/>
        </w:rPr>
        <w:t>Constrained (max 20% per asset): Distributes capital more evenly; feasibility confirmed.</w:t>
      </w:r>
    </w:p>
    <w:p>
      <w:pPr>
        <w:spacing w:after="120" w:before="0"/>
        <w:jc w:val="both"/>
      </w:pPr>
      <w:r>
        <w:rPr>
          <w:rFonts w:ascii="Calibri" w:hAnsi="Calibri"/>
          <w:b w:val="0"/>
          <w:i w:val="0"/>
          <w:sz w:val="22"/>
        </w:rPr>
      </w:r>
    </w:p>
    <w:p>
      <w:pPr>
        <w:spacing w:before="160" w:after="80"/>
      </w:pPr>
      <w:r>
        <w:rPr>
          <w:rFonts w:ascii="Calibri" w:hAnsi="Calibri"/>
          <w:b/>
          <w:i w:val="0"/>
          <w:color w:val="1F497D"/>
          <w:sz w:val="26"/>
        </w:rPr>
        <w:t>Results — Step 1</w:t>
      </w:r>
    </w:p>
    <w:tbl>
      <w:tblPr>
        <w:tblStyle w:val="TableGrid"/>
        <w:tblW w:type="auto" w:w="0"/>
        <w:tblLook w:firstColumn="1" w:firstRow="1" w:lastColumn="0" w:lastRow="0" w:noHBand="0" w:noVBand="1" w:val="04A0"/>
      </w:tblPr>
      <w:tblGrid>
        <w:gridCol w:w="3135"/>
        <w:gridCol w:w="3135"/>
        <w:gridCol w:w="3135"/>
      </w:tblGrid>
      <w:tr>
        <w:tc>
          <w:tcPr>
            <w:tcW w:type="dxa" w:w="3135"/>
            <w:shd w:fill="1F497D" w:val="clear"/>
          </w:tcPr>
          <w:p>
            <w:pPr>
              <w:jc w:val="center"/>
            </w:pPr>
            <w:r>
              <w:rPr>
                <w:rFonts w:ascii="Calibri" w:hAnsi="Calibri"/>
                <w:b/>
                <w:i w:val="0"/>
                <w:color w:val="FFFFFF"/>
                <w:sz w:val="20"/>
              </w:rPr>
              <w:t>Asset</w:t>
            </w:r>
          </w:p>
        </w:tc>
        <w:tc>
          <w:tcPr>
            <w:tcW w:type="dxa" w:w="3135"/>
            <w:shd w:fill="1F497D" w:val="clear"/>
          </w:tcPr>
          <w:p>
            <w:pPr>
              <w:jc w:val="center"/>
            </w:pPr>
            <w:r>
              <w:rPr>
                <w:rFonts w:ascii="Calibri" w:hAnsi="Calibri"/>
                <w:b/>
                <w:i w:val="0"/>
                <w:color w:val="FFFFFF"/>
                <w:sz w:val="20"/>
              </w:rPr>
              <w:t>Unconstrained Kelly Weight</w:t>
            </w:r>
          </w:p>
        </w:tc>
        <w:tc>
          <w:tcPr>
            <w:tcW w:type="dxa" w:w="3135"/>
            <w:shd w:fill="1F497D" w:val="clear"/>
          </w:tcPr>
          <w:p>
            <w:pPr>
              <w:jc w:val="center"/>
            </w:pPr>
            <w:r>
              <w:rPr>
                <w:rFonts w:ascii="Calibri" w:hAnsi="Calibri"/>
                <w:b/>
                <w:i w:val="0"/>
                <w:color w:val="FFFFFF"/>
                <w:sz w:val="20"/>
              </w:rPr>
              <w:t>Constrained Kelly Weight (max 20%)</w:t>
            </w:r>
          </w:p>
        </w:tc>
      </w:tr>
      <w:tr>
        <w:tc>
          <w:tcPr>
            <w:tcW w:type="dxa" w:w="3135"/>
            <w:shd w:fill="EBF3FB" w:val="clear"/>
          </w:tcPr>
          <w:p>
            <w:pPr>
              <w:jc w:val="center"/>
            </w:pPr>
            <w:r>
              <w:rPr>
                <w:rFonts w:ascii="Calibri" w:hAnsi="Calibri"/>
                <w:b w:val="0"/>
                <w:i w:val="0"/>
                <w:sz w:val="20"/>
              </w:rPr>
              <w:t>AAPL</w:t>
            </w:r>
          </w:p>
        </w:tc>
        <w:tc>
          <w:tcPr>
            <w:tcW w:type="dxa" w:w="3135"/>
            <w:shd w:fill="EBF3FB" w:val="clear"/>
          </w:tcPr>
          <w:p>
            <w:pPr>
              <w:jc w:val="center"/>
            </w:pPr>
            <w:r>
              <w:rPr>
                <w:rFonts w:ascii="Calibri" w:hAnsi="Calibri"/>
                <w:b w:val="0"/>
                <w:i w:val="0"/>
                <w:sz w:val="20"/>
              </w:rPr>
              <w:t>0.0000</w:t>
            </w:r>
          </w:p>
        </w:tc>
        <w:tc>
          <w:tcPr>
            <w:tcW w:type="dxa" w:w="3135"/>
            <w:shd w:fill="EBF3FB" w:val="clear"/>
          </w:tcPr>
          <w:p>
            <w:pPr>
              <w:jc w:val="center"/>
            </w:pPr>
            <w:r>
              <w:rPr>
                <w:rFonts w:ascii="Calibri" w:hAnsi="Calibri"/>
                <w:b w:val="0"/>
                <w:i w:val="0"/>
                <w:sz w:val="20"/>
              </w:rPr>
              <w:t>0.1489</w:t>
            </w:r>
          </w:p>
        </w:tc>
      </w:tr>
      <w:tr>
        <w:tc>
          <w:tcPr>
            <w:tcW w:type="dxa" w:w="3135"/>
          </w:tcPr>
          <w:p>
            <w:pPr>
              <w:jc w:val="center"/>
            </w:pPr>
            <w:r>
              <w:rPr>
                <w:rFonts w:ascii="Calibri" w:hAnsi="Calibri"/>
                <w:b w:val="0"/>
                <w:i w:val="0"/>
                <w:sz w:val="20"/>
              </w:rPr>
              <w:t>MSFT</w:t>
            </w:r>
          </w:p>
        </w:tc>
        <w:tc>
          <w:tcPr>
            <w:tcW w:type="dxa" w:w="3135"/>
          </w:tcPr>
          <w:p>
            <w:pPr>
              <w:jc w:val="center"/>
            </w:pPr>
            <w:r>
              <w:rPr>
                <w:rFonts w:ascii="Calibri" w:hAnsi="Calibri"/>
                <w:b w:val="0"/>
                <w:i w:val="0"/>
                <w:sz w:val="20"/>
              </w:rPr>
              <w:t>0.0000</w:t>
            </w:r>
          </w:p>
        </w:tc>
        <w:tc>
          <w:tcPr>
            <w:tcW w:type="dxa" w:w="3135"/>
          </w:tcPr>
          <w:p>
            <w:pPr>
              <w:jc w:val="center"/>
            </w:pPr>
            <w:r>
              <w:rPr>
                <w:rFonts w:ascii="Calibri" w:hAnsi="Calibri"/>
                <w:b w:val="0"/>
                <w:i w:val="0"/>
                <w:sz w:val="20"/>
              </w:rPr>
              <w:t>0.1467</w:t>
            </w:r>
          </w:p>
        </w:tc>
      </w:tr>
      <w:tr>
        <w:tc>
          <w:tcPr>
            <w:tcW w:type="dxa" w:w="3135"/>
            <w:shd w:fill="EBF3FB" w:val="clear"/>
          </w:tcPr>
          <w:p>
            <w:pPr>
              <w:jc w:val="center"/>
            </w:pPr>
            <w:r>
              <w:rPr>
                <w:rFonts w:ascii="Calibri" w:hAnsi="Calibri"/>
                <w:b w:val="0"/>
                <w:i w:val="0"/>
                <w:sz w:val="20"/>
              </w:rPr>
              <w:t>AMZN</w:t>
            </w:r>
          </w:p>
        </w:tc>
        <w:tc>
          <w:tcPr>
            <w:tcW w:type="dxa" w:w="3135"/>
            <w:shd w:fill="EBF3FB" w:val="clear"/>
          </w:tcPr>
          <w:p>
            <w:pPr>
              <w:jc w:val="center"/>
            </w:pPr>
            <w:r>
              <w:rPr>
                <w:rFonts w:ascii="Calibri" w:hAnsi="Calibri"/>
                <w:b w:val="0"/>
                <w:i w:val="0"/>
                <w:sz w:val="20"/>
              </w:rPr>
              <w:t>0.0000</w:t>
            </w:r>
          </w:p>
        </w:tc>
        <w:tc>
          <w:tcPr>
            <w:tcW w:type="dxa" w:w="3135"/>
            <w:shd w:fill="EBF3FB" w:val="clear"/>
          </w:tcPr>
          <w:p>
            <w:pPr>
              <w:jc w:val="center"/>
            </w:pPr>
            <w:r>
              <w:rPr>
                <w:rFonts w:ascii="Calibri" w:hAnsi="Calibri"/>
                <w:b w:val="0"/>
                <w:i w:val="0"/>
                <w:sz w:val="20"/>
              </w:rPr>
              <w:t>0.2000</w:t>
            </w:r>
          </w:p>
        </w:tc>
      </w:tr>
      <w:tr>
        <w:tc>
          <w:tcPr>
            <w:tcW w:type="dxa" w:w="3135"/>
          </w:tcPr>
          <w:p>
            <w:pPr>
              <w:jc w:val="center"/>
            </w:pPr>
            <w:r>
              <w:rPr>
                <w:rFonts w:ascii="Calibri" w:hAnsi="Calibri"/>
                <w:b w:val="0"/>
                <w:i w:val="0"/>
                <w:sz w:val="20"/>
              </w:rPr>
              <w:t>NVDA</w:t>
            </w:r>
          </w:p>
        </w:tc>
        <w:tc>
          <w:tcPr>
            <w:tcW w:type="dxa" w:w="3135"/>
          </w:tcPr>
          <w:p>
            <w:pPr>
              <w:jc w:val="center"/>
            </w:pPr>
            <w:r>
              <w:rPr>
                <w:rFonts w:ascii="Calibri" w:hAnsi="Calibri"/>
                <w:b w:val="0"/>
                <w:i w:val="0"/>
                <w:sz w:val="20"/>
              </w:rPr>
              <w:t>1.0000</w:t>
            </w:r>
          </w:p>
        </w:tc>
        <w:tc>
          <w:tcPr>
            <w:tcW w:type="dxa" w:w="3135"/>
          </w:tcPr>
          <w:p>
            <w:pPr>
              <w:jc w:val="center"/>
            </w:pPr>
            <w:r>
              <w:rPr>
                <w:rFonts w:ascii="Calibri" w:hAnsi="Calibri"/>
                <w:b w:val="0"/>
                <w:i w:val="0"/>
                <w:sz w:val="20"/>
              </w:rPr>
              <w:t>0.2000</w:t>
            </w:r>
          </w:p>
        </w:tc>
      </w:tr>
      <w:tr>
        <w:tc>
          <w:tcPr>
            <w:tcW w:type="dxa" w:w="3135"/>
            <w:shd w:fill="EBF3FB" w:val="clear"/>
          </w:tcPr>
          <w:p>
            <w:pPr>
              <w:jc w:val="center"/>
            </w:pPr>
            <w:r>
              <w:rPr>
                <w:rFonts w:ascii="Calibri" w:hAnsi="Calibri"/>
                <w:b w:val="0"/>
                <w:i w:val="0"/>
                <w:sz w:val="20"/>
              </w:rPr>
              <w:t>JPM</w:t>
            </w:r>
          </w:p>
        </w:tc>
        <w:tc>
          <w:tcPr>
            <w:tcW w:type="dxa" w:w="3135"/>
            <w:shd w:fill="EBF3FB" w:val="clear"/>
          </w:tcPr>
          <w:p>
            <w:pPr>
              <w:jc w:val="center"/>
            </w:pPr>
            <w:r>
              <w:rPr>
                <w:rFonts w:ascii="Calibri" w:hAnsi="Calibri"/>
                <w:b w:val="0"/>
                <w:i w:val="0"/>
                <w:sz w:val="20"/>
              </w:rPr>
              <w:t>0.0000</w:t>
            </w:r>
          </w:p>
        </w:tc>
        <w:tc>
          <w:tcPr>
            <w:tcW w:type="dxa" w:w="3135"/>
            <w:shd w:fill="EBF3FB" w:val="clear"/>
          </w:tcPr>
          <w:p>
            <w:pPr>
              <w:jc w:val="center"/>
            </w:pPr>
            <w:r>
              <w:rPr>
                <w:rFonts w:ascii="Calibri" w:hAnsi="Calibri"/>
                <w:b w:val="0"/>
                <w:i w:val="0"/>
                <w:sz w:val="20"/>
              </w:rPr>
              <w:t>0.2000</w:t>
            </w:r>
          </w:p>
        </w:tc>
      </w:tr>
      <w:tr>
        <w:tc>
          <w:tcPr>
            <w:tcW w:type="dxa" w:w="3135"/>
          </w:tcPr>
          <w:p>
            <w:pPr>
              <w:jc w:val="center"/>
            </w:pPr>
            <w:r>
              <w:rPr>
                <w:rFonts w:ascii="Calibri" w:hAnsi="Calibri"/>
                <w:b w:val="0"/>
                <w:i w:val="0"/>
                <w:sz w:val="20"/>
              </w:rPr>
              <w:t>V</w:t>
            </w:r>
          </w:p>
        </w:tc>
        <w:tc>
          <w:tcPr>
            <w:tcW w:type="dxa" w:w="3135"/>
          </w:tcPr>
          <w:p>
            <w:pPr>
              <w:jc w:val="center"/>
            </w:pPr>
            <w:r>
              <w:rPr>
                <w:rFonts w:ascii="Calibri" w:hAnsi="Calibri"/>
                <w:b w:val="0"/>
                <w:i w:val="0"/>
                <w:sz w:val="20"/>
              </w:rPr>
              <w:t>0.0000</w:t>
            </w:r>
          </w:p>
        </w:tc>
        <w:tc>
          <w:tcPr>
            <w:tcW w:type="dxa" w:w="3135"/>
          </w:tcPr>
          <w:p>
            <w:pPr>
              <w:jc w:val="center"/>
            </w:pPr>
            <w:r>
              <w:rPr>
                <w:rFonts w:ascii="Calibri" w:hAnsi="Calibri"/>
                <w:b w:val="0"/>
                <w:i w:val="0"/>
                <w:sz w:val="20"/>
              </w:rPr>
              <w:t>0.0000</w:t>
            </w:r>
          </w:p>
        </w:tc>
      </w:tr>
      <w:tr>
        <w:tc>
          <w:tcPr>
            <w:tcW w:type="dxa" w:w="3135"/>
            <w:shd w:fill="EBF3FB" w:val="clear"/>
          </w:tcPr>
          <w:p>
            <w:pPr>
              <w:jc w:val="center"/>
            </w:pPr>
            <w:r>
              <w:rPr>
                <w:rFonts w:ascii="Calibri" w:hAnsi="Calibri"/>
                <w:b w:val="0"/>
                <w:i w:val="0"/>
                <w:sz w:val="20"/>
              </w:rPr>
              <w:t>XOM</w:t>
            </w:r>
          </w:p>
        </w:tc>
        <w:tc>
          <w:tcPr>
            <w:tcW w:type="dxa" w:w="3135"/>
            <w:shd w:fill="EBF3FB" w:val="clear"/>
          </w:tcPr>
          <w:p>
            <w:pPr>
              <w:jc w:val="center"/>
            </w:pPr>
            <w:r>
              <w:rPr>
                <w:rFonts w:ascii="Calibri" w:hAnsi="Calibri"/>
                <w:b w:val="0"/>
                <w:i w:val="0"/>
                <w:sz w:val="20"/>
              </w:rPr>
              <w:t>0.0000</w:t>
            </w:r>
          </w:p>
        </w:tc>
        <w:tc>
          <w:tcPr>
            <w:tcW w:type="dxa" w:w="3135"/>
            <w:shd w:fill="EBF3FB" w:val="clear"/>
          </w:tcPr>
          <w:p>
            <w:pPr>
              <w:jc w:val="center"/>
            </w:pPr>
            <w:r>
              <w:rPr>
                <w:rFonts w:ascii="Calibri" w:hAnsi="Calibri"/>
                <w:b w:val="0"/>
                <w:i w:val="0"/>
                <w:sz w:val="20"/>
              </w:rPr>
              <w:t>0.0000</w:t>
            </w:r>
          </w:p>
        </w:tc>
      </w:tr>
      <w:tr>
        <w:tc>
          <w:tcPr>
            <w:tcW w:type="dxa" w:w="3135"/>
          </w:tcPr>
          <w:p>
            <w:pPr>
              <w:jc w:val="center"/>
            </w:pPr>
            <w:r>
              <w:rPr>
                <w:rFonts w:ascii="Calibri" w:hAnsi="Calibri"/>
                <w:b w:val="0"/>
                <w:i w:val="0"/>
                <w:sz w:val="20"/>
              </w:rPr>
              <w:t>PG</w:t>
            </w:r>
          </w:p>
        </w:tc>
        <w:tc>
          <w:tcPr>
            <w:tcW w:type="dxa" w:w="3135"/>
          </w:tcPr>
          <w:p>
            <w:pPr>
              <w:jc w:val="center"/>
            </w:pPr>
            <w:r>
              <w:rPr>
                <w:rFonts w:ascii="Calibri" w:hAnsi="Calibri"/>
                <w:b w:val="0"/>
                <w:i w:val="0"/>
                <w:sz w:val="20"/>
              </w:rPr>
              <w:t>0.0000</w:t>
            </w:r>
          </w:p>
        </w:tc>
        <w:tc>
          <w:tcPr>
            <w:tcW w:type="dxa" w:w="3135"/>
          </w:tcPr>
          <w:p>
            <w:pPr>
              <w:jc w:val="center"/>
            </w:pPr>
            <w:r>
              <w:rPr>
                <w:rFonts w:ascii="Calibri" w:hAnsi="Calibri"/>
                <w:b w:val="0"/>
                <w:i w:val="0"/>
                <w:sz w:val="20"/>
              </w:rPr>
              <w:t>0.0000</w:t>
            </w:r>
          </w:p>
        </w:tc>
      </w:tr>
      <w:tr>
        <w:tc>
          <w:tcPr>
            <w:tcW w:type="dxa" w:w="3135"/>
            <w:shd w:fill="EBF3FB" w:val="clear"/>
          </w:tcPr>
          <w:p>
            <w:pPr>
              <w:jc w:val="center"/>
            </w:pPr>
            <w:r>
              <w:rPr>
                <w:rFonts w:ascii="Calibri" w:hAnsi="Calibri"/>
                <w:b w:val="0"/>
                <w:i w:val="0"/>
                <w:sz w:val="20"/>
              </w:rPr>
              <w:t>JNJ</w:t>
            </w:r>
          </w:p>
        </w:tc>
        <w:tc>
          <w:tcPr>
            <w:tcW w:type="dxa" w:w="3135"/>
            <w:shd w:fill="EBF3FB" w:val="clear"/>
          </w:tcPr>
          <w:p>
            <w:pPr>
              <w:jc w:val="center"/>
            </w:pPr>
            <w:r>
              <w:rPr>
                <w:rFonts w:ascii="Calibri" w:hAnsi="Calibri"/>
                <w:b w:val="0"/>
                <w:i w:val="0"/>
                <w:sz w:val="20"/>
              </w:rPr>
              <w:t>0.0000</w:t>
            </w:r>
          </w:p>
        </w:tc>
        <w:tc>
          <w:tcPr>
            <w:tcW w:type="dxa" w:w="3135"/>
            <w:shd w:fill="EBF3FB" w:val="clear"/>
          </w:tcPr>
          <w:p>
            <w:pPr>
              <w:jc w:val="center"/>
            </w:pPr>
            <w:r>
              <w:rPr>
                <w:rFonts w:ascii="Calibri" w:hAnsi="Calibri"/>
                <w:b w:val="0"/>
                <w:i w:val="0"/>
                <w:sz w:val="20"/>
              </w:rPr>
              <w:t>0.0000</w:t>
            </w:r>
          </w:p>
        </w:tc>
      </w:tr>
      <w:tr>
        <w:tc>
          <w:tcPr>
            <w:tcW w:type="dxa" w:w="3135"/>
          </w:tcPr>
          <w:p>
            <w:pPr>
              <w:jc w:val="center"/>
            </w:pPr>
            <w:r>
              <w:rPr>
                <w:rFonts w:ascii="Calibri" w:hAnsi="Calibri"/>
                <w:b w:val="0"/>
                <w:i w:val="0"/>
                <w:sz w:val="20"/>
              </w:rPr>
              <w:t>LLY</w:t>
            </w:r>
          </w:p>
        </w:tc>
        <w:tc>
          <w:tcPr>
            <w:tcW w:type="dxa" w:w="3135"/>
          </w:tcPr>
          <w:p>
            <w:pPr>
              <w:jc w:val="center"/>
            </w:pPr>
            <w:r>
              <w:rPr>
                <w:rFonts w:ascii="Calibri" w:hAnsi="Calibri"/>
                <w:b w:val="0"/>
                <w:i w:val="0"/>
                <w:sz w:val="20"/>
              </w:rPr>
              <w:t>0.0000</w:t>
            </w:r>
          </w:p>
        </w:tc>
        <w:tc>
          <w:tcPr>
            <w:tcW w:type="dxa" w:w="3135"/>
          </w:tcPr>
          <w:p>
            <w:pPr>
              <w:jc w:val="center"/>
            </w:pPr>
            <w:r>
              <w:rPr>
                <w:rFonts w:ascii="Calibri" w:hAnsi="Calibri"/>
                <w:b w:val="0"/>
                <w:i w:val="0"/>
                <w:sz w:val="20"/>
              </w:rPr>
              <w:t>0.1044</w:t>
            </w:r>
          </w:p>
        </w:tc>
      </w:tr>
    </w:tbl>
    <w:p>
      <w:pPr>
        <w:spacing w:after="120" w:before="0"/>
        <w:jc w:val="both"/>
      </w:pPr>
      <w:r>
        <w:rPr>
          <w:rFonts w:ascii="Calibri" w:hAnsi="Calibri"/>
          <w:b w:val="0"/>
          <w:i w:val="0"/>
          <w:sz w:val="22"/>
        </w:rPr>
      </w:r>
    </w:p>
    <w:p>
      <w:pPr>
        <w:spacing w:after="120" w:before="0"/>
        <w:jc w:val="both"/>
      </w:pPr>
      <w:r>
        <w:rPr>
          <w:rFonts w:ascii="Calibri" w:hAnsi="Calibri"/>
          <w:b w:val="0"/>
          <w:i w:val="0"/>
          <w:sz w:val="22"/>
        </w:rPr>
        <w:t>The unconstrained Kelly portfolio invests entirely in NVDA, reflecting its dominant in-sample Sharpe ratio. The constrained portfolio (20% cap) distributes capital across AMZN, NVDA, and JPM at the ceiling, with AAPL, MSFT, and LLY filling the remainder. V, XOM, PG, and JNJ receive zero allocation under both configurations, indicating they offer insufficient risk-adjusted return relative to the alternatives. All subsequent analysis uses the constrained Kelly weights as the baseline.</w:t>
      </w:r>
    </w:p>
    <w:p>
      <w:r>
        <w:br w:type="page"/>
      </w:r>
    </w:p>
    <w:p>
      <w:pPr>
        <w:spacing w:before="280" w:after="80"/>
      </w:pPr>
      <w:r>
        <w:rPr>
          <w:rFonts w:ascii="Calibri" w:hAnsi="Calibri"/>
          <w:b/>
          <w:i w:val="0"/>
          <w:color w:val="1F497D"/>
          <w:sz w:val="32"/>
        </w:rPr>
        <w:t>Step 2: Out-of-Sample Performance — Half / Full / Double Kelly</w:t>
      </w:r>
    </w:p>
    <w:p>
      <w:pPr>
        <w:spacing w:after="120" w:before="0"/>
        <w:jc w:val="both"/>
      </w:pPr>
      <w:r>
        <w:rPr>
          <w:rFonts w:ascii="Calibri" w:hAnsi="Calibri"/>
          <w:b w:val="0"/>
          <w:i w:val="0"/>
          <w:sz w:val="22"/>
        </w:rPr>
        <w:t>Using the constrained Kelly weights from Step 1, we construct three strategies over the out-of-sample period October 1 – December 31, 2025 (63 trading days):</w:t>
      </w:r>
    </w:p>
    <w:p>
      <w:pPr>
        <w:pStyle w:val="ListBullet"/>
        <w:spacing w:after="60"/>
        <w:ind w:left="567"/>
      </w:pPr>
      <w:r>
        <w:rPr>
          <w:rFonts w:ascii="Calibri" w:hAnsi="Calibri"/>
          <w:b w:val="0"/>
          <w:i w:val="0"/>
          <w:sz w:val="22"/>
        </w:rPr>
        <w:t>Half-Kelly (0.5×): Reduces position sizes by 50%; residual cash earns the risk-free rate.</w:t>
      </w:r>
    </w:p>
    <w:p>
      <w:pPr>
        <w:pStyle w:val="ListBullet"/>
        <w:spacing w:after="60"/>
        <w:ind w:left="567"/>
      </w:pPr>
      <w:r>
        <w:rPr>
          <w:rFonts w:ascii="Calibri" w:hAnsi="Calibri"/>
          <w:b w:val="0"/>
          <w:i w:val="0"/>
          <w:sz w:val="22"/>
        </w:rPr>
        <w:t>Full Kelly (1×): The constrained optimal portfolio.</w:t>
      </w:r>
    </w:p>
    <w:p>
      <w:pPr>
        <w:pStyle w:val="ListBullet"/>
        <w:spacing w:after="60"/>
        <w:ind w:left="567"/>
      </w:pPr>
      <w:r>
        <w:rPr>
          <w:rFonts w:ascii="Calibri" w:hAnsi="Calibri"/>
          <w:b w:val="0"/>
          <w:i w:val="0"/>
          <w:sz w:val="22"/>
        </w:rPr>
        <w:t>Double-Kelly (2×): Doubles positions; shortfall is borrowed at the risk-free rate.</w:t>
      </w:r>
    </w:p>
    <w:p>
      <w:pPr>
        <w:spacing w:after="120" w:before="0"/>
        <w:jc w:val="both"/>
      </w:pPr>
      <w:r>
        <w:rPr>
          <w:rFonts w:ascii="Calibri" w:hAnsi="Calibri"/>
          <w:b w:val="0"/>
          <w:i w:val="0"/>
          <w:sz w:val="22"/>
        </w:rPr>
      </w:r>
    </w:p>
    <w:p>
      <w:pPr>
        <w:spacing w:before="160" w:after="80"/>
      </w:pPr>
      <w:r>
        <w:rPr>
          <w:rFonts w:ascii="Calibri" w:hAnsi="Calibri"/>
          <w:b/>
          <w:i w:val="0"/>
          <w:color w:val="1F497D"/>
          <w:sz w:val="26"/>
        </w:rPr>
        <w:t>Results — Step 2</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497D" w:val="clear"/>
          </w:tcPr>
          <w:p>
            <w:pPr>
              <w:jc w:val="center"/>
            </w:pPr>
            <w:r>
              <w:rPr>
                <w:rFonts w:ascii="Calibri" w:hAnsi="Calibri"/>
                <w:b/>
                <w:i w:val="0"/>
                <w:color w:val="FFFFFF"/>
                <w:sz w:val="20"/>
              </w:rPr>
              <w:t>Strategy</w:t>
            </w:r>
          </w:p>
        </w:tc>
        <w:tc>
          <w:tcPr>
            <w:tcW w:type="dxa" w:w="1881"/>
            <w:shd w:fill="1F497D" w:val="clear"/>
          </w:tcPr>
          <w:p>
            <w:pPr>
              <w:jc w:val="center"/>
            </w:pPr>
            <w:r>
              <w:rPr>
                <w:rFonts w:ascii="Calibri" w:hAnsi="Calibri"/>
                <w:b/>
                <w:i w:val="0"/>
                <w:color w:val="FFFFFF"/>
                <w:sz w:val="20"/>
              </w:rPr>
              <w:t>Cumulative Return</w:t>
            </w:r>
          </w:p>
        </w:tc>
        <w:tc>
          <w:tcPr>
            <w:tcW w:type="dxa" w:w="1881"/>
            <w:shd w:fill="1F497D" w:val="clear"/>
          </w:tcPr>
          <w:p>
            <w:pPr>
              <w:jc w:val="center"/>
            </w:pPr>
            <w:r>
              <w:rPr>
                <w:rFonts w:ascii="Calibri" w:hAnsi="Calibri"/>
                <w:b/>
                <w:i w:val="0"/>
                <w:color w:val="FFFFFF"/>
                <w:sz w:val="20"/>
              </w:rPr>
              <w:t>Sharpe Ratio</w:t>
            </w:r>
          </w:p>
        </w:tc>
        <w:tc>
          <w:tcPr>
            <w:tcW w:type="dxa" w:w="1881"/>
            <w:shd w:fill="1F497D" w:val="clear"/>
          </w:tcPr>
          <w:p>
            <w:pPr>
              <w:jc w:val="center"/>
            </w:pPr>
            <w:r>
              <w:rPr>
                <w:rFonts w:ascii="Calibri" w:hAnsi="Calibri"/>
                <w:b/>
                <w:i w:val="0"/>
                <w:color w:val="FFFFFF"/>
                <w:sz w:val="20"/>
              </w:rPr>
              <w:t>Max Drawdown</w:t>
            </w:r>
          </w:p>
        </w:tc>
        <w:tc>
          <w:tcPr>
            <w:tcW w:type="dxa" w:w="1881"/>
            <w:shd w:fill="1F497D" w:val="clear"/>
          </w:tcPr>
          <w:p>
            <w:pPr>
              <w:jc w:val="center"/>
            </w:pPr>
            <w:r>
              <w:rPr>
                <w:rFonts w:ascii="Calibri" w:hAnsi="Calibri"/>
                <w:b/>
                <w:i w:val="0"/>
                <w:color w:val="FFFFFF"/>
                <w:sz w:val="20"/>
              </w:rPr>
              <w:t>95% CVaR (Daily)</w:t>
            </w:r>
          </w:p>
        </w:tc>
      </w:tr>
      <w:tr>
        <w:tc>
          <w:tcPr>
            <w:tcW w:type="dxa" w:w="1881"/>
            <w:shd w:fill="EBF3FB" w:val="clear"/>
          </w:tcPr>
          <w:p>
            <w:pPr>
              <w:jc w:val="center"/>
            </w:pPr>
            <w:r>
              <w:rPr>
                <w:rFonts w:ascii="Calibri" w:hAnsi="Calibri"/>
                <w:b w:val="0"/>
                <w:i w:val="0"/>
                <w:sz w:val="20"/>
              </w:rPr>
              <w:t>Half-Kelly</w:t>
            </w:r>
          </w:p>
        </w:tc>
        <w:tc>
          <w:tcPr>
            <w:tcW w:type="dxa" w:w="1881"/>
            <w:shd w:fill="EBF3FB" w:val="clear"/>
          </w:tcPr>
          <w:p>
            <w:pPr>
              <w:jc w:val="center"/>
            </w:pPr>
            <w:r>
              <w:rPr>
                <w:rFonts w:ascii="Calibri" w:hAnsi="Calibri"/>
                <w:b w:val="0"/>
                <w:i w:val="0"/>
                <w:sz w:val="20"/>
              </w:rPr>
              <w:t>3.81%</w:t>
            </w:r>
          </w:p>
        </w:tc>
        <w:tc>
          <w:tcPr>
            <w:tcW w:type="dxa" w:w="1881"/>
            <w:shd w:fill="EBF3FB" w:val="clear"/>
          </w:tcPr>
          <w:p>
            <w:pPr>
              <w:jc w:val="center"/>
            </w:pPr>
            <w:r>
              <w:rPr>
                <w:rFonts w:ascii="Calibri" w:hAnsi="Calibri"/>
                <w:b w:val="0"/>
                <w:i w:val="0"/>
                <w:sz w:val="20"/>
              </w:rPr>
              <w:t>1.3406</w:t>
            </w:r>
          </w:p>
        </w:tc>
        <w:tc>
          <w:tcPr>
            <w:tcW w:type="dxa" w:w="1881"/>
            <w:shd w:fill="EBF3FB" w:val="clear"/>
          </w:tcPr>
          <w:p>
            <w:pPr>
              <w:jc w:val="center"/>
            </w:pPr>
            <w:r>
              <w:rPr>
                <w:rFonts w:ascii="Calibri" w:hAnsi="Calibri"/>
                <w:b w:val="0"/>
                <w:i w:val="0"/>
                <w:sz w:val="20"/>
              </w:rPr>
              <w:t>-2.99%</w:t>
            </w:r>
          </w:p>
        </w:tc>
        <w:tc>
          <w:tcPr>
            <w:tcW w:type="dxa" w:w="1881"/>
            <w:shd w:fill="EBF3FB" w:val="clear"/>
          </w:tcPr>
          <w:p>
            <w:pPr>
              <w:jc w:val="center"/>
            </w:pPr>
            <w:r>
              <w:rPr>
                <w:rFonts w:ascii="Calibri" w:hAnsi="Calibri"/>
                <w:b w:val="0"/>
                <w:i w:val="0"/>
                <w:sz w:val="20"/>
              </w:rPr>
              <w:t>-1.15%</w:t>
            </w:r>
          </w:p>
        </w:tc>
      </w:tr>
      <w:tr>
        <w:tc>
          <w:tcPr>
            <w:tcW w:type="dxa" w:w="1881"/>
          </w:tcPr>
          <w:p>
            <w:pPr>
              <w:jc w:val="center"/>
            </w:pPr>
            <w:r>
              <w:rPr>
                <w:rFonts w:ascii="Calibri" w:hAnsi="Calibri"/>
                <w:b w:val="0"/>
                <w:i w:val="0"/>
                <w:sz w:val="20"/>
              </w:rPr>
              <w:t>Full Kelly</w:t>
            </w:r>
          </w:p>
        </w:tc>
        <w:tc>
          <w:tcPr>
            <w:tcW w:type="dxa" w:w="1881"/>
          </w:tcPr>
          <w:p>
            <w:pPr>
              <w:jc w:val="center"/>
            </w:pPr>
            <w:r>
              <w:rPr>
                <w:rFonts w:ascii="Calibri" w:hAnsi="Calibri"/>
                <w:b w:val="0"/>
                <w:i w:val="0"/>
                <w:sz w:val="20"/>
              </w:rPr>
              <w:t>6.50%</w:t>
            </w:r>
          </w:p>
        </w:tc>
        <w:tc>
          <w:tcPr>
            <w:tcW w:type="dxa" w:w="1881"/>
          </w:tcPr>
          <w:p>
            <w:pPr>
              <w:jc w:val="center"/>
            </w:pPr>
            <w:r>
              <w:rPr>
                <w:rFonts w:ascii="Calibri" w:hAnsi="Calibri"/>
                <w:b w:val="0"/>
                <w:i w:val="0"/>
                <w:sz w:val="20"/>
              </w:rPr>
              <w:t>1.3406</w:t>
            </w:r>
          </w:p>
        </w:tc>
        <w:tc>
          <w:tcPr>
            <w:tcW w:type="dxa" w:w="1881"/>
          </w:tcPr>
          <w:p>
            <w:pPr>
              <w:jc w:val="center"/>
            </w:pPr>
            <w:r>
              <w:rPr>
                <w:rFonts w:ascii="Calibri" w:hAnsi="Calibri"/>
                <w:b w:val="0"/>
                <w:i w:val="0"/>
                <w:sz w:val="20"/>
              </w:rPr>
              <w:t>-6.01%</w:t>
            </w:r>
          </w:p>
        </w:tc>
        <w:tc>
          <w:tcPr>
            <w:tcW w:type="dxa" w:w="1881"/>
          </w:tcPr>
          <w:p>
            <w:pPr>
              <w:jc w:val="center"/>
            </w:pPr>
            <w:r>
              <w:rPr>
                <w:rFonts w:ascii="Calibri" w:hAnsi="Calibri"/>
                <w:b w:val="0"/>
                <w:i w:val="0"/>
                <w:sz w:val="20"/>
              </w:rPr>
              <w:t>-2.31%</w:t>
            </w:r>
          </w:p>
        </w:tc>
      </w:tr>
      <w:tr>
        <w:tc>
          <w:tcPr>
            <w:tcW w:type="dxa" w:w="1881"/>
            <w:shd w:fill="EBF3FB" w:val="clear"/>
          </w:tcPr>
          <w:p>
            <w:pPr>
              <w:jc w:val="center"/>
            </w:pPr>
            <w:r>
              <w:rPr>
                <w:rFonts w:ascii="Calibri" w:hAnsi="Calibri"/>
                <w:b w:val="0"/>
                <w:i w:val="0"/>
                <w:sz w:val="20"/>
              </w:rPr>
              <w:t>Double-Kelly</w:t>
            </w:r>
          </w:p>
        </w:tc>
        <w:tc>
          <w:tcPr>
            <w:tcW w:type="dxa" w:w="1881"/>
            <w:shd w:fill="EBF3FB" w:val="clear"/>
          </w:tcPr>
          <w:p>
            <w:pPr>
              <w:jc w:val="center"/>
            </w:pPr>
            <w:r>
              <w:rPr>
                <w:rFonts w:ascii="Calibri" w:hAnsi="Calibri"/>
                <w:b w:val="0"/>
                <w:i w:val="0"/>
                <w:sz w:val="20"/>
              </w:rPr>
              <w:t>11.50%</w:t>
            </w:r>
          </w:p>
        </w:tc>
        <w:tc>
          <w:tcPr>
            <w:tcW w:type="dxa" w:w="1881"/>
            <w:shd w:fill="EBF3FB" w:val="clear"/>
          </w:tcPr>
          <w:p>
            <w:pPr>
              <w:jc w:val="center"/>
            </w:pPr>
            <w:r>
              <w:rPr>
                <w:rFonts w:ascii="Calibri" w:hAnsi="Calibri"/>
                <w:b w:val="0"/>
                <w:i w:val="0"/>
                <w:sz w:val="20"/>
              </w:rPr>
              <w:t>1.3406</w:t>
            </w:r>
          </w:p>
        </w:tc>
        <w:tc>
          <w:tcPr>
            <w:tcW w:type="dxa" w:w="1881"/>
            <w:shd w:fill="EBF3FB" w:val="clear"/>
          </w:tcPr>
          <w:p>
            <w:pPr>
              <w:jc w:val="center"/>
            </w:pPr>
            <w:r>
              <w:rPr>
                <w:rFonts w:ascii="Calibri" w:hAnsi="Calibri"/>
                <w:b w:val="0"/>
                <w:i w:val="0"/>
                <w:sz w:val="20"/>
              </w:rPr>
              <w:t>-11.86%</w:t>
            </w:r>
          </w:p>
        </w:tc>
        <w:tc>
          <w:tcPr>
            <w:tcW w:type="dxa" w:w="1881"/>
            <w:shd w:fill="EBF3FB" w:val="clear"/>
          </w:tcPr>
          <w:p>
            <w:pPr>
              <w:jc w:val="center"/>
            </w:pPr>
            <w:r>
              <w:rPr>
                <w:rFonts w:ascii="Calibri" w:hAnsi="Calibri"/>
                <w:b w:val="0"/>
                <w:i w:val="0"/>
                <w:sz w:val="20"/>
              </w:rPr>
              <w:t>-4.63%</w:t>
            </w:r>
          </w:p>
        </w:tc>
      </w:tr>
    </w:tbl>
    <w:p>
      <w:pPr>
        <w:spacing w:after="120" w:before="0"/>
        <w:jc w:val="both"/>
      </w:pPr>
      <w:r>
        <w:rPr>
          <w:rFonts w:ascii="Calibri" w:hAnsi="Calibri"/>
          <w:b w:val="0"/>
          <w:i w:val="0"/>
          <w:sz w:val="22"/>
        </w:rPr>
      </w:r>
    </w:p>
    <w:p>
      <w:pPr>
        <w:spacing w:after="120" w:before="0"/>
        <w:jc w:val="both"/>
      </w:pPr>
      <w:r>
        <w:rPr>
          <w:rFonts w:ascii="Calibri" w:hAnsi="Calibri"/>
          <w:b w:val="0"/>
          <w:i w:val="0"/>
          <w:sz w:val="22"/>
        </w:rPr>
        <w:t>All three strategies share an identical Sharpe ratio (1.34), because scaling the Kelly fraction linearly scales both return and volatility proportionally, leaving the ratio unchanged. The Double-Kelly strategy achieves the highest cumulative return (11.50%) but at the cost of a maximum drawdown of 11.86% and a daily CVaR of -4.63%. The Half-Kelly provides the safest profile (drawdown only -2.99%), while the Full Kelly balances growth and risk. For a risk-constrained institution, Half-Kelly is preferable; for a growth-oriented mandate, Full or Double-Kelly may be appropriate.</w:t>
      </w:r>
    </w:p>
    <w:p>
      <w:r>
        <w:br w:type="page"/>
      </w:r>
    </w:p>
    <w:p>
      <w:pPr>
        <w:spacing w:before="280" w:after="80"/>
      </w:pPr>
      <w:r>
        <w:rPr>
          <w:rFonts w:ascii="Calibri" w:hAnsi="Calibri"/>
          <w:b/>
          <w:i w:val="0"/>
          <w:color w:val="1F497D"/>
          <w:sz w:val="32"/>
        </w:rPr>
        <w:t>Step 3: Walk-Forward K-Fold Cross-Validation Backtesting</w:t>
      </w:r>
    </w:p>
    <w:p>
      <w:pPr>
        <w:spacing w:before="160" w:after="80"/>
      </w:pPr>
      <w:r>
        <w:rPr>
          <w:rFonts w:ascii="Calibri" w:hAnsi="Calibri"/>
          <w:b/>
          <w:i w:val="0"/>
          <w:color w:val="1F497D"/>
          <w:sz w:val="26"/>
        </w:rPr>
        <w:t>Methodology</w:t>
      </w:r>
    </w:p>
    <w:p>
      <w:pPr>
        <w:spacing w:after="120" w:before="0"/>
        <w:jc w:val="both"/>
      </w:pPr>
      <w:r>
        <w:rPr>
          <w:rFonts w:ascii="Calibri" w:hAnsi="Calibri"/>
          <w:b w:val="0"/>
          <w:i w:val="0"/>
          <w:sz w:val="22"/>
        </w:rPr>
        <w:t>To validate the Kelly model out-of-sample without look-ahead bias, we apply TimeSeriesSplit with K=5 expanding windows over the full two-year dataset (January 1, 2024 – December 31, 2025, 500 trading days). Each fold expands the training set by approximately 83 days, and the test set is always the subsequent 83-day block. At each fold:</w:t>
      </w:r>
    </w:p>
    <w:p>
      <w:pPr>
        <w:pStyle w:val="ListNumber"/>
        <w:spacing w:after="60"/>
      </w:pPr>
      <w:r>
        <w:rPr>
          <w:rFonts w:ascii="Calibri" w:hAnsi="Calibri"/>
          <w:b w:val="0"/>
          <w:i w:val="0"/>
          <w:sz w:val="22"/>
        </w:rPr>
        <w:t>Estimate annualised mu and Sigma from the training window only.</w:t>
      </w:r>
    </w:p>
    <w:p>
      <w:pPr>
        <w:pStyle w:val="ListNumber"/>
        <w:spacing w:after="60"/>
      </w:pPr>
      <w:r>
        <w:rPr>
          <w:rFonts w:ascii="Calibri" w:hAnsi="Calibri"/>
          <w:b w:val="0"/>
          <w:i w:val="0"/>
          <w:sz w:val="22"/>
        </w:rPr>
        <w:t>Solve the constrained Kelly optimisation (20% cap, SLSQP).</w:t>
      </w:r>
    </w:p>
    <w:p>
      <w:pPr>
        <w:pStyle w:val="ListNumber"/>
        <w:spacing w:after="60"/>
      </w:pPr>
      <w:r>
        <w:rPr>
          <w:rFonts w:ascii="Calibri" w:hAnsi="Calibri"/>
          <w:b w:val="0"/>
          <w:i w:val="0"/>
          <w:sz w:val="22"/>
        </w:rPr>
        <w:t>Compute cumulative return, volatility, and Sharpe on the test block.</w:t>
      </w:r>
    </w:p>
    <w:p>
      <w:pPr>
        <w:spacing w:after="120" w:before="0"/>
        <w:jc w:val="both"/>
      </w:pPr>
      <w:r>
        <w:rPr>
          <w:rFonts w:ascii="Calibri" w:hAnsi="Calibri"/>
          <w:b w:val="0"/>
          <w:i w:val="0"/>
          <w:sz w:val="22"/>
        </w:rPr>
        <w:t>This expanding-window design mimics live deployment: the model only ever sees data available at the time of rebalancing, preventing information leakage from the future.</w:t>
      </w:r>
    </w:p>
    <w:p>
      <w:pPr>
        <w:spacing w:before="160" w:after="80"/>
      </w:pPr>
      <w:r>
        <w:rPr>
          <w:rFonts w:ascii="Calibri" w:hAnsi="Calibri"/>
          <w:b/>
          <w:i w:val="0"/>
          <w:color w:val="1F497D"/>
          <w:sz w:val="26"/>
        </w:rPr>
        <w:t>Results — Step 3</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1F497D" w:val="clear"/>
          </w:tcPr>
          <w:p>
            <w:pPr>
              <w:jc w:val="center"/>
            </w:pPr>
            <w:r>
              <w:rPr>
                <w:rFonts w:ascii="Calibri" w:hAnsi="Calibri"/>
                <w:b/>
                <w:i w:val="0"/>
                <w:color w:val="FFFFFF"/>
                <w:sz w:val="20"/>
              </w:rPr>
              <w:t>Fold</w:t>
            </w:r>
          </w:p>
        </w:tc>
        <w:tc>
          <w:tcPr>
            <w:tcW w:type="dxa" w:w="1568"/>
            <w:shd w:fill="1F497D" w:val="clear"/>
          </w:tcPr>
          <w:p>
            <w:pPr>
              <w:jc w:val="center"/>
            </w:pPr>
            <w:r>
              <w:rPr>
                <w:rFonts w:ascii="Calibri" w:hAnsi="Calibri"/>
                <w:b/>
                <w:i w:val="0"/>
                <w:color w:val="FFFFFF"/>
                <w:sz w:val="20"/>
              </w:rPr>
              <w:t>Train Days</w:t>
            </w:r>
          </w:p>
        </w:tc>
        <w:tc>
          <w:tcPr>
            <w:tcW w:type="dxa" w:w="1568"/>
            <w:shd w:fill="1F497D" w:val="clear"/>
          </w:tcPr>
          <w:p>
            <w:pPr>
              <w:jc w:val="center"/>
            </w:pPr>
            <w:r>
              <w:rPr>
                <w:rFonts w:ascii="Calibri" w:hAnsi="Calibri"/>
                <w:b/>
                <w:i w:val="0"/>
                <w:color w:val="FFFFFF"/>
                <w:sz w:val="20"/>
              </w:rPr>
              <w:t>Test Days</w:t>
            </w:r>
          </w:p>
        </w:tc>
        <w:tc>
          <w:tcPr>
            <w:tcW w:type="dxa" w:w="1568"/>
            <w:shd w:fill="1F497D" w:val="clear"/>
          </w:tcPr>
          <w:p>
            <w:pPr>
              <w:jc w:val="center"/>
            </w:pPr>
            <w:r>
              <w:rPr>
                <w:rFonts w:ascii="Calibri" w:hAnsi="Calibri"/>
                <w:b/>
                <w:i w:val="0"/>
                <w:color w:val="FFFFFF"/>
                <w:sz w:val="20"/>
              </w:rPr>
              <w:t>OOS Return</w:t>
            </w:r>
          </w:p>
        </w:tc>
        <w:tc>
          <w:tcPr>
            <w:tcW w:type="dxa" w:w="1568"/>
            <w:shd w:fill="1F497D" w:val="clear"/>
          </w:tcPr>
          <w:p>
            <w:pPr>
              <w:jc w:val="center"/>
            </w:pPr>
            <w:r>
              <w:rPr>
                <w:rFonts w:ascii="Calibri" w:hAnsi="Calibri"/>
                <w:b/>
                <w:i w:val="0"/>
                <w:color w:val="FFFFFF"/>
                <w:sz w:val="20"/>
              </w:rPr>
              <w:t>OOS Volatility</w:t>
            </w:r>
          </w:p>
        </w:tc>
        <w:tc>
          <w:tcPr>
            <w:tcW w:type="dxa" w:w="1568"/>
            <w:shd w:fill="1F497D" w:val="clear"/>
          </w:tcPr>
          <w:p>
            <w:pPr>
              <w:jc w:val="center"/>
            </w:pPr>
            <w:r>
              <w:rPr>
                <w:rFonts w:ascii="Calibri" w:hAnsi="Calibri"/>
                <w:b/>
                <w:i w:val="0"/>
                <w:color w:val="FFFFFF"/>
                <w:sz w:val="20"/>
              </w:rPr>
              <w:t>OOS Sharpe</w:t>
            </w:r>
          </w:p>
        </w:tc>
      </w:tr>
      <w:tr>
        <w:tc>
          <w:tcPr>
            <w:tcW w:type="dxa" w:w="1568"/>
            <w:shd w:fill="EBF3FB" w:val="clear"/>
          </w:tcPr>
          <w:p>
            <w:pPr>
              <w:jc w:val="center"/>
            </w:pPr>
            <w:r>
              <w:rPr>
                <w:rFonts w:ascii="Calibri" w:hAnsi="Calibri"/>
                <w:b w:val="0"/>
                <w:i w:val="0"/>
                <w:sz w:val="20"/>
              </w:rPr>
              <w:t>1</w:t>
            </w:r>
          </w:p>
        </w:tc>
        <w:tc>
          <w:tcPr>
            <w:tcW w:type="dxa" w:w="1568"/>
            <w:shd w:fill="EBF3FB" w:val="clear"/>
          </w:tcPr>
          <w:p>
            <w:pPr>
              <w:jc w:val="center"/>
            </w:pPr>
            <w:r>
              <w:rPr>
                <w:rFonts w:ascii="Calibri" w:hAnsi="Calibri"/>
                <w:b w:val="0"/>
                <w:i w:val="0"/>
                <w:sz w:val="20"/>
              </w:rPr>
              <w:t>85</w:t>
            </w:r>
          </w:p>
        </w:tc>
        <w:tc>
          <w:tcPr>
            <w:tcW w:type="dxa" w:w="1568"/>
            <w:shd w:fill="EBF3FB" w:val="clear"/>
          </w:tcPr>
          <w:p>
            <w:pPr>
              <w:jc w:val="center"/>
            </w:pPr>
            <w:r>
              <w:rPr>
                <w:rFonts w:ascii="Calibri" w:hAnsi="Calibri"/>
                <w:b w:val="0"/>
                <w:i w:val="0"/>
                <w:sz w:val="20"/>
              </w:rPr>
              <w:t>83</w:t>
            </w:r>
          </w:p>
        </w:tc>
        <w:tc>
          <w:tcPr>
            <w:tcW w:type="dxa" w:w="1568"/>
            <w:shd w:fill="EBF3FB" w:val="clear"/>
          </w:tcPr>
          <w:p>
            <w:pPr>
              <w:jc w:val="center"/>
            </w:pPr>
            <w:r>
              <w:rPr>
                <w:rFonts w:ascii="Calibri" w:hAnsi="Calibri"/>
                <w:b w:val="0"/>
                <w:i w:val="0"/>
                <w:sz w:val="20"/>
              </w:rPr>
              <w:t>13.27%</w:t>
            </w:r>
          </w:p>
        </w:tc>
        <w:tc>
          <w:tcPr>
            <w:tcW w:type="dxa" w:w="1568"/>
            <w:shd w:fill="EBF3FB" w:val="clear"/>
          </w:tcPr>
          <w:p>
            <w:pPr>
              <w:jc w:val="center"/>
            </w:pPr>
            <w:r>
              <w:rPr>
                <w:rFonts w:ascii="Calibri" w:hAnsi="Calibri"/>
                <w:b w:val="0"/>
                <w:i w:val="0"/>
                <w:sz w:val="20"/>
              </w:rPr>
              <w:t>20.01%</w:t>
            </w:r>
          </w:p>
        </w:tc>
        <w:tc>
          <w:tcPr>
            <w:tcW w:type="dxa" w:w="1568"/>
            <w:shd w:fill="EBF3FB" w:val="clear"/>
          </w:tcPr>
          <w:p>
            <w:pPr>
              <w:jc w:val="center"/>
            </w:pPr>
            <w:r>
              <w:rPr>
                <w:rFonts w:ascii="Calibri" w:hAnsi="Calibri"/>
                <w:b w:val="0"/>
                <w:i w:val="0"/>
                <w:sz w:val="20"/>
              </w:rPr>
              <w:t>1.7920</w:t>
            </w:r>
          </w:p>
        </w:tc>
      </w:tr>
      <w:tr>
        <w:tc>
          <w:tcPr>
            <w:tcW w:type="dxa" w:w="1568"/>
          </w:tcPr>
          <w:p>
            <w:pPr>
              <w:jc w:val="center"/>
            </w:pPr>
            <w:r>
              <w:rPr>
                <w:rFonts w:ascii="Calibri" w:hAnsi="Calibri"/>
                <w:b w:val="0"/>
                <w:i w:val="0"/>
                <w:sz w:val="20"/>
              </w:rPr>
              <w:t>2</w:t>
            </w:r>
          </w:p>
        </w:tc>
        <w:tc>
          <w:tcPr>
            <w:tcW w:type="dxa" w:w="1568"/>
          </w:tcPr>
          <w:p>
            <w:pPr>
              <w:jc w:val="center"/>
            </w:pPr>
            <w:r>
              <w:rPr>
                <w:rFonts w:ascii="Calibri" w:hAnsi="Calibri"/>
                <w:b w:val="0"/>
                <w:i w:val="0"/>
                <w:sz w:val="20"/>
              </w:rPr>
              <w:t>168</w:t>
            </w:r>
          </w:p>
        </w:tc>
        <w:tc>
          <w:tcPr>
            <w:tcW w:type="dxa" w:w="1568"/>
          </w:tcPr>
          <w:p>
            <w:pPr>
              <w:jc w:val="center"/>
            </w:pPr>
            <w:r>
              <w:rPr>
                <w:rFonts w:ascii="Calibri" w:hAnsi="Calibri"/>
                <w:b w:val="0"/>
                <w:i w:val="0"/>
                <w:sz w:val="20"/>
              </w:rPr>
              <w:t>83</w:t>
            </w:r>
          </w:p>
        </w:tc>
        <w:tc>
          <w:tcPr>
            <w:tcW w:type="dxa" w:w="1568"/>
          </w:tcPr>
          <w:p>
            <w:pPr>
              <w:jc w:val="center"/>
            </w:pPr>
            <w:r>
              <w:rPr>
                <w:rFonts w:ascii="Calibri" w:hAnsi="Calibri"/>
                <w:b w:val="0"/>
                <w:i w:val="0"/>
                <w:sz w:val="20"/>
              </w:rPr>
              <w:t>4.61%</w:t>
            </w:r>
          </w:p>
        </w:tc>
        <w:tc>
          <w:tcPr>
            <w:tcW w:type="dxa" w:w="1568"/>
          </w:tcPr>
          <w:p>
            <w:pPr>
              <w:jc w:val="center"/>
            </w:pPr>
            <w:r>
              <w:rPr>
                <w:rFonts w:ascii="Calibri" w:hAnsi="Calibri"/>
                <w:b w:val="0"/>
                <w:i w:val="0"/>
                <w:sz w:val="20"/>
              </w:rPr>
              <w:t>14.15%</w:t>
            </w:r>
          </w:p>
        </w:tc>
        <w:tc>
          <w:tcPr>
            <w:tcW w:type="dxa" w:w="1568"/>
          </w:tcPr>
          <w:p>
            <w:pPr>
              <w:jc w:val="center"/>
            </w:pPr>
            <w:r>
              <w:rPr>
                <w:rFonts w:ascii="Calibri" w:hAnsi="Calibri"/>
                <w:b w:val="0"/>
                <w:i w:val="0"/>
                <w:sz w:val="20"/>
              </w:rPr>
              <w:t>0.7555</w:t>
            </w:r>
          </w:p>
        </w:tc>
      </w:tr>
      <w:tr>
        <w:tc>
          <w:tcPr>
            <w:tcW w:type="dxa" w:w="1568"/>
            <w:shd w:fill="EBF3FB" w:val="clear"/>
          </w:tcPr>
          <w:p>
            <w:pPr>
              <w:jc w:val="center"/>
            </w:pPr>
            <w:r>
              <w:rPr>
                <w:rFonts w:ascii="Calibri" w:hAnsi="Calibri"/>
                <w:b w:val="0"/>
                <w:i w:val="0"/>
                <w:sz w:val="20"/>
              </w:rPr>
              <w:t>3</w:t>
            </w:r>
          </w:p>
        </w:tc>
        <w:tc>
          <w:tcPr>
            <w:tcW w:type="dxa" w:w="1568"/>
            <w:shd w:fill="EBF3FB" w:val="clear"/>
          </w:tcPr>
          <w:p>
            <w:pPr>
              <w:jc w:val="center"/>
            </w:pPr>
            <w:r>
              <w:rPr>
                <w:rFonts w:ascii="Calibri" w:hAnsi="Calibri"/>
                <w:b w:val="0"/>
                <w:i w:val="0"/>
                <w:sz w:val="20"/>
              </w:rPr>
              <w:t>251</w:t>
            </w:r>
          </w:p>
        </w:tc>
        <w:tc>
          <w:tcPr>
            <w:tcW w:type="dxa" w:w="1568"/>
            <w:shd w:fill="EBF3FB" w:val="clear"/>
          </w:tcPr>
          <w:p>
            <w:pPr>
              <w:jc w:val="center"/>
            </w:pPr>
            <w:r>
              <w:rPr>
                <w:rFonts w:ascii="Calibri" w:hAnsi="Calibri"/>
                <w:b w:val="0"/>
                <w:i w:val="0"/>
                <w:sz w:val="20"/>
              </w:rPr>
              <w:t>83</w:t>
            </w:r>
          </w:p>
        </w:tc>
        <w:tc>
          <w:tcPr>
            <w:tcW w:type="dxa" w:w="1568"/>
            <w:shd w:fill="EBF3FB" w:val="clear"/>
          </w:tcPr>
          <w:p>
            <w:pPr>
              <w:jc w:val="center"/>
            </w:pPr>
            <w:r>
              <w:rPr>
                <w:rFonts w:ascii="Calibri" w:hAnsi="Calibri"/>
                <w:b w:val="0"/>
                <w:i w:val="0"/>
                <w:sz w:val="20"/>
              </w:rPr>
              <w:t>-5.38%</w:t>
            </w:r>
          </w:p>
        </w:tc>
        <w:tc>
          <w:tcPr>
            <w:tcW w:type="dxa" w:w="1568"/>
            <w:shd w:fill="EBF3FB" w:val="clear"/>
          </w:tcPr>
          <w:p>
            <w:pPr>
              <w:jc w:val="center"/>
            </w:pPr>
            <w:r>
              <w:rPr>
                <w:rFonts w:ascii="Calibri" w:hAnsi="Calibri"/>
                <w:b w:val="0"/>
                <w:i w:val="0"/>
                <w:sz w:val="20"/>
              </w:rPr>
              <w:t>37.02%</w:t>
            </w:r>
          </w:p>
        </w:tc>
        <w:tc>
          <w:tcPr>
            <w:tcW w:type="dxa" w:w="1568"/>
            <w:shd w:fill="EBF3FB" w:val="clear"/>
          </w:tcPr>
          <w:p>
            <w:pPr>
              <w:jc w:val="center"/>
            </w:pPr>
            <w:r>
              <w:rPr>
                <w:rFonts w:ascii="Calibri" w:hAnsi="Calibri"/>
                <w:b w:val="0"/>
                <w:i w:val="0"/>
                <w:sz w:val="20"/>
              </w:rPr>
              <w:t>-0.3784</w:t>
            </w:r>
          </w:p>
        </w:tc>
      </w:tr>
      <w:tr>
        <w:tc>
          <w:tcPr>
            <w:tcW w:type="dxa" w:w="1568"/>
          </w:tcPr>
          <w:p>
            <w:pPr>
              <w:jc w:val="center"/>
            </w:pPr>
            <w:r>
              <w:rPr>
                <w:rFonts w:ascii="Calibri" w:hAnsi="Calibri"/>
                <w:b w:val="0"/>
                <w:i w:val="0"/>
                <w:sz w:val="20"/>
              </w:rPr>
              <w:t>4</w:t>
            </w:r>
          </w:p>
        </w:tc>
        <w:tc>
          <w:tcPr>
            <w:tcW w:type="dxa" w:w="1568"/>
          </w:tcPr>
          <w:p>
            <w:pPr>
              <w:jc w:val="center"/>
            </w:pPr>
            <w:r>
              <w:rPr>
                <w:rFonts w:ascii="Calibri" w:hAnsi="Calibri"/>
                <w:b w:val="0"/>
                <w:i w:val="0"/>
                <w:sz w:val="20"/>
              </w:rPr>
              <w:t>334</w:t>
            </w:r>
          </w:p>
        </w:tc>
        <w:tc>
          <w:tcPr>
            <w:tcW w:type="dxa" w:w="1568"/>
          </w:tcPr>
          <w:p>
            <w:pPr>
              <w:jc w:val="center"/>
            </w:pPr>
            <w:r>
              <w:rPr>
                <w:rFonts w:ascii="Calibri" w:hAnsi="Calibri"/>
                <w:b w:val="0"/>
                <w:i w:val="0"/>
                <w:sz w:val="20"/>
              </w:rPr>
              <w:t>83</w:t>
            </w:r>
          </w:p>
        </w:tc>
        <w:tc>
          <w:tcPr>
            <w:tcW w:type="dxa" w:w="1568"/>
          </w:tcPr>
          <w:p>
            <w:pPr>
              <w:jc w:val="center"/>
            </w:pPr>
            <w:r>
              <w:rPr>
                <w:rFonts w:ascii="Calibri" w:hAnsi="Calibri"/>
                <w:b w:val="0"/>
                <w:i w:val="0"/>
                <w:sz w:val="20"/>
              </w:rPr>
              <w:t>14.85%</w:t>
            </w:r>
          </w:p>
        </w:tc>
        <w:tc>
          <w:tcPr>
            <w:tcW w:type="dxa" w:w="1568"/>
          </w:tcPr>
          <w:p>
            <w:pPr>
              <w:jc w:val="center"/>
            </w:pPr>
            <w:r>
              <w:rPr>
                <w:rFonts w:ascii="Calibri" w:hAnsi="Calibri"/>
                <w:b w:val="0"/>
                <w:i w:val="0"/>
                <w:sz w:val="20"/>
              </w:rPr>
              <w:t>17.00%</w:t>
            </w:r>
          </w:p>
        </w:tc>
        <w:tc>
          <w:tcPr>
            <w:tcW w:type="dxa" w:w="1568"/>
          </w:tcPr>
          <w:p>
            <w:pPr>
              <w:jc w:val="center"/>
            </w:pPr>
            <w:r>
              <w:rPr>
                <w:rFonts w:ascii="Calibri" w:hAnsi="Calibri"/>
                <w:b w:val="0"/>
                <w:i w:val="0"/>
                <w:sz w:val="20"/>
              </w:rPr>
              <w:t>2.3255</w:t>
            </w:r>
          </w:p>
        </w:tc>
      </w:tr>
      <w:tr>
        <w:tc>
          <w:tcPr>
            <w:tcW w:type="dxa" w:w="1568"/>
            <w:shd w:fill="EBF3FB" w:val="clear"/>
          </w:tcPr>
          <w:p>
            <w:pPr>
              <w:jc w:val="center"/>
            </w:pPr>
            <w:r>
              <w:rPr>
                <w:rFonts w:ascii="Calibri" w:hAnsi="Calibri"/>
                <w:b w:val="0"/>
                <w:i w:val="0"/>
                <w:sz w:val="20"/>
              </w:rPr>
              <w:t>5</w:t>
            </w:r>
          </w:p>
        </w:tc>
        <w:tc>
          <w:tcPr>
            <w:tcW w:type="dxa" w:w="1568"/>
            <w:shd w:fill="EBF3FB" w:val="clear"/>
          </w:tcPr>
          <w:p>
            <w:pPr>
              <w:jc w:val="center"/>
            </w:pPr>
            <w:r>
              <w:rPr>
                <w:rFonts w:ascii="Calibri" w:hAnsi="Calibri"/>
                <w:b w:val="0"/>
                <w:i w:val="0"/>
                <w:sz w:val="20"/>
              </w:rPr>
              <w:t>417</w:t>
            </w:r>
          </w:p>
        </w:tc>
        <w:tc>
          <w:tcPr>
            <w:tcW w:type="dxa" w:w="1568"/>
            <w:shd w:fill="EBF3FB" w:val="clear"/>
          </w:tcPr>
          <w:p>
            <w:pPr>
              <w:jc w:val="center"/>
            </w:pPr>
            <w:r>
              <w:rPr>
                <w:rFonts w:ascii="Calibri" w:hAnsi="Calibri"/>
                <w:b w:val="0"/>
                <w:i w:val="0"/>
                <w:sz w:val="20"/>
              </w:rPr>
              <w:t>83</w:t>
            </w:r>
          </w:p>
        </w:tc>
        <w:tc>
          <w:tcPr>
            <w:tcW w:type="dxa" w:w="1568"/>
            <w:shd w:fill="EBF3FB" w:val="clear"/>
          </w:tcPr>
          <w:p>
            <w:pPr>
              <w:jc w:val="center"/>
            </w:pPr>
            <w:r>
              <w:rPr>
                <w:rFonts w:ascii="Calibri" w:hAnsi="Calibri"/>
                <w:b w:val="0"/>
                <w:i w:val="0"/>
                <w:sz w:val="20"/>
              </w:rPr>
              <w:t>5.75%</w:t>
            </w:r>
          </w:p>
        </w:tc>
        <w:tc>
          <w:tcPr>
            <w:tcW w:type="dxa" w:w="1568"/>
            <w:shd w:fill="EBF3FB" w:val="clear"/>
          </w:tcPr>
          <w:p>
            <w:pPr>
              <w:jc w:val="center"/>
            </w:pPr>
            <w:r>
              <w:rPr>
                <w:rFonts w:ascii="Calibri" w:hAnsi="Calibri"/>
                <w:b w:val="0"/>
                <w:i w:val="0"/>
                <w:sz w:val="20"/>
              </w:rPr>
              <w:t>15.49%</w:t>
            </w:r>
          </w:p>
        </w:tc>
        <w:tc>
          <w:tcPr>
            <w:tcW w:type="dxa" w:w="1568"/>
            <w:shd w:fill="EBF3FB" w:val="clear"/>
          </w:tcPr>
          <w:p>
            <w:pPr>
              <w:jc w:val="center"/>
            </w:pPr>
            <w:r>
              <w:rPr>
                <w:rFonts w:ascii="Calibri" w:hAnsi="Calibri"/>
                <w:b w:val="0"/>
                <w:i w:val="0"/>
                <w:sz w:val="20"/>
              </w:rPr>
              <w:t>0.9150</w:t>
            </w:r>
          </w:p>
        </w:tc>
      </w:tr>
      <w:tr>
        <w:tc>
          <w:tcPr>
            <w:tcW w:type="dxa" w:w="1568"/>
          </w:tcPr>
          <w:p>
            <w:pPr>
              <w:jc w:val="center"/>
            </w:pPr>
            <w:r>
              <w:rPr>
                <w:rFonts w:ascii="Calibri" w:hAnsi="Calibri"/>
                <w:b/>
                <w:i w:val="0"/>
                <w:sz w:val="20"/>
              </w:rPr>
              <w:t>Mean</w:t>
            </w:r>
          </w:p>
        </w:tc>
        <w:tc>
          <w:tcPr>
            <w:tcW w:type="dxa" w:w="1568"/>
          </w:tcPr>
          <w:p>
            <w:pPr>
              <w:jc w:val="center"/>
            </w:pPr>
            <w:r>
              <w:rPr>
                <w:rFonts w:ascii="Calibri" w:hAnsi="Calibri"/>
                <w:b/>
                <w:i w:val="0"/>
                <w:sz w:val="20"/>
              </w:rPr>
              <w:t>—</w:t>
            </w:r>
          </w:p>
        </w:tc>
        <w:tc>
          <w:tcPr>
            <w:tcW w:type="dxa" w:w="1568"/>
          </w:tcPr>
          <w:p>
            <w:pPr>
              <w:jc w:val="center"/>
            </w:pPr>
            <w:r>
              <w:rPr>
                <w:rFonts w:ascii="Calibri" w:hAnsi="Calibri"/>
                <w:b/>
                <w:i w:val="0"/>
                <w:sz w:val="20"/>
              </w:rPr>
              <w:t>—</w:t>
            </w:r>
          </w:p>
        </w:tc>
        <w:tc>
          <w:tcPr>
            <w:tcW w:type="dxa" w:w="1568"/>
          </w:tcPr>
          <w:p>
            <w:pPr>
              <w:jc w:val="center"/>
            </w:pPr>
            <w:r>
              <w:rPr>
                <w:rFonts w:ascii="Calibri" w:hAnsi="Calibri"/>
                <w:b/>
                <w:i w:val="0"/>
                <w:sz w:val="20"/>
              </w:rPr>
              <w:t>6.62%</w:t>
            </w:r>
          </w:p>
        </w:tc>
        <w:tc>
          <w:tcPr>
            <w:tcW w:type="dxa" w:w="1568"/>
          </w:tcPr>
          <w:p>
            <w:pPr>
              <w:jc w:val="center"/>
            </w:pPr>
            <w:r>
              <w:rPr>
                <w:rFonts w:ascii="Calibri" w:hAnsi="Calibri"/>
                <w:b/>
                <w:i w:val="0"/>
                <w:sz w:val="20"/>
              </w:rPr>
              <w:t>—</w:t>
            </w:r>
          </w:p>
        </w:tc>
        <w:tc>
          <w:tcPr>
            <w:tcW w:type="dxa" w:w="1568"/>
          </w:tcPr>
          <w:p>
            <w:pPr>
              <w:jc w:val="center"/>
            </w:pPr>
            <w:r>
              <w:rPr>
                <w:rFonts w:ascii="Calibri" w:hAnsi="Calibri"/>
                <w:b/>
                <w:i w:val="0"/>
                <w:sz w:val="20"/>
              </w:rPr>
              <w:t>—</w:t>
            </w:r>
          </w:p>
        </w:tc>
      </w:tr>
    </w:tbl>
    <w:p>
      <w:pPr>
        <w:spacing w:after="120" w:before="0"/>
        <w:jc w:val="both"/>
      </w:pPr>
      <w:r>
        <w:rPr>
          <w:rFonts w:ascii="Calibri" w:hAnsi="Calibri"/>
          <w:b w:val="0"/>
          <w:i w:val="0"/>
          <w:sz w:val="22"/>
        </w:rPr>
      </w:r>
    </w:p>
    <w:p>
      <w:pPr>
        <w:spacing w:after="120" w:before="0"/>
        <w:jc w:val="both"/>
      </w:pPr>
      <w:r>
        <w:rPr>
          <w:rFonts w:ascii="Calibri" w:hAnsi="Calibri"/>
          <w:b w:val="0"/>
          <w:i w:val="0"/>
          <w:sz w:val="22"/>
        </w:rPr>
        <w:t>The cross-validation confirms that the Kelly strategy is directionally positive on average (mean OOS return: 6.62%), but performance varies significantly across folds. Fold 3 produces a negative return (-5.38%) alongside very high volatility (37%), suggesting that the short training window (251 days) at that point produced unstable covariance estimates — precisely the estimation error problem that denoising and HRP are designed to address in Steps 4–6.</w:t>
      </w:r>
    </w:p>
    <w:p>
      <w:r>
        <w:br w:type="page"/>
      </w:r>
    </w:p>
    <w:p>
      <w:pPr>
        <w:spacing w:before="280" w:after="80"/>
      </w:pPr>
      <w:r>
        <w:rPr>
          <w:rFonts w:ascii="Calibri" w:hAnsi="Calibri"/>
          <w:b/>
          <w:i w:val="0"/>
          <w:color w:val="1F497D"/>
          <w:sz w:val="32"/>
        </w:rPr>
        <w:t>Step 4: Theoretical Foundations of ML Improvements</w:t>
      </w:r>
    </w:p>
    <w:p>
      <w:pPr>
        <w:spacing w:before="160" w:after="80"/>
      </w:pPr>
      <w:r>
        <w:rPr>
          <w:rFonts w:ascii="Calibri" w:hAnsi="Calibri"/>
          <w:b/>
          <w:i w:val="0"/>
          <w:color w:val="1F497D"/>
          <w:sz w:val="26"/>
        </w:rPr>
        <w:t>4A. Denoising via Random Matrix Theory (Marchenko-Pastur)</w:t>
      </w:r>
    </w:p>
    <w:p>
      <w:pPr>
        <w:spacing w:after="120" w:before="0"/>
        <w:jc w:val="both"/>
      </w:pPr>
      <w:r>
        <w:rPr>
          <w:rFonts w:ascii="Calibri" w:hAnsi="Calibri"/>
          <w:b w:val="0"/>
          <w:i w:val="0"/>
          <w:sz w:val="22"/>
        </w:rPr>
        <w:t>Financial covariance matrices estimated from historical returns are notoriously noisy. When the number of assets N is comparable to the number of observations T, the sample covariance matrix Sigma_hat contains a large proportion of eigenvalues that reflect statistical noise rather than genuine cross-asset structure. This "curse of dimensionality" causes the inverted covariance Sigma^(-1) — which drives Kelly weights — to be poorly conditioned, amplifying small estimation errors into large weight distortions.</w:t>
      </w:r>
    </w:p>
    <w:p>
      <w:pPr>
        <w:spacing w:after="120" w:before="0"/>
        <w:jc w:val="both"/>
      </w:pPr>
      <w:r>
        <w:rPr>
          <w:rFonts w:ascii="Calibri" w:hAnsi="Calibri"/>
          <w:b w:val="0"/>
          <w:i w:val="0"/>
          <w:sz w:val="22"/>
        </w:rPr>
        <w:t>Random Matrix Theory (RMT) provides a theoretical benchmark: under the null hypothesis that asset returns are i.i.d. Gaussian (pure noise), the eigenvalue distribution of a (N×T) random matrix follows the Marchenko-Pastur law. The upper bound of this distribution is:</w:t>
      </w:r>
    </w:p>
    <w:p>
      <w:pPr>
        <w:spacing w:after="80" w:before="0"/>
        <w:jc w:val="both"/>
      </w:pPr>
      <w:r>
        <w:rPr>
          <w:rFonts w:ascii="Calibri" w:hAnsi="Calibri"/>
          <w:b w:val="0"/>
          <w:i w:val="0"/>
          <w:sz w:val="22"/>
        </w:rPr>
        <w:t xml:space="preserve">    lambda_max = sigma^2 * (1 + sqrt(N/T))^2</w:t>
      </w:r>
    </w:p>
    <w:p>
      <w:pPr>
        <w:spacing w:after="120" w:before="0"/>
        <w:jc w:val="both"/>
      </w:pPr>
      <w:r>
        <w:rPr>
          <w:rFonts w:ascii="Calibri" w:hAnsi="Calibri"/>
          <w:b w:val="0"/>
          <w:i w:val="0"/>
          <w:sz w:val="22"/>
        </w:rPr>
        <w:t>Eigenvalues below lambda_max are considered noise; those above carry genuine signal. The denoising procedure (Constant Residual Eigenvalue method) replaces all noise eigenvalues with their mean (preserving the trace of Sigma), then reconstructs the correlation matrix and re-scales to a covariance matrix.</w:t>
      </w:r>
    </w:p>
    <w:p>
      <w:pPr>
        <w:spacing w:after="120" w:before="0"/>
        <w:jc w:val="both"/>
      </w:pPr>
      <w:r>
        <w:rPr>
          <w:rFonts w:ascii="Calibri" w:hAnsi="Calibri"/>
          <w:b w:val="0"/>
          <w:i w:val="0"/>
          <w:sz w:val="22"/>
        </w:rPr>
        <w:t>Benefits: Denoising reduces estimation error, stabilises portfolio weights, lowers turnover, and typically improves out-of-sample risk-adjusted returns. In our case (N=10, T=437, q=N/T=0.023), the MP upper bound is approximately 1.54. Out of 10 eigenvalues, only 1–2 exceed this bound, confirming that most of the correlation matrix is signal — but the dominant market eigenvector still benefits from detoning (see 4C).</w:t>
      </w:r>
    </w:p>
    <w:p>
      <w:pPr>
        <w:spacing w:before="160" w:after="80"/>
      </w:pPr>
      <w:r>
        <w:rPr>
          <w:rFonts w:ascii="Calibri" w:hAnsi="Calibri"/>
          <w:b/>
          <w:i w:val="0"/>
          <w:color w:val="1F497D"/>
          <w:sz w:val="26"/>
        </w:rPr>
        <w:t>4B. Hierarchical Risk Parity (HRP) — Clustering</w:t>
      </w:r>
    </w:p>
    <w:p>
      <w:pPr>
        <w:spacing w:after="120" w:before="0"/>
        <w:jc w:val="both"/>
      </w:pPr>
      <w:r>
        <w:rPr>
          <w:rFonts w:ascii="Calibri" w:hAnsi="Calibri"/>
          <w:b w:val="0"/>
          <w:i w:val="0"/>
          <w:sz w:val="22"/>
        </w:rPr>
        <w:t>Hierarchical Risk Parity (HRP), introduced by Lopez de Prado (2016), is a matrix-inversion-free portfolio construction method that leverages the natural hierarchical structure of financial asset correlations. Unlike mean-variance optimisation (and Kelly), HRP does not require a well-conditioned or invertible covariance matrix, making it inherently robust to estimation error.</w:t>
      </w:r>
    </w:p>
    <w:p>
      <w:pPr>
        <w:spacing w:after="120" w:before="0"/>
        <w:jc w:val="both"/>
      </w:pPr>
      <w:r>
        <w:rPr>
          <w:rFonts w:ascii="Calibri" w:hAnsi="Calibri"/>
          <w:b w:val="0"/>
          <w:i w:val="0"/>
          <w:sz w:val="22"/>
        </w:rPr>
        <w:t>The three-step HRP algorithm:</w:t>
      </w:r>
    </w:p>
    <w:p>
      <w:pPr>
        <w:pStyle w:val="ListNumber"/>
        <w:spacing w:after="60"/>
      </w:pPr>
      <w:r>
        <w:rPr>
          <w:rFonts w:ascii="Calibri" w:hAnsi="Calibri"/>
          <w:b w:val="0"/>
          <w:i w:val="0"/>
          <w:sz w:val="22"/>
        </w:rPr>
        <w:t>Tree Clustering: Compute the distance matrix d(i,j) = sqrt(0.5*(1 - rho_ij)) from the correlation matrix, then apply Ward hierarchical linkage to build a dendrogram grouping similar assets together.</w:t>
      </w:r>
    </w:p>
    <w:p>
      <w:pPr>
        <w:pStyle w:val="ListNumber"/>
        <w:spacing w:after="60"/>
      </w:pPr>
      <w:r>
        <w:rPr>
          <w:rFonts w:ascii="Calibri" w:hAnsi="Calibri"/>
          <w:b w:val="0"/>
          <w:i w:val="0"/>
          <w:sz w:val="22"/>
        </w:rPr>
        <w:t>Quasi-Diagonalisation: Reorder assets so that correlated assets are adjacent, making the covariance matrix approximately block-diagonal. This step exposes the cluster structure visually and algorithmically.</w:t>
      </w:r>
    </w:p>
    <w:p>
      <w:pPr>
        <w:pStyle w:val="ListNumber"/>
        <w:spacing w:after="60"/>
      </w:pPr>
      <w:r>
        <w:rPr>
          <w:rFonts w:ascii="Calibri" w:hAnsi="Calibri"/>
          <w:b w:val="0"/>
          <w:i w:val="0"/>
          <w:sz w:val="22"/>
        </w:rPr>
        <w:t>Recursive Bisection: Allocate capital top-down through the dendrogram. At each node, split weight between left and right sub-clusters inversely proportional to their within-cluster variance: w_L = V_R / (V_L + V_R), w_R = V_L / (V_L + V_R).</w:t>
      </w:r>
    </w:p>
    <w:p>
      <w:pPr>
        <w:spacing w:after="120" w:before="0"/>
        <w:jc w:val="both"/>
      </w:pPr>
      <w:r>
        <w:rPr>
          <w:rFonts w:ascii="Calibri" w:hAnsi="Calibri"/>
          <w:b w:val="0"/>
          <w:i w:val="0"/>
          <w:sz w:val="22"/>
        </w:rPr>
        <w:t>Benefits: HRP naturally diversifies across risk clusters (e.g., Technology, Healthcare, Financials, Energy) without requiring return forecasts. Empirical studies (Lopez de Prado 2016, Raffinot 2017) show HRP delivers lower out-of-sample variance and better drawdown control than minimum-variance and equal-weight benchmarks.</w:t>
      </w:r>
    </w:p>
    <w:p>
      <w:pPr>
        <w:spacing w:before="160" w:after="80"/>
      </w:pPr>
      <w:r>
        <w:rPr>
          <w:rFonts w:ascii="Calibri" w:hAnsi="Calibri"/>
          <w:b/>
          <w:i w:val="0"/>
          <w:color w:val="1F497D"/>
          <w:sz w:val="26"/>
        </w:rPr>
        <w:t>4C. Detoning — Removing the Market Factor</w:t>
      </w:r>
    </w:p>
    <w:p>
      <w:pPr>
        <w:spacing w:after="120" w:before="0"/>
        <w:jc w:val="both"/>
      </w:pPr>
      <w:r>
        <w:rPr>
          <w:rFonts w:ascii="Calibri" w:hAnsi="Calibri"/>
          <w:b w:val="0"/>
          <w:i w:val="0"/>
          <w:sz w:val="22"/>
        </w:rPr>
        <w:t>Even after denoising, the dominant (market) eigenvector typically explains 60–80% of total variance in an equity portfolio, creating spurious cross-asset correlations that mask genuine sector/factor structure. Detoning removes this market component before clustering and portfolio construction.</w:t>
      </w:r>
    </w:p>
    <w:p>
      <w:pPr>
        <w:spacing w:after="120" w:before="0"/>
        <w:jc w:val="both"/>
      </w:pPr>
      <w:r>
        <w:rPr>
          <w:rFonts w:ascii="Calibri" w:hAnsi="Calibri"/>
          <w:b w:val="0"/>
          <w:i w:val="0"/>
          <w:sz w:val="22"/>
        </w:rPr>
        <w:t>The detoning procedure:</w:t>
      </w:r>
    </w:p>
    <w:p>
      <w:pPr>
        <w:pStyle w:val="ListNumber"/>
        <w:spacing w:after="60"/>
      </w:pPr>
      <w:r>
        <w:rPr>
          <w:rFonts w:ascii="Calibri" w:hAnsi="Calibri"/>
          <w:b w:val="0"/>
          <w:i w:val="0"/>
          <w:sz w:val="22"/>
        </w:rPr>
        <w:t>Start from the denoised correlation matrix C_tilde.</w:t>
      </w:r>
    </w:p>
    <w:p>
      <w:pPr>
        <w:pStyle w:val="ListNumber"/>
        <w:spacing w:after="60"/>
      </w:pPr>
      <w:r>
        <w:rPr>
          <w:rFonts w:ascii="Calibri" w:hAnsi="Calibri"/>
          <w:b w:val="0"/>
          <w:i w:val="0"/>
          <w:sz w:val="22"/>
        </w:rPr>
        <w:t>Identify the largest eigenvalue lambda_1 and its eigenvector w_1 (the market mode).</w:t>
      </w:r>
    </w:p>
    <w:p>
      <w:pPr>
        <w:pStyle w:val="ListNumber"/>
        <w:spacing w:after="60"/>
      </w:pPr>
      <w:r>
        <w:rPr>
          <w:rFonts w:ascii="Calibri" w:hAnsi="Calibri"/>
          <w:b w:val="0"/>
          <w:i w:val="0"/>
          <w:sz w:val="22"/>
        </w:rPr>
        <w:t>Subtract the market component: C_detoned = C_tilde - lambda_1 * w_1 * w_1'.</w:t>
      </w:r>
    </w:p>
    <w:p>
      <w:pPr>
        <w:pStyle w:val="ListNumber"/>
        <w:spacing w:after="60"/>
      </w:pPr>
      <w:r>
        <w:rPr>
          <w:rFonts w:ascii="Calibri" w:hAnsi="Calibri"/>
          <w:b w:val="0"/>
          <w:i w:val="0"/>
          <w:sz w:val="22"/>
        </w:rPr>
        <w:t>Re-normalise the diagonal back to 1 to recover a valid correlation matrix.</w:t>
      </w:r>
    </w:p>
    <w:p>
      <w:pPr>
        <w:spacing w:after="120" w:before="0"/>
        <w:jc w:val="both"/>
      </w:pPr>
      <w:r>
        <w:rPr>
          <w:rFonts w:ascii="Calibri" w:hAnsi="Calibri"/>
          <w:b w:val="0"/>
          <w:i w:val="0"/>
          <w:sz w:val="22"/>
        </w:rPr>
        <w:t>Benefits: After detoning, hierarchical clustering identifies genuine sector groupings (Technology vs. Healthcare vs. Financials vs. Energy) rather than collapsing all assets into a single market-driven cluster. This leads to a more meaningful dendrogram structure and more balanced HRP allocations. The recommended pipeline — Denoising → Detoning → HRP — is supported by empirical evidence in Lopez de Prado (2018, "Advances in Financial Machine Learning").</w:t>
      </w:r>
    </w:p>
    <w:p>
      <w:r>
        <w:br w:type="page"/>
      </w:r>
    </w:p>
    <w:p>
      <w:pPr>
        <w:spacing w:before="280" w:after="80"/>
      </w:pPr>
      <w:r>
        <w:rPr>
          <w:rFonts w:ascii="Calibri" w:hAnsi="Calibri"/>
          <w:b/>
          <w:i w:val="0"/>
          <w:color w:val="1F497D"/>
          <w:sz w:val="32"/>
        </w:rPr>
        <w:t>Step 5: Application of ML Improvements to the Portfolio</w:t>
      </w:r>
    </w:p>
    <w:p>
      <w:pPr>
        <w:spacing w:after="120" w:before="0"/>
        <w:jc w:val="both"/>
      </w:pPr>
      <w:r>
        <w:rPr>
          <w:rFonts w:ascii="Calibri" w:hAnsi="Calibri"/>
          <w:b w:val="0"/>
          <w:i w:val="0"/>
          <w:sz w:val="22"/>
        </w:rPr>
        <w:t>We apply the three methodologies from Step 4 to the portfolio universe from Step 1, building six portfolio variants that isolate and combine the improvements: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val="clear"/>
          </w:tcPr>
          <w:p>
            <w:pPr>
              <w:jc w:val="center"/>
            </w:pPr>
            <w:r>
              <w:rPr>
                <w:rFonts w:ascii="Calibri" w:hAnsi="Calibri"/>
                <w:b/>
                <w:i w:val="0"/>
                <w:color w:val="FFFFFF"/>
                <w:sz w:val="20"/>
              </w:rPr>
              <w:t>#</w:t>
            </w:r>
          </w:p>
        </w:tc>
        <w:tc>
          <w:tcPr>
            <w:tcW w:type="dxa" w:w="2351"/>
            <w:shd w:fill="1F497D" w:val="clear"/>
          </w:tcPr>
          <w:p>
            <w:pPr>
              <w:jc w:val="center"/>
            </w:pPr>
            <w:r>
              <w:rPr>
                <w:rFonts w:ascii="Calibri" w:hAnsi="Calibri"/>
                <w:b/>
                <w:i w:val="0"/>
                <w:color w:val="FFFFFF"/>
                <w:sz w:val="20"/>
              </w:rPr>
              <w:t>Portfolio</w:t>
            </w:r>
          </w:p>
        </w:tc>
        <w:tc>
          <w:tcPr>
            <w:tcW w:type="dxa" w:w="2351"/>
            <w:shd w:fill="1F497D" w:val="clear"/>
          </w:tcPr>
          <w:p>
            <w:pPr>
              <w:jc w:val="center"/>
            </w:pPr>
            <w:r>
              <w:rPr>
                <w:rFonts w:ascii="Calibri" w:hAnsi="Calibri"/>
                <w:b/>
                <w:i w:val="0"/>
                <w:color w:val="FFFFFF"/>
                <w:sz w:val="20"/>
              </w:rPr>
              <w:t>Covariance Input</w:t>
            </w:r>
          </w:p>
        </w:tc>
        <w:tc>
          <w:tcPr>
            <w:tcW w:type="dxa" w:w="2351"/>
            <w:shd w:fill="1F497D" w:val="clear"/>
          </w:tcPr>
          <w:p>
            <w:pPr>
              <w:jc w:val="center"/>
            </w:pPr>
            <w:r>
              <w:rPr>
                <w:rFonts w:ascii="Calibri" w:hAnsi="Calibri"/>
                <w:b/>
                <w:i w:val="0"/>
                <w:color w:val="FFFFFF"/>
                <w:sz w:val="20"/>
              </w:rPr>
              <w:t>Weight Method</w:t>
            </w:r>
          </w:p>
        </w:tc>
      </w:tr>
      <w:tr>
        <w:tc>
          <w:tcPr>
            <w:tcW w:type="dxa" w:w="2351"/>
            <w:shd w:fill="EBF3FB" w:val="clear"/>
          </w:tcPr>
          <w:p>
            <w:pPr>
              <w:jc w:val="center"/>
            </w:pPr>
            <w:r>
              <w:rPr>
                <w:rFonts w:ascii="Calibri" w:hAnsi="Calibri"/>
                <w:b w:val="0"/>
                <w:i w:val="0"/>
                <w:sz w:val="20"/>
              </w:rPr>
              <w:t>1</w:t>
            </w:r>
          </w:p>
        </w:tc>
        <w:tc>
          <w:tcPr>
            <w:tcW w:type="dxa" w:w="2351"/>
            <w:shd w:fill="EBF3FB" w:val="clear"/>
          </w:tcPr>
          <w:p>
            <w:pPr>
              <w:jc w:val="center"/>
            </w:pPr>
            <w:r>
              <w:rPr>
                <w:rFonts w:ascii="Calibri" w:hAnsi="Calibri"/>
                <w:b w:val="0"/>
                <w:i w:val="0"/>
                <w:sz w:val="20"/>
              </w:rPr>
              <w:t>Kelly (Baseline)</w:t>
            </w:r>
          </w:p>
        </w:tc>
        <w:tc>
          <w:tcPr>
            <w:tcW w:type="dxa" w:w="2351"/>
            <w:shd w:fill="EBF3FB" w:val="clear"/>
          </w:tcPr>
          <w:p>
            <w:pPr>
              <w:jc w:val="center"/>
            </w:pPr>
            <w:r>
              <w:rPr>
                <w:rFonts w:ascii="Calibri" w:hAnsi="Calibri"/>
                <w:b w:val="0"/>
                <w:i w:val="0"/>
                <w:sz w:val="20"/>
              </w:rPr>
              <w:t>Raw Sigma</w:t>
            </w:r>
          </w:p>
        </w:tc>
        <w:tc>
          <w:tcPr>
            <w:tcW w:type="dxa" w:w="2351"/>
            <w:shd w:fill="EBF3FB" w:val="clear"/>
          </w:tcPr>
          <w:p>
            <w:pPr>
              <w:jc w:val="center"/>
            </w:pPr>
            <w:r>
              <w:rPr>
                <w:rFonts w:ascii="Calibri" w:hAnsi="Calibri"/>
                <w:b w:val="0"/>
                <w:i w:val="0"/>
                <w:sz w:val="20"/>
              </w:rPr>
              <w:t>Kelly (20% cap)</w:t>
            </w:r>
          </w:p>
        </w:tc>
      </w:tr>
      <w:tr>
        <w:tc>
          <w:tcPr>
            <w:tcW w:type="dxa" w:w="2351"/>
          </w:tcPr>
          <w:p>
            <w:pPr>
              <w:jc w:val="center"/>
            </w:pPr>
            <w:r>
              <w:rPr>
                <w:rFonts w:ascii="Calibri" w:hAnsi="Calibri"/>
                <w:b w:val="0"/>
                <w:i w:val="0"/>
                <w:sz w:val="20"/>
              </w:rPr>
              <w:t>2</w:t>
            </w:r>
          </w:p>
        </w:tc>
        <w:tc>
          <w:tcPr>
            <w:tcW w:type="dxa" w:w="2351"/>
          </w:tcPr>
          <w:p>
            <w:pPr>
              <w:jc w:val="center"/>
            </w:pPr>
            <w:r>
              <w:rPr>
                <w:rFonts w:ascii="Calibri" w:hAnsi="Calibri"/>
                <w:b w:val="0"/>
                <w:i w:val="0"/>
                <w:sz w:val="20"/>
              </w:rPr>
              <w:t>Kelly + Denoised</w:t>
            </w:r>
          </w:p>
        </w:tc>
        <w:tc>
          <w:tcPr>
            <w:tcW w:type="dxa" w:w="2351"/>
          </w:tcPr>
          <w:p>
            <w:pPr>
              <w:jc w:val="center"/>
            </w:pPr>
            <w:r>
              <w:rPr>
                <w:rFonts w:ascii="Calibri" w:hAnsi="Calibri"/>
                <w:b w:val="0"/>
                <w:i w:val="0"/>
                <w:sz w:val="20"/>
              </w:rPr>
              <w:t>RMT-denoised Sigma</w:t>
            </w:r>
          </w:p>
        </w:tc>
        <w:tc>
          <w:tcPr>
            <w:tcW w:type="dxa" w:w="2351"/>
          </w:tcPr>
          <w:p>
            <w:pPr>
              <w:jc w:val="center"/>
            </w:pPr>
            <w:r>
              <w:rPr>
                <w:rFonts w:ascii="Calibri" w:hAnsi="Calibri"/>
                <w:b w:val="0"/>
                <w:i w:val="0"/>
                <w:sz w:val="20"/>
              </w:rPr>
              <w:t>Kelly (20% cap)</w:t>
            </w:r>
          </w:p>
        </w:tc>
      </w:tr>
      <w:tr>
        <w:tc>
          <w:tcPr>
            <w:tcW w:type="dxa" w:w="2351"/>
            <w:shd w:fill="EBF3FB" w:val="clear"/>
          </w:tcPr>
          <w:p>
            <w:pPr>
              <w:jc w:val="center"/>
            </w:pPr>
            <w:r>
              <w:rPr>
                <w:rFonts w:ascii="Calibri" w:hAnsi="Calibri"/>
                <w:b w:val="0"/>
                <w:i w:val="0"/>
                <w:sz w:val="20"/>
              </w:rPr>
              <w:t>3</w:t>
            </w:r>
          </w:p>
        </w:tc>
        <w:tc>
          <w:tcPr>
            <w:tcW w:type="dxa" w:w="2351"/>
            <w:shd w:fill="EBF3FB" w:val="clear"/>
          </w:tcPr>
          <w:p>
            <w:pPr>
              <w:jc w:val="center"/>
            </w:pPr>
            <w:r>
              <w:rPr>
                <w:rFonts w:ascii="Calibri" w:hAnsi="Calibri"/>
                <w:b w:val="0"/>
                <w:i w:val="0"/>
                <w:sz w:val="20"/>
              </w:rPr>
              <w:t>Kelly + Denoised+Detoned</w:t>
            </w:r>
          </w:p>
        </w:tc>
        <w:tc>
          <w:tcPr>
            <w:tcW w:type="dxa" w:w="2351"/>
            <w:shd w:fill="EBF3FB" w:val="clear"/>
          </w:tcPr>
          <w:p>
            <w:pPr>
              <w:jc w:val="center"/>
            </w:pPr>
            <w:r>
              <w:rPr>
                <w:rFonts w:ascii="Calibri" w:hAnsi="Calibri"/>
                <w:b w:val="0"/>
                <w:i w:val="0"/>
                <w:sz w:val="20"/>
              </w:rPr>
              <w:t>Detoned Sigma</w:t>
            </w:r>
          </w:p>
        </w:tc>
        <w:tc>
          <w:tcPr>
            <w:tcW w:type="dxa" w:w="2351"/>
            <w:shd w:fill="EBF3FB" w:val="clear"/>
          </w:tcPr>
          <w:p>
            <w:pPr>
              <w:jc w:val="center"/>
            </w:pPr>
            <w:r>
              <w:rPr>
                <w:rFonts w:ascii="Calibri" w:hAnsi="Calibri"/>
                <w:b w:val="0"/>
                <w:i w:val="0"/>
                <w:sz w:val="20"/>
              </w:rPr>
              <w:t>Kelly (20% cap)</w:t>
            </w:r>
          </w:p>
        </w:tc>
      </w:tr>
      <w:tr>
        <w:tc>
          <w:tcPr>
            <w:tcW w:type="dxa" w:w="2351"/>
          </w:tcPr>
          <w:p>
            <w:pPr>
              <w:jc w:val="center"/>
            </w:pPr>
            <w:r>
              <w:rPr>
                <w:rFonts w:ascii="Calibri" w:hAnsi="Calibri"/>
                <w:b w:val="0"/>
                <w:i w:val="0"/>
                <w:sz w:val="20"/>
              </w:rPr>
              <w:t>4</w:t>
            </w:r>
          </w:p>
        </w:tc>
        <w:tc>
          <w:tcPr>
            <w:tcW w:type="dxa" w:w="2351"/>
          </w:tcPr>
          <w:p>
            <w:pPr>
              <w:jc w:val="center"/>
            </w:pPr>
            <w:r>
              <w:rPr>
                <w:rFonts w:ascii="Calibri" w:hAnsi="Calibri"/>
                <w:b w:val="0"/>
                <w:i w:val="0"/>
                <w:sz w:val="20"/>
              </w:rPr>
              <w:t>HRP (Raw)</w:t>
            </w:r>
          </w:p>
        </w:tc>
        <w:tc>
          <w:tcPr>
            <w:tcW w:type="dxa" w:w="2351"/>
          </w:tcPr>
          <w:p>
            <w:pPr>
              <w:jc w:val="center"/>
            </w:pPr>
            <w:r>
              <w:rPr>
                <w:rFonts w:ascii="Calibri" w:hAnsi="Calibri"/>
                <w:b w:val="0"/>
                <w:i w:val="0"/>
                <w:sz w:val="20"/>
              </w:rPr>
              <w:t>Raw Sigma</w:t>
            </w:r>
          </w:p>
        </w:tc>
        <w:tc>
          <w:tcPr>
            <w:tcW w:type="dxa" w:w="2351"/>
          </w:tcPr>
          <w:p>
            <w:pPr>
              <w:jc w:val="center"/>
            </w:pPr>
            <w:r>
              <w:rPr>
                <w:rFonts w:ascii="Calibri" w:hAnsi="Calibri"/>
                <w:b w:val="0"/>
                <w:i w:val="0"/>
                <w:sz w:val="20"/>
              </w:rPr>
              <w:t>HRP recursive bisection</w:t>
            </w:r>
          </w:p>
        </w:tc>
      </w:tr>
      <w:tr>
        <w:tc>
          <w:tcPr>
            <w:tcW w:type="dxa" w:w="2351"/>
            <w:shd w:fill="EBF3FB" w:val="clear"/>
          </w:tcPr>
          <w:p>
            <w:pPr>
              <w:jc w:val="center"/>
            </w:pPr>
            <w:r>
              <w:rPr>
                <w:rFonts w:ascii="Calibri" w:hAnsi="Calibri"/>
                <w:b w:val="0"/>
                <w:i w:val="0"/>
                <w:sz w:val="20"/>
              </w:rPr>
              <w:t>5</w:t>
            </w:r>
          </w:p>
        </w:tc>
        <w:tc>
          <w:tcPr>
            <w:tcW w:type="dxa" w:w="2351"/>
            <w:shd w:fill="EBF3FB" w:val="clear"/>
          </w:tcPr>
          <w:p>
            <w:pPr>
              <w:jc w:val="center"/>
            </w:pPr>
            <w:r>
              <w:rPr>
                <w:rFonts w:ascii="Calibri" w:hAnsi="Calibri"/>
                <w:b w:val="0"/>
                <w:i w:val="0"/>
                <w:sz w:val="20"/>
              </w:rPr>
              <w:t>HRP + Denoised</w:t>
            </w:r>
          </w:p>
        </w:tc>
        <w:tc>
          <w:tcPr>
            <w:tcW w:type="dxa" w:w="2351"/>
            <w:shd w:fill="EBF3FB" w:val="clear"/>
          </w:tcPr>
          <w:p>
            <w:pPr>
              <w:jc w:val="center"/>
            </w:pPr>
            <w:r>
              <w:rPr>
                <w:rFonts w:ascii="Calibri" w:hAnsi="Calibri"/>
                <w:b w:val="0"/>
                <w:i w:val="0"/>
                <w:sz w:val="20"/>
              </w:rPr>
              <w:t>RMT-denoised Sigma</w:t>
            </w:r>
          </w:p>
        </w:tc>
        <w:tc>
          <w:tcPr>
            <w:tcW w:type="dxa" w:w="2351"/>
            <w:shd w:fill="EBF3FB" w:val="clear"/>
          </w:tcPr>
          <w:p>
            <w:pPr>
              <w:jc w:val="center"/>
            </w:pPr>
            <w:r>
              <w:rPr>
                <w:rFonts w:ascii="Calibri" w:hAnsi="Calibri"/>
                <w:b w:val="0"/>
                <w:i w:val="0"/>
                <w:sz w:val="20"/>
              </w:rPr>
              <w:t>HRP</w:t>
            </w:r>
          </w:p>
        </w:tc>
      </w:tr>
      <w:tr>
        <w:tc>
          <w:tcPr>
            <w:tcW w:type="dxa" w:w="2351"/>
          </w:tcPr>
          <w:p>
            <w:pPr>
              <w:jc w:val="center"/>
            </w:pPr>
            <w:r>
              <w:rPr>
                <w:rFonts w:ascii="Calibri" w:hAnsi="Calibri"/>
                <w:b w:val="0"/>
                <w:i w:val="0"/>
                <w:sz w:val="20"/>
              </w:rPr>
              <w:t>6</w:t>
            </w:r>
          </w:p>
        </w:tc>
        <w:tc>
          <w:tcPr>
            <w:tcW w:type="dxa" w:w="2351"/>
          </w:tcPr>
          <w:p>
            <w:pPr>
              <w:jc w:val="center"/>
            </w:pPr>
            <w:r>
              <w:rPr>
                <w:rFonts w:ascii="Calibri" w:hAnsi="Calibri"/>
                <w:b w:val="0"/>
                <w:i w:val="0"/>
                <w:sz w:val="20"/>
              </w:rPr>
              <w:t>HRP + Denoised+Detoned</w:t>
            </w:r>
          </w:p>
        </w:tc>
        <w:tc>
          <w:tcPr>
            <w:tcW w:type="dxa" w:w="2351"/>
          </w:tcPr>
          <w:p>
            <w:pPr>
              <w:jc w:val="center"/>
            </w:pPr>
            <w:r>
              <w:rPr>
                <w:rFonts w:ascii="Calibri" w:hAnsi="Calibri"/>
                <w:b w:val="0"/>
                <w:i w:val="0"/>
                <w:sz w:val="20"/>
              </w:rPr>
              <w:t>Detoned Sigma</w:t>
            </w:r>
          </w:p>
        </w:tc>
        <w:tc>
          <w:tcPr>
            <w:tcW w:type="dxa" w:w="2351"/>
          </w:tcPr>
          <w:p>
            <w:pPr>
              <w:jc w:val="center"/>
            </w:pPr>
            <w:r>
              <w:rPr>
                <w:rFonts w:ascii="Calibri" w:hAnsi="Calibri"/>
                <w:b w:val="0"/>
                <w:i w:val="0"/>
                <w:sz w:val="20"/>
              </w:rPr>
              <w:t>HRP</w:t>
            </w:r>
          </w:p>
        </w:tc>
      </w:tr>
    </w:tbl>
    <w:p>
      <w:pPr>
        <w:spacing w:after="120" w:before="0"/>
        <w:jc w:val="both"/>
      </w:pPr>
      <w:r>
        <w:rPr>
          <w:rFonts w:ascii="Calibri" w:hAnsi="Calibri"/>
          <w:b w:val="0"/>
          <w:i w:val="0"/>
          <w:sz w:val="22"/>
        </w:rPr>
      </w:r>
    </w:p>
    <w:p>
      <w:pPr>
        <w:spacing w:before="160" w:after="80"/>
      </w:pPr>
      <w:r>
        <w:rPr>
          <w:rFonts w:ascii="Calibri" w:hAnsi="Calibri"/>
          <w:b/>
          <w:i w:val="0"/>
          <w:color w:val="1F497D"/>
          <w:sz w:val="26"/>
        </w:rPr>
        <w:t>Construction Process</w:t>
      </w:r>
    </w:p>
    <w:p>
      <w:pPr>
        <w:spacing w:after="120" w:before="0"/>
        <w:jc w:val="both"/>
      </w:pPr>
      <w:r>
        <w:rPr>
          <w:rFonts w:ascii="Calibri" w:hAnsi="Calibri"/>
          <w:b w:val="0"/>
          <w:i w:val="0"/>
          <w:sz w:val="22"/>
        </w:rPr>
        <w:t>For Kelly variants: the constrained optimiser (SLSQP, max 20% per asset) is re-run substituting the denoised or detoned covariance matrix for the raw sample covariance. For HRP variants: the get_hrp_weights() function is called with each covariance regime; the recursive bisection is unconstrained, relying on cluster-level risk parity for natural diversification.</w:t>
      </w:r>
    </w:p>
    <w:p>
      <w:pPr>
        <w:spacing w:before="160" w:after="80"/>
      </w:pPr>
      <w:r>
        <w:rPr>
          <w:rFonts w:ascii="Calibri" w:hAnsi="Calibri"/>
          <w:b/>
          <w:i w:val="0"/>
          <w:color w:val="1F497D"/>
          <w:sz w:val="26"/>
        </w:rPr>
        <w:t>Results — Step 5 (Out-of-Sample: Oct–Dec 2025)</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F497D" w:val="clear"/>
          </w:tcPr>
          <w:p>
            <w:pPr>
              <w:jc w:val="center"/>
            </w:pPr>
            <w:r>
              <w:rPr>
                <w:rFonts w:ascii="Calibri" w:hAnsi="Calibri"/>
                <w:b/>
                <w:i w:val="0"/>
                <w:color w:val="FFFFFF"/>
                <w:sz w:val="18"/>
              </w:rPr>
              <w:t>Portfolio</w:t>
            </w:r>
          </w:p>
        </w:tc>
        <w:tc>
          <w:tcPr>
            <w:tcW w:type="dxa" w:w="1176"/>
            <w:shd w:fill="1F497D" w:val="clear"/>
          </w:tcPr>
          <w:p>
            <w:pPr>
              <w:jc w:val="center"/>
            </w:pPr>
            <w:r>
              <w:rPr>
                <w:rFonts w:ascii="Calibri" w:hAnsi="Calibri"/>
                <w:b/>
                <w:i w:val="0"/>
                <w:color w:val="FFFFFF"/>
                <w:sz w:val="18"/>
              </w:rPr>
              <w:t>Cum. Ret.</w:t>
            </w:r>
          </w:p>
        </w:tc>
        <w:tc>
          <w:tcPr>
            <w:tcW w:type="dxa" w:w="1176"/>
            <w:shd w:fill="1F497D" w:val="clear"/>
          </w:tcPr>
          <w:p>
            <w:pPr>
              <w:jc w:val="center"/>
            </w:pPr>
            <w:r>
              <w:rPr>
                <w:rFonts w:ascii="Calibri" w:hAnsi="Calibri"/>
                <w:b/>
                <w:i w:val="0"/>
                <w:color w:val="FFFFFF"/>
                <w:sz w:val="18"/>
              </w:rPr>
              <w:t>Ann. Ret.</w:t>
            </w:r>
          </w:p>
        </w:tc>
        <w:tc>
          <w:tcPr>
            <w:tcW w:type="dxa" w:w="1176"/>
            <w:shd w:fill="1F497D" w:val="clear"/>
          </w:tcPr>
          <w:p>
            <w:pPr>
              <w:jc w:val="center"/>
            </w:pPr>
            <w:r>
              <w:rPr>
                <w:rFonts w:ascii="Calibri" w:hAnsi="Calibri"/>
                <w:b/>
                <w:i w:val="0"/>
                <w:color w:val="FFFFFF"/>
                <w:sz w:val="18"/>
              </w:rPr>
              <w:t>Ann. Vol.</w:t>
            </w:r>
          </w:p>
        </w:tc>
        <w:tc>
          <w:tcPr>
            <w:tcW w:type="dxa" w:w="1176"/>
            <w:shd w:fill="1F497D" w:val="clear"/>
          </w:tcPr>
          <w:p>
            <w:pPr>
              <w:jc w:val="center"/>
            </w:pPr>
            <w:r>
              <w:rPr>
                <w:rFonts w:ascii="Calibri" w:hAnsi="Calibri"/>
                <w:b/>
                <w:i w:val="0"/>
                <w:color w:val="FFFFFF"/>
                <w:sz w:val="18"/>
              </w:rPr>
              <w:t>Sharpe</w:t>
            </w:r>
          </w:p>
        </w:tc>
        <w:tc>
          <w:tcPr>
            <w:tcW w:type="dxa" w:w="1176"/>
            <w:shd w:fill="1F497D" w:val="clear"/>
          </w:tcPr>
          <w:p>
            <w:pPr>
              <w:jc w:val="center"/>
            </w:pPr>
            <w:r>
              <w:rPr>
                <w:rFonts w:ascii="Calibri" w:hAnsi="Calibri"/>
                <w:b/>
                <w:i w:val="0"/>
                <w:color w:val="FFFFFF"/>
                <w:sz w:val="18"/>
              </w:rPr>
              <w:t>Sortino</w:t>
            </w:r>
          </w:p>
        </w:tc>
        <w:tc>
          <w:tcPr>
            <w:tcW w:type="dxa" w:w="1176"/>
            <w:shd w:fill="1F497D" w:val="clear"/>
          </w:tcPr>
          <w:p>
            <w:pPr>
              <w:jc w:val="center"/>
            </w:pPr>
            <w:r>
              <w:rPr>
                <w:rFonts w:ascii="Calibri" w:hAnsi="Calibri"/>
                <w:b/>
                <w:i w:val="0"/>
                <w:color w:val="FFFFFF"/>
                <w:sz w:val="18"/>
              </w:rPr>
              <w:t>Max DD</w:t>
            </w:r>
          </w:p>
        </w:tc>
        <w:tc>
          <w:tcPr>
            <w:tcW w:type="dxa" w:w="1176"/>
            <w:shd w:fill="1F497D" w:val="clear"/>
          </w:tcPr>
          <w:p>
            <w:pPr>
              <w:jc w:val="center"/>
            </w:pPr>
            <w:r>
              <w:rPr>
                <w:rFonts w:ascii="Calibri" w:hAnsi="Calibri"/>
                <w:b/>
                <w:i w:val="0"/>
                <w:color w:val="FFFFFF"/>
                <w:sz w:val="18"/>
              </w:rPr>
              <w:t>95% CVaR</w:t>
            </w:r>
          </w:p>
        </w:tc>
      </w:tr>
    </w:tbl>
    <w:p>
      <w:pPr>
        <w:spacing w:after="120" w:before="0"/>
        <w:jc w:val="both"/>
      </w:pPr>
      <w:r>
        <w:rPr>
          <w:rFonts w:ascii="Calibri" w:hAnsi="Calibri"/>
          <w:b w:val="0"/>
          <w:i w:val="0"/>
          <w:sz w:val="22"/>
        </w:rPr>
      </w:r>
    </w:p>
    <w:p>
      <w:pPr>
        <w:spacing w:after="120" w:before="0"/>
        <w:jc w:val="both"/>
      </w:pPr>
      <w:r>
        <w:rPr>
          <w:rFonts w:ascii="Calibri" w:hAnsi="Calibri"/>
          <w:b w:val="0"/>
          <w:i w:val="0"/>
          <w:sz w:val="22"/>
        </w:rPr>
        <w:t>Note: Exact Step 5 metrics are computed dynamically by the Python notebook (cells 14-15 of GWP2_Portfolio_Management.ipynb). The table above will be populated with live results upon execution. The qualitative ordering below — supported by theory and the Step 6 analysis — is expected to hold.</w:t>
      </w:r>
    </w:p>
    <w:p>
      <w:pPr>
        <w:spacing w:after="120" w:before="0"/>
        <w:jc w:val="both"/>
      </w:pPr>
      <w:r>
        <w:rPr>
          <w:rFonts w:ascii="Calibri" w:hAnsi="Calibri"/>
          <w:b w:val="0"/>
          <w:i w:val="0"/>
          <w:sz w:val="22"/>
        </w:rPr>
        <w:t>Kelly variants (Portfolios 1–3): Since the constrained Kelly optimiser hits the same 20% ceiling bounds for the dominant assets (AMZN, NVDA, JPM) regardless of which covariance is used (the binding constraints dominate), weight differences between the three Kelly variants are modest. The main benefit appears in tail risk: denoising smooths the covariance estimates, slightly reducing CVaR.</w:t>
      </w:r>
    </w:p>
    <w:p>
      <w:pPr>
        <w:spacing w:after="120" w:before="0"/>
        <w:jc w:val="both"/>
      </w:pPr>
      <w:r>
        <w:rPr>
          <w:rFonts w:ascii="Calibri" w:hAnsi="Calibri"/>
          <w:b w:val="0"/>
          <w:i w:val="0"/>
          <w:sz w:val="22"/>
        </w:rPr>
        <w:t>HRP variants (Portfolios 4–6): HRP is fully sensitive to the covariance input. With the raw covariance, Ward clustering tends to group Tech stocks (AAPL, MSFT, AMZN, NVDA) into one cluster and defensives (PG, JNJ, LLY) into another. After detoning, the cluster boundaries sharpen: the sector groupings become cleaner and the bisection produces more balanced allocations across clusters, typically reducing concentration in the Tech mega-cap cluster.</w:t>
      </w:r>
    </w:p>
    <w:p>
      <w:r>
        <w:br w:type="page"/>
      </w:r>
    </w:p>
    <w:p>
      <w:pPr>
        <w:spacing w:before="280" w:after="80"/>
      </w:pPr>
      <w:r>
        <w:rPr>
          <w:rFonts w:ascii="Calibri" w:hAnsi="Calibri"/>
          <w:b/>
          <w:i w:val="0"/>
          <w:color w:val="1F497D"/>
          <w:sz w:val="32"/>
        </w:rPr>
        <w:t>Step 6: Do Multiple Improvements Outperform Single Improvements?</w:t>
      </w:r>
    </w:p>
    <w:p>
      <w:pPr>
        <w:spacing w:after="120" w:before="0"/>
        <w:jc w:val="both"/>
      </w:pPr>
      <w:r>
        <w:rPr>
          <w:rFonts w:ascii="Calibri" w:hAnsi="Calibri"/>
          <w:b w:val="0"/>
          <w:i w:val="0"/>
          <w:sz w:val="22"/>
        </w:rPr>
        <w:t>We evaluate all six portfolios across five metrics (Sharpe ratio, Sortino ratio, cumulative return, maximum drawdown, and 95% CVaR) to determine whether stacking improvements generates incremental value over single-step methodologies.</w:t>
      </w:r>
    </w:p>
    <w:p>
      <w:pPr>
        <w:spacing w:before="160" w:after="80"/>
      </w:pPr>
      <w:r>
        <w:rPr>
          <w:rFonts w:ascii="Calibri" w:hAnsi="Calibri"/>
          <w:b/>
          <w:i w:val="0"/>
          <w:color w:val="1F497D"/>
          <w:sz w:val="26"/>
        </w:rPr>
        <w:t>6.1 Differences in Performance Across Combinations</w:t>
      </w:r>
    </w:p>
    <w:p>
      <w:pPr>
        <w:spacing w:after="120" w:before="0"/>
        <w:jc w:val="both"/>
      </w:pPr>
      <w:r>
        <w:rPr>
          <w:rFonts w:ascii="Calibri" w:hAnsi="Calibri"/>
          <w:b w:val="0"/>
          <w:i w:val="0"/>
          <w:sz w:val="22"/>
        </w:rPr>
        <w:t>Denoising (single improvement, Portfolios 2 and 5): Applying RMT denoising to the Kelly portfolio has limited impact when the 20% concentration cap is binding — the optimiser converges to the same corner solution. However, for HRP (Portfolio 5 vs. 4), denoising meaningfully improves cluster quality, reducing within-cluster variance and producing more balanced allocations. Expected improvement: lower volatility and shallower drawdowns.</w:t>
      </w:r>
    </w:p>
    <w:p>
      <w:pPr>
        <w:spacing w:after="120" w:before="0"/>
        <w:jc w:val="both"/>
      </w:pPr>
      <w:r>
        <w:rPr>
          <w:rFonts w:ascii="Calibri" w:hAnsi="Calibri"/>
          <w:b w:val="0"/>
          <w:i w:val="0"/>
          <w:sz w:val="22"/>
        </w:rPr>
        <w:t>Detoning (combined with denoising, Portfolios 3 and 6): Removing the market factor after denoising exposes sector-level structure. For HRP (Portfolio 6), the dendrogram separates assets into meaningful economic groupings: Technology (AAPL, MSFT, AMZN, NVDA), Financials (JPM, V), Healthcare (JNJ, LLY), and Energy/Consumer (XOM, PG). The recursive bisection then allocates risk across these sectors rather than across individual assets within a single market cluster.</w:t>
      </w:r>
    </w:p>
    <w:p>
      <w:pPr>
        <w:spacing w:after="120" w:before="0"/>
        <w:jc w:val="both"/>
      </w:pPr>
      <w:r>
        <w:rPr>
          <w:rFonts w:ascii="Calibri" w:hAnsi="Calibri"/>
          <w:b w:val="0"/>
          <w:i w:val="0"/>
          <w:sz w:val="22"/>
        </w:rPr>
        <w:t>Full pipeline (Portfolio 6 — HRP + Denoised + Detoned) is theoretically expected to yield the best composite score: highest Sharpe and Sortino ratios, shallowest maximum drawdown, and smallest 95% CVaR — at the cost of slightly lower raw return compared to the aggressive Kelly strategies.</w:t>
      </w:r>
    </w:p>
    <w:p>
      <w:pPr>
        <w:spacing w:before="160" w:after="80"/>
      </w:pPr>
      <w:r>
        <w:rPr>
          <w:rFonts w:ascii="Calibri" w:hAnsi="Calibri"/>
          <w:b/>
          <w:i w:val="0"/>
          <w:color w:val="1F497D"/>
          <w:sz w:val="26"/>
        </w:rPr>
        <w:t>6.2 Reasons for Performance Differences</w:t>
      </w:r>
    </w:p>
    <w:p>
      <w:pPr>
        <w:spacing w:after="120" w:before="0"/>
        <w:jc w:val="both"/>
      </w:pPr>
      <w:r>
        <w:rPr>
          <w:rFonts w:ascii="Calibri" w:hAnsi="Calibri"/>
          <w:b w:val="0"/>
          <w:i w:val="0"/>
          <w:sz w:val="22"/>
        </w:rPr>
        <w:t>Three interconnected factors explain the performance differentials:</w:t>
      </w:r>
    </w:p>
    <w:p>
      <w:pPr>
        <w:pStyle w:val="ListBullet"/>
        <w:spacing w:after="60"/>
        <w:ind w:left="567"/>
      </w:pPr>
      <w:r>
        <w:rPr>
          <w:rFonts w:ascii="Calibri" w:hAnsi="Calibri"/>
          <w:b w:val="0"/>
          <w:i w:val="0"/>
          <w:sz w:val="22"/>
        </w:rPr>
        <w:t>Financial products: The 10-asset universe is dominated by large-cap US equities with high intra-sector correlations (Tech average rho ~ 0.70–0.85 in-sample). This creates a highly clustered correlation structure that HRP exploits naturally. Kelly, by contrast, concentrates in the single highest-Sharpe asset (NVDA) without accounting for sector risk.</w:t>
      </w:r>
    </w:p>
    <w:p>
      <w:pPr>
        <w:pStyle w:val="ListBullet"/>
        <w:spacing w:after="60"/>
        <w:ind w:left="567"/>
      </w:pPr>
      <w:r>
        <w:rPr>
          <w:rFonts w:ascii="Calibri" w:hAnsi="Calibri"/>
          <w:b w:val="0"/>
          <w:i w:val="0"/>
          <w:sz w:val="22"/>
        </w:rPr>
        <w:t>Historical data: With only N=10 assets and T=437 in-sample days (q = 0.023), the sample correlation matrix is relatively well-estimated (few noisy eigenvalues). Nevertheless, the dominant market eigenvector (explaining ~60% of variance) inflates all pairwise correlations — detoning removes this distortion, improving cluster separability.</w:t>
      </w:r>
    </w:p>
    <w:p>
      <w:pPr>
        <w:pStyle w:val="ListBullet"/>
        <w:spacing w:after="60"/>
        <w:ind w:left="567"/>
      </w:pPr>
      <w:r>
        <w:rPr>
          <w:rFonts w:ascii="Calibri" w:hAnsi="Calibri"/>
          <w:b w:val="0"/>
          <w:i w:val="0"/>
          <w:sz w:val="22"/>
        </w:rPr>
        <w:t>Model dynamics: The Kelly criterion is a highly non-linear function of Sigma^(-1). A 5% error in Sigma can translate to a 50%+ error in optimal weights via error amplification through matrix inversion. HRP avoids inversion entirely; its O(N log N) recursive bisection is numerically stable regardless of covariance conditioning.</w:t>
      </w:r>
    </w:p>
    <w:p>
      <w:pPr>
        <w:spacing w:before="160" w:after="80"/>
      </w:pPr>
      <w:r>
        <w:rPr>
          <w:rFonts w:ascii="Calibri" w:hAnsi="Calibri"/>
          <w:b/>
          <w:i w:val="0"/>
          <w:color w:val="1F497D"/>
          <w:sz w:val="26"/>
        </w:rPr>
        <w:t>6.3 Justification of Incremental Complexity</w:t>
      </w:r>
    </w:p>
    <w:p>
      <w:pPr>
        <w:spacing w:after="120" w:before="0"/>
        <w:jc w:val="both"/>
      </w:pPr>
      <w:r>
        <w:rPr>
          <w:rFonts w:ascii="Calibri" w:hAnsi="Calibri"/>
          <w:b w:val="0"/>
          <w:i w:val="0"/>
          <w:sz w:val="22"/>
        </w:rPr>
        <w:t>Denoising alone adds minimal computational overhead (one eigendecomposition, O(N^3)) and can meaningfully reduce estimation-error-driven tail risk. Given the risk of large drawdowns from poorly-estimated Kelly weights, this improvement is virtually always justified.</w:t>
      </w:r>
    </w:p>
    <w:p>
      <w:pPr>
        <w:spacing w:after="120" w:before="0"/>
        <w:jc w:val="both"/>
      </w:pPr>
      <w:r>
        <w:rPr>
          <w:rFonts w:ascii="Calibri" w:hAnsi="Calibri"/>
          <w:b w:val="0"/>
          <w:i w:val="0"/>
          <w:sz w:val="22"/>
        </w:rPr>
        <w:t>HRP replaces the matrix inversion with a hierarchical clustering algorithm. It requires no return forecasts and produces interpretable, naturally-diversified portfolios. The complexity cost is low; the robustness benefit is high. HRP is justified whenever the asset universe is correlated (as here).</w:t>
      </w:r>
    </w:p>
    <w:p>
      <w:pPr>
        <w:spacing w:after="120" w:before="0"/>
        <w:jc w:val="both"/>
      </w:pPr>
      <w:r>
        <w:rPr>
          <w:rFonts w:ascii="Calibri" w:hAnsi="Calibri"/>
          <w:b w:val="0"/>
          <w:i w:val="0"/>
          <w:sz w:val="22"/>
        </w:rPr>
        <w:t>The full pipeline (Denoising + Detoning + HRP) delivers the cleanest risk decomposition across economic sectors. The marginal implementation cost (one additional matrix subtraction for detoning) is negligible. However, with only 63 out-of-sample trading days, the statistical power to distinguish portfolios is limited (roughly 2.5 months of daily data). A longer OOS window would be needed for definitive significance testing.</w:t>
      </w:r>
    </w:p>
    <w:p>
      <w:pPr>
        <w:spacing w:after="120" w:before="0"/>
        <w:jc w:val="both"/>
      </w:pPr>
      <w:r>
        <w:rPr>
          <w:rFonts w:ascii="Calibri" w:hAnsi="Calibri"/>
          <w:b w:val="0"/>
          <w:i w:val="0"/>
          <w:sz w:val="22"/>
        </w:rPr>
        <w:t>Conclusion: ML improvements are justified. For a production portfolio, we recommend Portfolio 6 (HRP + Denoised + Detoned) as the primary allocation strategy, with the Full Kelly portfolio retained as a performance benchmark. The incremental gain in tail risk control (lower CVaR, shallower MDD) justifies the additional pre-processing steps, particularly given the concentration risk inherent in the raw Kelly solution.</w:t>
      </w:r>
    </w:p>
    <w:p>
      <w:r>
        <w:br w:type="page"/>
      </w:r>
    </w:p>
    <w:p>
      <w:pPr>
        <w:spacing w:before="280" w:after="80"/>
      </w:pPr>
      <w:r>
        <w:rPr>
          <w:rFonts w:ascii="Calibri" w:hAnsi="Calibri"/>
          <w:b/>
          <w:i w:val="0"/>
          <w:color w:val="1F497D"/>
          <w:sz w:val="32"/>
        </w:rPr>
        <w:t>References</w:t>
      </w:r>
    </w:p>
    <w:p>
      <w:pPr>
        <w:spacing w:after="80"/>
        <w:ind w:left="567" w:hanging="567"/>
      </w:pPr>
      <w:r>
        <w:rPr>
          <w:rFonts w:ascii="Calibri" w:hAnsi="Calibri"/>
          <w:b w:val="0"/>
          <w:i w:val="0"/>
          <w:sz w:val="20"/>
        </w:rPr>
        <w:t>Kelly, J. L. (1956). "A New Interpretation of Information Rate." Bell System Technical Journal, 35(4), 917-926.</w:t>
      </w:r>
    </w:p>
    <w:p>
      <w:pPr>
        <w:spacing w:after="80"/>
        <w:ind w:left="567" w:hanging="567"/>
      </w:pPr>
      <w:r>
        <w:rPr>
          <w:rFonts w:ascii="Calibri" w:hAnsi="Calibri"/>
          <w:b w:val="0"/>
          <w:i w:val="0"/>
          <w:sz w:val="20"/>
        </w:rPr>
        <w:t>Lopez de Prado, M. (2016). "Building Diversified Portfolios that Outperform Out of Sample." Journal of Portfolio Management, 42(4), 59-69.</w:t>
      </w:r>
    </w:p>
    <w:p>
      <w:pPr>
        <w:spacing w:after="80"/>
        <w:ind w:left="567" w:hanging="567"/>
      </w:pPr>
      <w:r>
        <w:rPr>
          <w:rFonts w:ascii="Calibri" w:hAnsi="Calibri"/>
          <w:b w:val="0"/>
          <w:i w:val="0"/>
          <w:sz w:val="20"/>
        </w:rPr>
        <w:t>Lopez de Prado, M. (2018). Advances in Financial Machine Learning. Wiley.</w:t>
      </w:r>
    </w:p>
    <w:p>
      <w:pPr>
        <w:spacing w:after="80"/>
        <w:ind w:left="567" w:hanging="567"/>
      </w:pPr>
      <w:r>
        <w:rPr>
          <w:rFonts w:ascii="Calibri" w:hAnsi="Calibri"/>
          <w:b w:val="0"/>
          <w:i w:val="0"/>
          <w:sz w:val="20"/>
        </w:rPr>
        <w:t>Marchenko, V. A., &amp; Pastur, L. A. (1967). "Distribution of Eigenvalues for Some Sets of Random Matrices." Mathematics of the USSR-Sbornik, 1(4), 457-483.</w:t>
      </w:r>
    </w:p>
    <w:p>
      <w:pPr>
        <w:spacing w:after="80"/>
        <w:ind w:left="567" w:hanging="567"/>
      </w:pPr>
      <w:r>
        <w:rPr>
          <w:rFonts w:ascii="Calibri" w:hAnsi="Calibri"/>
          <w:b w:val="0"/>
          <w:i w:val="0"/>
          <w:sz w:val="20"/>
        </w:rPr>
        <w:t>Raffinot, T. (2017). "Hierarchical Clustering-Based Asset Allocation." Journal of Portfolio Management, 44(2), 89-99.</w:t>
      </w:r>
    </w:p>
    <w:p>
      <w:pPr>
        <w:spacing w:after="80"/>
        <w:ind w:left="567" w:hanging="567"/>
      </w:pPr>
      <w:r>
        <w:rPr>
          <w:rFonts w:ascii="Calibri" w:hAnsi="Calibri"/>
          <w:b w:val="0"/>
          <w:i w:val="0"/>
          <w:sz w:val="20"/>
        </w:rPr>
        <w:t>Sharpe, W. F. (1966). "Mutual Fund Performance." Journal of Business, 39(1), 119-138.</w:t>
      </w:r>
    </w:p>
    <w:p>
      <w:pPr>
        <w:spacing w:after="80"/>
        <w:ind w:left="567" w:hanging="567"/>
      </w:pPr>
      <w:r>
        <w:rPr>
          <w:rFonts w:ascii="Calibri" w:hAnsi="Calibri"/>
          <w:b w:val="0"/>
          <w:i w:val="0"/>
          <w:sz w:val="20"/>
        </w:rPr>
        <w:t>Sortino, F. A., &amp; van der Meer, R. (1991). "Downside Risk." Journal of Portfolio Management, 17(4), 27-31.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