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00"/>
        <w:gridCol w:w="6106"/>
      </w:tblGrid>
      <w:tr w:rsidR="003A2F1D" w14:paraId="05C429B4" w14:textId="77777777">
        <w:trPr>
          <w:cantSplit/>
        </w:trPr>
        <w:tc>
          <w:tcPr>
            <w:tcW w:w="4100" w:type="dxa"/>
            <w:shd w:val="clear" w:color="auto" w:fill="4E9A44"/>
            <w:tcMar>
              <w:top w:w="160" w:type="dxa"/>
              <w:left w:w="200" w:type="dxa"/>
              <w:bottom w:w="160" w:type="dxa"/>
              <w:right w:w="160" w:type="dxa"/>
            </w:tcMar>
            <w:vAlign w:val="center"/>
          </w:tcPr>
          <w:p w14:paraId="10408123" w14:textId="77777777" w:rsidR="003A2F1D" w:rsidRDefault="004F738C">
            <w:r>
              <w:rPr>
                <w:rFonts w:ascii="Calibri" w:eastAsia="Calibri" w:hAnsi="Calibri" w:cs="Calibri"/>
                <w:b/>
                <w:bCs/>
                <w:color w:val="FFFFFF"/>
                <w:spacing w:val="30"/>
                <w:sz w:val="24"/>
                <w:szCs w:val="24"/>
              </w:rPr>
              <w:t>MES ANALYSES</w:t>
            </w:r>
          </w:p>
          <w:p w14:paraId="15A6E380" w14:textId="77777777" w:rsidR="003A2F1D" w:rsidRDefault="004F738C">
            <w:pPr>
              <w:spacing w:before="20" w:after="40"/>
            </w:pPr>
            <w:r>
              <w:rPr>
                <w:rFonts w:ascii="Calibri" w:eastAsia="Calibri" w:hAnsi="Calibri" w:cs="Calibri"/>
                <w:b/>
                <w:bCs/>
                <w:color w:val="FFFFFF"/>
                <w:spacing w:val="30"/>
                <w:sz w:val="24"/>
                <w:szCs w:val="24"/>
              </w:rPr>
              <w:t>DU QUARTIER</w:t>
            </w:r>
          </w:p>
          <w:p w14:paraId="3E72596D" w14:textId="77777777" w:rsidR="003A2F1D" w:rsidRDefault="004F738C">
            <w:r>
              <w:rPr>
                <w:rFonts w:ascii="Calibri" w:eastAsia="Calibri" w:hAnsi="Calibri" w:cs="Calibri"/>
                <w:b/>
                <w:bCs/>
                <w:color w:val="D8ECCE"/>
                <w:spacing w:val="24"/>
                <w:sz w:val="16"/>
                <w:szCs w:val="16"/>
              </w:rPr>
              <w:t>N° 04 / 2025</w:t>
            </w:r>
          </w:p>
        </w:tc>
        <w:tc>
          <w:tcPr>
            <w:tcW w:w="6106" w:type="dxa"/>
            <w:shd w:val="clear" w:color="auto" w:fill="EDF5E7"/>
            <w:tcMar>
              <w:top w:w="160" w:type="dxa"/>
              <w:left w:w="200" w:type="dxa"/>
              <w:bottom w:w="160" w:type="dxa"/>
              <w:right w:w="200" w:type="dxa"/>
            </w:tcMar>
            <w:vAlign w:val="center"/>
          </w:tcPr>
          <w:p w14:paraId="43DD7FB7" w14:textId="77777777" w:rsidR="003A2F1D" w:rsidRDefault="004F738C">
            <w:pPr>
              <w:jc w:val="right"/>
            </w:pPr>
            <w:r>
              <w:rPr>
                <w:rFonts w:ascii="Calibri" w:eastAsia="Calibri" w:hAnsi="Calibri" w:cs="Calibri"/>
                <w:b/>
                <w:bCs/>
                <w:color w:val="1E5B2A"/>
                <w:spacing w:val="20"/>
                <w:sz w:val="15"/>
                <w:szCs w:val="15"/>
              </w:rPr>
              <w:t xml:space="preserve">ANALYSE </w:t>
            </w:r>
            <w:proofErr w:type="gramStart"/>
            <w:r>
              <w:rPr>
                <w:rFonts w:ascii="Calibri" w:eastAsia="Calibri" w:hAnsi="Calibri" w:cs="Calibri"/>
                <w:b/>
                <w:bCs/>
                <w:color w:val="1E5B2A"/>
                <w:spacing w:val="20"/>
                <w:sz w:val="15"/>
                <w:szCs w:val="15"/>
              </w:rPr>
              <w:t>CITOYENNE  ·</w:t>
            </w:r>
            <w:proofErr w:type="gramEnd"/>
            <w:r>
              <w:rPr>
                <w:rFonts w:ascii="Calibri" w:eastAsia="Calibri" w:hAnsi="Calibri" w:cs="Calibri"/>
                <w:b/>
                <w:bCs/>
                <w:color w:val="1E5B2A"/>
                <w:spacing w:val="20"/>
                <w:sz w:val="15"/>
                <w:szCs w:val="15"/>
              </w:rPr>
              <w:t xml:space="preserve">  FISCALITÉ FONCIÈRE ET COLLECTIVITÉS</w:t>
            </w:r>
          </w:p>
          <w:p w14:paraId="23797682" w14:textId="77777777" w:rsidR="003A2F1D" w:rsidRDefault="004F738C">
            <w:pPr>
              <w:spacing w:before="40"/>
              <w:jc w:val="right"/>
            </w:pPr>
            <w:r>
              <w:rPr>
                <w:rFonts w:ascii="Calibri" w:eastAsia="Calibri" w:hAnsi="Calibri" w:cs="Calibri"/>
                <w:color w:val="5A5A5A"/>
                <w:sz w:val="15"/>
                <w:szCs w:val="15"/>
              </w:rPr>
              <w:t>Libreville, Gabon, 22 avril 2025</w:t>
            </w:r>
          </w:p>
        </w:tc>
      </w:tr>
    </w:tbl>
    <w:p w14:paraId="51809503" w14:textId="77777777" w:rsidR="003A2F1D" w:rsidRDefault="004F738C">
      <w:pPr>
        <w:spacing w:before="250" w:after="40"/>
        <w:jc w:val="center"/>
      </w:pPr>
      <w:r>
        <w:rPr>
          <w:rFonts w:ascii="Cambria" w:eastAsia="Cambria" w:hAnsi="Cambria" w:cs="Cambria"/>
          <w:b/>
          <w:bCs/>
          <w:color w:val="1A1A1A"/>
          <w:sz w:val="44"/>
          <w:szCs w:val="44"/>
        </w:rPr>
        <w:t>La Contribution Foncière Unique</w:t>
      </w:r>
    </w:p>
    <w:p w14:paraId="4CE17DE3" w14:textId="77777777" w:rsidR="003A2F1D" w:rsidRDefault="004F738C">
      <w:pPr>
        <w:spacing w:after="120"/>
        <w:jc w:val="center"/>
      </w:pPr>
      <w:r>
        <w:rPr>
          <w:rFonts w:ascii="Cambria" w:eastAsia="Cambria" w:hAnsi="Cambria" w:cs="Cambria"/>
          <w:i/>
          <w:iCs/>
          <w:color w:val="4E9A44"/>
          <w:sz w:val="24"/>
          <w:szCs w:val="24"/>
        </w:rPr>
        <w:t>Un impôt qui ne touche qu'une minorité, dans un pays où l'État n'arrive pas à régulariser le foncier des autres</w:t>
      </w:r>
    </w:p>
    <w:p w14:paraId="01A75997" w14:textId="77777777" w:rsidR="003A2F1D" w:rsidRDefault="004F738C">
      <w:pPr>
        <w:pBdr>
          <w:top w:val="single" w:sz="6" w:space="6" w:color="7DBE6B"/>
          <w:bottom w:val="single" w:sz="6" w:space="6" w:color="7DBE6B"/>
        </w:pBdr>
        <w:spacing w:after="60"/>
        <w:jc w:val="center"/>
      </w:pPr>
      <w:r>
        <w:rPr>
          <w:rFonts w:ascii="Calibri" w:eastAsia="Calibri" w:hAnsi="Calibri" w:cs="Calibri"/>
          <w:b/>
          <w:bCs/>
          <w:color w:val="1E5B2A"/>
          <w:sz w:val="17"/>
          <w:szCs w:val="17"/>
        </w:rPr>
        <w:t>Par Dr. Louis Kadryl YEMBI-YEMBI</w:t>
      </w:r>
      <w:r>
        <w:rPr>
          <w:rFonts w:ascii="Calibri" w:eastAsia="Calibri" w:hAnsi="Calibri" w:cs="Calibri"/>
          <w:color w:val="7DBE6B"/>
          <w:sz w:val="17"/>
          <w:szCs w:val="17"/>
        </w:rPr>
        <w:t xml:space="preserve">    |    </w:t>
      </w:r>
      <w:r>
        <w:rPr>
          <w:rFonts w:ascii="Calibri" w:eastAsia="Calibri" w:hAnsi="Calibri" w:cs="Calibri"/>
          <w:color w:val="5A5A5A"/>
          <w:sz w:val="17"/>
          <w:szCs w:val="17"/>
        </w:rPr>
        <w:t>Rubrique : fiscalité foncière, cadastre et finances locales</w:t>
      </w:r>
      <w:r>
        <w:rPr>
          <w:rFonts w:ascii="Calibri" w:eastAsia="Calibri" w:hAnsi="Calibri" w:cs="Calibri"/>
          <w:color w:val="7DBE6B"/>
          <w:sz w:val="17"/>
          <w:szCs w:val="17"/>
        </w:rPr>
        <w:t xml:space="preserve">    |    </w:t>
      </w:r>
      <w:r>
        <w:rPr>
          <w:rFonts w:ascii="Calibri" w:eastAsia="Calibri" w:hAnsi="Calibri" w:cs="Calibri"/>
          <w:color w:val="5A5A5A"/>
          <w:sz w:val="17"/>
          <w:szCs w:val="17"/>
        </w:rPr>
        <w:t>Temps de lecture : 16 min</w:t>
      </w:r>
    </w:p>
    <w:p w14:paraId="0C24AD75" w14:textId="77777777" w:rsidR="003A2F1D" w:rsidRDefault="003A2F1D">
      <w:pPr>
        <w:spacing w:before="160"/>
      </w:pP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
        <w:gridCol w:w="10116"/>
      </w:tblGrid>
      <w:tr w:rsidR="003A2F1D" w14:paraId="234BF38B" w14:textId="77777777">
        <w:trPr>
          <w:cantSplit/>
        </w:trPr>
        <w:tc>
          <w:tcPr>
            <w:tcW w:w="90" w:type="dxa"/>
            <w:shd w:val="clear" w:color="auto" w:fill="4E9A44"/>
            <w:tcMar>
              <w:top w:w="0" w:type="dxa"/>
              <w:left w:w="0" w:type="dxa"/>
              <w:bottom w:w="0" w:type="dxa"/>
              <w:right w:w="0" w:type="dxa"/>
            </w:tcMar>
            <w:vAlign w:val="center"/>
          </w:tcPr>
          <w:p w14:paraId="761F0C70" w14:textId="77777777" w:rsidR="003A2F1D" w:rsidRDefault="003A2F1D"/>
        </w:tc>
        <w:tc>
          <w:tcPr>
            <w:tcW w:w="10116" w:type="dxa"/>
            <w:shd w:val="clear" w:color="auto" w:fill="EDF5E7"/>
            <w:tcMar>
              <w:top w:w="200" w:type="dxa"/>
              <w:left w:w="220" w:type="dxa"/>
              <w:bottom w:w="200" w:type="dxa"/>
              <w:right w:w="220" w:type="dxa"/>
            </w:tcMar>
          </w:tcPr>
          <w:p w14:paraId="202D0D1A" w14:textId="77777777" w:rsidR="003A2F1D" w:rsidRDefault="004F738C">
            <w:pPr>
              <w:spacing w:after="80"/>
            </w:pPr>
            <w:r>
              <w:rPr>
                <w:rFonts w:ascii="Calibri" w:eastAsia="Calibri" w:hAnsi="Calibri" w:cs="Calibri"/>
                <w:b/>
                <w:bCs/>
                <w:color w:val="4E9A44"/>
                <w:spacing w:val="30"/>
                <w:sz w:val="15"/>
                <w:szCs w:val="15"/>
              </w:rPr>
              <w:t>RÉSUMÉ</w:t>
            </w:r>
          </w:p>
          <w:p w14:paraId="7B5C6998" w14:textId="77777777" w:rsidR="003A2F1D" w:rsidRDefault="004F738C">
            <w:pPr>
              <w:spacing w:line="260" w:lineRule="auto"/>
              <w:jc w:val="both"/>
            </w:pPr>
            <w:r>
              <w:rPr>
                <w:rFonts w:ascii="Cambria" w:eastAsia="Cambria" w:hAnsi="Cambria" w:cs="Cambria"/>
                <w:color w:val="2B2B2B"/>
              </w:rPr>
              <w:t xml:space="preserve">La loi de finances 2025 a recentré la Contribution Foncière Unique sur les seuls détenteurs d'un titre foncier. Environ </w:t>
            </w:r>
            <w:r>
              <w:rPr>
                <w:rFonts w:ascii="Cambria" w:eastAsia="Cambria" w:hAnsi="Cambria" w:cs="Cambria"/>
                <w:b/>
                <w:bCs/>
                <w:color w:val="1E5B2A"/>
              </w:rPr>
              <w:t>14 000 titres</w:t>
            </w:r>
            <w:r>
              <w:rPr>
                <w:rFonts w:ascii="Cambria" w:eastAsia="Cambria" w:hAnsi="Cambria" w:cs="Cambria"/>
                <w:color w:val="2B2B2B"/>
              </w:rPr>
              <w:t xml:space="preserve"> sont recensés dans tout le pays. Autrement dit, un impôt censé financer les communes repose sur une poignée de contribuables, pendant que l'État peine à régulariser la situation de tous ceux qui voudraient précisément se mettre en règle. La CFU pèse </w:t>
            </w:r>
            <w:r>
              <w:rPr>
                <w:rFonts w:ascii="Cambria" w:eastAsia="Cambria" w:hAnsi="Cambria" w:cs="Cambria"/>
                <w:b/>
                <w:bCs/>
                <w:color w:val="1E5B2A"/>
              </w:rPr>
              <w:t>1,2 % des recettes fiscales</w:t>
            </w:r>
            <w:r>
              <w:rPr>
                <w:rFonts w:ascii="Cambria" w:eastAsia="Cambria" w:hAnsi="Cambria" w:cs="Cambria"/>
                <w:color w:val="2B2B2B"/>
              </w:rPr>
              <w:t>, soit 13 à 14 milliards de francs par an, quand l'ambition affichée est de 30 à 40 milliards. Cette note explique le mécanisme, montre pourquoi il ne peut pas fonctionner en l'état, et propose une sortie par la géographie : sans référentiel spatial partagé entre le cadastre, l'urbanisme et les impôts, il n'y aura pas de fiscalité foncière au Gabon.</w:t>
            </w:r>
          </w:p>
        </w:tc>
      </w:tr>
    </w:tbl>
    <w:p w14:paraId="33CAD0C5" w14:textId="77777777" w:rsidR="003A2F1D" w:rsidRDefault="003A2F1D">
      <w:pPr>
        <w:spacing w:before="160"/>
      </w:pPr>
    </w:p>
    <w:tbl>
      <w:tblPr>
        <w:tblW w:w="10206" w:type="dxa"/>
        <w:tblBorders>
          <w:top w:val="single" w:sz="18" w:space="0" w:color="4E9A44"/>
          <w:left w:val="none" w:sz="0" w:space="0" w:color="FFFFFF"/>
          <w:bottom w:val="single" w:sz="18" w:space="0" w:color="4E9A44"/>
          <w:right w:val="none" w:sz="0" w:space="0" w:color="FFFFFF"/>
          <w:insideH w:val="none" w:sz="0" w:space="0" w:color="FFFFFF"/>
          <w:insideV w:val="single" w:sz="6" w:space="0" w:color="7DBE6B"/>
        </w:tblBorders>
        <w:tblCellMar>
          <w:left w:w="10" w:type="dxa"/>
          <w:right w:w="10" w:type="dxa"/>
        </w:tblCellMar>
        <w:tblLook w:val="0000" w:firstRow="0" w:lastRow="0" w:firstColumn="0" w:lastColumn="0" w:noHBand="0" w:noVBand="0"/>
      </w:tblPr>
      <w:tblGrid>
        <w:gridCol w:w="2551"/>
        <w:gridCol w:w="2551"/>
        <w:gridCol w:w="2551"/>
        <w:gridCol w:w="2553"/>
      </w:tblGrid>
      <w:tr w:rsidR="003A2F1D" w14:paraId="3E5DDFED" w14:textId="77777777">
        <w:trPr>
          <w:cantSplit/>
        </w:trPr>
        <w:tc>
          <w:tcPr>
            <w:tcW w:w="2551" w:type="dxa"/>
            <w:shd w:val="clear" w:color="auto" w:fill="F3F4F1"/>
            <w:tcMar>
              <w:top w:w="120" w:type="dxa"/>
              <w:left w:w="160" w:type="dxa"/>
              <w:bottom w:w="120" w:type="dxa"/>
              <w:right w:w="160" w:type="dxa"/>
            </w:tcMar>
            <w:vAlign w:val="center"/>
          </w:tcPr>
          <w:p w14:paraId="06B7F507" w14:textId="77777777" w:rsidR="003A2F1D" w:rsidRDefault="004F738C">
            <w:pPr>
              <w:spacing w:after="20"/>
              <w:jc w:val="center"/>
            </w:pPr>
            <w:r>
              <w:rPr>
                <w:rFonts w:ascii="Calibri" w:eastAsia="Calibri" w:hAnsi="Calibri" w:cs="Calibri"/>
                <w:b/>
                <w:bCs/>
                <w:color w:val="1E5B2A"/>
                <w:sz w:val="30"/>
                <w:szCs w:val="30"/>
              </w:rPr>
              <w:t>14 000</w:t>
            </w:r>
          </w:p>
          <w:p w14:paraId="5A3FD0C1" w14:textId="77777777" w:rsidR="003A2F1D" w:rsidRDefault="004F738C">
            <w:pPr>
              <w:jc w:val="center"/>
            </w:pPr>
            <w:proofErr w:type="gramStart"/>
            <w:r>
              <w:rPr>
                <w:rFonts w:ascii="Calibri" w:eastAsia="Calibri" w:hAnsi="Calibri" w:cs="Calibri"/>
                <w:color w:val="5A5A5A"/>
                <w:sz w:val="14"/>
                <w:szCs w:val="14"/>
              </w:rPr>
              <w:t>titres</w:t>
            </w:r>
            <w:proofErr w:type="gramEnd"/>
            <w:r>
              <w:rPr>
                <w:rFonts w:ascii="Calibri" w:eastAsia="Calibri" w:hAnsi="Calibri" w:cs="Calibri"/>
                <w:color w:val="5A5A5A"/>
                <w:sz w:val="14"/>
                <w:szCs w:val="14"/>
              </w:rPr>
              <w:t xml:space="preserve"> fonciers recensés dans tout le pays</w:t>
            </w:r>
          </w:p>
        </w:tc>
        <w:tc>
          <w:tcPr>
            <w:tcW w:w="2551" w:type="dxa"/>
            <w:shd w:val="clear" w:color="auto" w:fill="F3F4F1"/>
            <w:tcMar>
              <w:top w:w="120" w:type="dxa"/>
              <w:left w:w="160" w:type="dxa"/>
              <w:bottom w:w="120" w:type="dxa"/>
              <w:right w:w="160" w:type="dxa"/>
            </w:tcMar>
            <w:vAlign w:val="center"/>
          </w:tcPr>
          <w:p w14:paraId="5D385354" w14:textId="77777777" w:rsidR="003A2F1D" w:rsidRDefault="004F738C">
            <w:pPr>
              <w:spacing w:after="20"/>
              <w:jc w:val="center"/>
            </w:pPr>
            <w:r>
              <w:rPr>
                <w:rFonts w:ascii="Calibri" w:eastAsia="Calibri" w:hAnsi="Calibri" w:cs="Calibri"/>
                <w:b/>
                <w:bCs/>
                <w:color w:val="1E5B2A"/>
                <w:sz w:val="30"/>
                <w:szCs w:val="30"/>
              </w:rPr>
              <w:t>1,2 %</w:t>
            </w:r>
          </w:p>
          <w:p w14:paraId="54E1A7D7" w14:textId="77777777" w:rsidR="003A2F1D" w:rsidRDefault="004F738C">
            <w:pPr>
              <w:jc w:val="center"/>
            </w:pPr>
            <w:proofErr w:type="gramStart"/>
            <w:r>
              <w:rPr>
                <w:rFonts w:ascii="Calibri" w:eastAsia="Calibri" w:hAnsi="Calibri" w:cs="Calibri"/>
                <w:color w:val="5A5A5A"/>
                <w:sz w:val="14"/>
                <w:szCs w:val="14"/>
              </w:rPr>
              <w:t>la</w:t>
            </w:r>
            <w:proofErr w:type="gramEnd"/>
            <w:r>
              <w:rPr>
                <w:rFonts w:ascii="Calibri" w:eastAsia="Calibri" w:hAnsi="Calibri" w:cs="Calibri"/>
                <w:color w:val="5A5A5A"/>
                <w:sz w:val="14"/>
                <w:szCs w:val="14"/>
              </w:rPr>
              <w:t xml:space="preserve"> part de la CFU dans les recettes fiscales</w:t>
            </w:r>
          </w:p>
        </w:tc>
        <w:tc>
          <w:tcPr>
            <w:tcW w:w="2551" w:type="dxa"/>
            <w:shd w:val="clear" w:color="auto" w:fill="F3F4F1"/>
            <w:tcMar>
              <w:top w:w="120" w:type="dxa"/>
              <w:left w:w="160" w:type="dxa"/>
              <w:bottom w:w="120" w:type="dxa"/>
              <w:right w:w="160" w:type="dxa"/>
            </w:tcMar>
            <w:vAlign w:val="center"/>
          </w:tcPr>
          <w:p w14:paraId="6FF0B347" w14:textId="77777777" w:rsidR="003A2F1D" w:rsidRDefault="004F738C">
            <w:pPr>
              <w:spacing w:after="20"/>
              <w:jc w:val="center"/>
            </w:pPr>
            <w:r>
              <w:rPr>
                <w:rFonts w:ascii="Calibri" w:eastAsia="Calibri" w:hAnsi="Calibri" w:cs="Calibri"/>
                <w:b/>
                <w:bCs/>
                <w:color w:val="1E5B2A"/>
                <w:sz w:val="30"/>
                <w:szCs w:val="30"/>
              </w:rPr>
              <w:t>13 Mds</w:t>
            </w:r>
          </w:p>
          <w:p w14:paraId="001A9246" w14:textId="77777777" w:rsidR="003A2F1D" w:rsidRDefault="004F738C">
            <w:pPr>
              <w:jc w:val="center"/>
            </w:pPr>
            <w:proofErr w:type="gramStart"/>
            <w:r>
              <w:rPr>
                <w:rFonts w:ascii="Calibri" w:eastAsia="Calibri" w:hAnsi="Calibri" w:cs="Calibri"/>
                <w:color w:val="5A5A5A"/>
                <w:sz w:val="14"/>
                <w:szCs w:val="14"/>
              </w:rPr>
              <w:t>de</w:t>
            </w:r>
            <w:proofErr w:type="gramEnd"/>
            <w:r>
              <w:rPr>
                <w:rFonts w:ascii="Calibri" w:eastAsia="Calibri" w:hAnsi="Calibri" w:cs="Calibri"/>
                <w:color w:val="5A5A5A"/>
                <w:sz w:val="14"/>
                <w:szCs w:val="14"/>
              </w:rPr>
              <w:t xml:space="preserve"> francs collectés par an, environ</w:t>
            </w:r>
          </w:p>
        </w:tc>
        <w:tc>
          <w:tcPr>
            <w:tcW w:w="2553" w:type="dxa"/>
            <w:shd w:val="clear" w:color="auto" w:fill="F3F4F1"/>
            <w:tcMar>
              <w:top w:w="120" w:type="dxa"/>
              <w:left w:w="160" w:type="dxa"/>
              <w:bottom w:w="120" w:type="dxa"/>
              <w:right w:w="160" w:type="dxa"/>
            </w:tcMar>
            <w:vAlign w:val="center"/>
          </w:tcPr>
          <w:p w14:paraId="166A3510" w14:textId="77777777" w:rsidR="003A2F1D" w:rsidRDefault="004F738C">
            <w:pPr>
              <w:spacing w:after="20"/>
              <w:jc w:val="center"/>
            </w:pPr>
            <w:r>
              <w:rPr>
                <w:rFonts w:ascii="Calibri" w:eastAsia="Calibri" w:hAnsi="Calibri" w:cs="Calibri"/>
                <w:b/>
                <w:bCs/>
                <w:color w:val="1E5B2A"/>
                <w:sz w:val="30"/>
                <w:szCs w:val="30"/>
              </w:rPr>
              <w:t>30 à 40</w:t>
            </w:r>
          </w:p>
          <w:p w14:paraId="0382720C" w14:textId="77777777" w:rsidR="003A2F1D" w:rsidRDefault="004F738C">
            <w:pPr>
              <w:jc w:val="center"/>
            </w:pPr>
            <w:proofErr w:type="gramStart"/>
            <w:r>
              <w:rPr>
                <w:rFonts w:ascii="Calibri" w:eastAsia="Calibri" w:hAnsi="Calibri" w:cs="Calibri"/>
                <w:color w:val="5A5A5A"/>
                <w:sz w:val="14"/>
                <w:szCs w:val="14"/>
              </w:rPr>
              <w:t>milliards</w:t>
            </w:r>
            <w:proofErr w:type="gramEnd"/>
            <w:r>
              <w:rPr>
                <w:rFonts w:ascii="Calibri" w:eastAsia="Calibri" w:hAnsi="Calibri" w:cs="Calibri"/>
                <w:color w:val="5A5A5A"/>
                <w:sz w:val="14"/>
                <w:szCs w:val="14"/>
              </w:rPr>
              <w:t xml:space="preserve"> visés par l'administration</w:t>
            </w:r>
          </w:p>
        </w:tc>
      </w:tr>
    </w:tbl>
    <w:p w14:paraId="32646185" w14:textId="77777777" w:rsidR="003A2F1D" w:rsidRDefault="003A2F1D">
      <w:pPr>
        <w:spacing w:before="160"/>
      </w:pPr>
    </w:p>
    <w:p w14:paraId="4FFDEFE0" w14:textId="77777777" w:rsidR="003A2F1D" w:rsidRDefault="003A2F1D">
      <w:pPr>
        <w:sectPr w:rsidR="003A2F1D">
          <w:footerReference w:type="default" r:id="rId7"/>
          <w:pgSz w:w="11906" w:h="16838"/>
          <w:pgMar w:top="800" w:right="850" w:bottom="900" w:left="850" w:header="708" w:footer="708" w:gutter="0"/>
          <w:cols w:space="720"/>
          <w:docGrid w:linePitch="360"/>
        </w:sectPr>
      </w:pPr>
    </w:p>
    <w:p w14:paraId="5BE845EE" w14:textId="77777777" w:rsidR="003A2F1D" w:rsidRDefault="004F738C">
      <w:pPr>
        <w:pBdr>
          <w:bottom w:val="single" w:sz="8" w:space="4" w:color="7DBE6B"/>
        </w:pBdr>
        <w:spacing w:after="90"/>
      </w:pPr>
      <w:r>
        <w:rPr>
          <w:rFonts w:ascii="Calibri" w:eastAsia="Calibri" w:hAnsi="Calibri" w:cs="Calibri"/>
          <w:b/>
          <w:bCs/>
          <w:color w:val="1E5B2A"/>
          <w:spacing w:val="8"/>
        </w:rPr>
        <w:t>INTRODUCTION</w:t>
      </w:r>
    </w:p>
    <w:p w14:paraId="78CFA854" w14:textId="77777777" w:rsidR="003A2F1D" w:rsidRDefault="004F738C">
      <w:pPr>
        <w:spacing w:after="100" w:line="250" w:lineRule="auto"/>
        <w:jc w:val="both"/>
      </w:pPr>
      <w:r>
        <w:rPr>
          <w:rFonts w:ascii="Cambria" w:eastAsia="Cambria" w:hAnsi="Cambria" w:cs="Cambria"/>
          <w:color w:val="2B2B2B"/>
          <w:sz w:val="19"/>
          <w:szCs w:val="19"/>
        </w:rPr>
        <w:t xml:space="preserve">Après avoir suivi le plateau spécial consacré à la Contribution Foncière Unique, je me pose une question simple : </w:t>
      </w:r>
      <w:r>
        <w:rPr>
          <w:rFonts w:ascii="Cambria" w:eastAsia="Cambria" w:hAnsi="Cambria" w:cs="Cambria"/>
          <w:b/>
          <w:bCs/>
          <w:color w:val="1E5B2A"/>
          <w:sz w:val="19"/>
          <w:szCs w:val="19"/>
        </w:rPr>
        <w:t>est-il encore pertinent d'entamer une procédure de régularisation foncière pour mon terrain ?</w:t>
      </w:r>
      <w:r>
        <w:rPr>
          <w:rFonts w:ascii="Cambria" w:eastAsia="Cambria" w:hAnsi="Cambria" w:cs="Cambria"/>
          <w:color w:val="2B2B2B"/>
          <w:sz w:val="19"/>
          <w:szCs w:val="19"/>
        </w:rPr>
        <w:t xml:space="preserve"> Car d'après ce qui a été dit, seules les personnes disposant d'un véritable titre foncier sont assujetties à la CFU. Un titre foncier, pas un plan de situation ni un plan de localisation.</w:t>
      </w:r>
    </w:p>
    <w:p w14:paraId="51799BCC" w14:textId="77777777" w:rsidR="003A2F1D" w:rsidRDefault="004F738C">
      <w:pPr>
        <w:spacing w:after="100" w:line="250" w:lineRule="auto"/>
        <w:jc w:val="both"/>
      </w:pPr>
      <w:r>
        <w:rPr>
          <w:rFonts w:ascii="Cambria" w:eastAsia="Cambria" w:hAnsi="Cambria" w:cs="Cambria"/>
          <w:color w:val="2B2B2B"/>
          <w:sz w:val="19"/>
          <w:szCs w:val="19"/>
        </w:rPr>
        <w:t>J'étais resté sur l'ancienne version du texte, celle qui imposait cette contribution à l'ensemble des occupants, propriétaires officiels ou non. La nouvelle orientation soulève des interrogations plus profondes qu'il n'y paraît, et la première porte sur la cohérence même des politiques publiques.</w:t>
      </w:r>
    </w:p>
    <w:p w14:paraId="415AAF8F" w14:textId="77777777" w:rsidR="003A2F1D" w:rsidRDefault="004F738C">
      <w:pPr>
        <w:spacing w:after="100" w:line="250" w:lineRule="auto"/>
        <w:jc w:val="both"/>
      </w:pPr>
      <w:r>
        <w:rPr>
          <w:rFonts w:ascii="Cambria" w:eastAsia="Cambria" w:hAnsi="Cambria" w:cs="Cambria"/>
          <w:color w:val="2B2B2B"/>
          <w:sz w:val="19"/>
          <w:szCs w:val="19"/>
        </w:rPr>
        <w:t xml:space="preserve">Posons le problème autrement. La Direction générale des impôts a recensé environ </w:t>
      </w:r>
      <w:r>
        <w:rPr>
          <w:rFonts w:ascii="Cambria" w:eastAsia="Cambria" w:hAnsi="Cambria" w:cs="Cambria"/>
          <w:b/>
          <w:bCs/>
          <w:color w:val="1E5B2A"/>
          <w:sz w:val="19"/>
          <w:szCs w:val="19"/>
        </w:rPr>
        <w:t>14 000 détenteurs de titres fonciers dans tout le pays</w:t>
      </w:r>
      <w:r>
        <w:rPr>
          <w:rFonts w:ascii="Cambria" w:eastAsia="Cambria" w:hAnsi="Cambria" w:cs="Cambria"/>
          <w:color w:val="2B2B2B"/>
          <w:sz w:val="19"/>
          <w:szCs w:val="19"/>
        </w:rPr>
        <w:t>. Deux millions d'habitants, quelques milliers de titres. C'est sur cette base que l'on demande aux communes de financer leurs routes, leur éclairage public et leurs services de proximité.</w:t>
      </w:r>
    </w:p>
    <w:p w14:paraId="4F0DE19B" w14:textId="77777777" w:rsidR="003A2F1D" w:rsidRDefault="004F738C">
      <w:pPr>
        <w:pBdr>
          <w:bottom w:val="single" w:sz="8" w:space="4" w:color="7DBE6B"/>
        </w:pBdr>
        <w:spacing w:before="220" w:after="90"/>
      </w:pPr>
      <w:r>
        <w:rPr>
          <w:rFonts w:ascii="Calibri" w:eastAsia="Calibri" w:hAnsi="Calibri" w:cs="Calibri"/>
          <w:b/>
          <w:bCs/>
          <w:color w:val="4E9A44"/>
          <w:sz w:val="22"/>
          <w:szCs w:val="22"/>
        </w:rPr>
        <w:t xml:space="preserve">1.  </w:t>
      </w:r>
      <w:r>
        <w:rPr>
          <w:rFonts w:ascii="Calibri" w:eastAsia="Calibri" w:hAnsi="Calibri" w:cs="Calibri"/>
          <w:b/>
          <w:bCs/>
          <w:color w:val="1E5B2A"/>
          <w:spacing w:val="8"/>
        </w:rPr>
        <w:t>CE QU'EST LA CFU, ET CE QU'ELLE N'EST PAS</w:t>
      </w:r>
    </w:p>
    <w:p w14:paraId="6294DD49" w14:textId="77777777" w:rsidR="003A2F1D" w:rsidRDefault="004F738C">
      <w:pPr>
        <w:spacing w:after="100" w:line="250" w:lineRule="auto"/>
        <w:jc w:val="both"/>
      </w:pPr>
      <w:r>
        <w:rPr>
          <w:rFonts w:ascii="Cambria" w:eastAsia="Cambria" w:hAnsi="Cambria" w:cs="Cambria"/>
          <w:color w:val="2B2B2B"/>
          <w:sz w:val="19"/>
          <w:szCs w:val="19"/>
        </w:rPr>
        <w:t xml:space="preserve">Premier point à clarifier, parce que la confusion est générale : la CFU n'est pas un nouvel impôt. Elle résulte de la fusion, opérée par la réforme du Code général des impôts de 2022, de deux contributions qui existaient depuis 1982, celle sur les propriétés bâties et celle sur les propriétés non bâties. La </w:t>
      </w:r>
      <w:r>
        <w:rPr>
          <w:rFonts w:ascii="Cambria" w:eastAsia="Cambria" w:hAnsi="Cambria" w:cs="Cambria"/>
          <w:color w:val="2B2B2B"/>
          <w:sz w:val="19"/>
          <w:szCs w:val="19"/>
        </w:rPr>
        <w:t>taxe forfaitaire d'habitation est également concernée par ce regroupement.</w:t>
      </w:r>
    </w:p>
    <w:p w14:paraId="03FA1B88" w14:textId="77777777" w:rsidR="003A2F1D" w:rsidRDefault="004F738C">
      <w:pPr>
        <w:spacing w:after="100" w:line="250" w:lineRule="auto"/>
        <w:jc w:val="both"/>
      </w:pPr>
      <w:r>
        <w:rPr>
          <w:rFonts w:ascii="Cambria" w:eastAsia="Cambria" w:hAnsi="Cambria" w:cs="Cambria"/>
          <w:color w:val="2B2B2B"/>
          <w:sz w:val="19"/>
          <w:szCs w:val="19"/>
        </w:rPr>
        <w:t xml:space="preserve">Ce qui change, c'est le format et la rigueur du recouvrement. L'idée de départ est bonne : un seul impôt au lieu de trois, un mode de calcul simplifié, et surtout </w:t>
      </w:r>
      <w:r>
        <w:rPr>
          <w:rFonts w:ascii="Cambria" w:eastAsia="Cambria" w:hAnsi="Cambria" w:cs="Cambria"/>
          <w:b/>
          <w:bCs/>
          <w:color w:val="1E5B2A"/>
          <w:sz w:val="19"/>
          <w:szCs w:val="19"/>
        </w:rPr>
        <w:t>une ressource intégralement affectée aux communes et aux départements</w:t>
      </w:r>
      <w:r>
        <w:rPr>
          <w:rFonts w:ascii="Cambria" w:eastAsia="Cambria" w:hAnsi="Cambria" w:cs="Cambria"/>
          <w:color w:val="2B2B2B"/>
          <w:sz w:val="19"/>
          <w:szCs w:val="19"/>
        </w:rPr>
        <w:t>. Dans un pays qui engage sa décentralisation, donner aux collectivités une recette propre est exactement ce qu'il faut faire. Sans ressources propres, une collectivité n'administre rien.</w:t>
      </w:r>
    </w:p>
    <w:p w14:paraId="2CFED400" w14:textId="77777777" w:rsidR="003A2F1D" w:rsidRDefault="004F738C">
      <w:pPr>
        <w:spacing w:after="100" w:line="250" w:lineRule="auto"/>
        <w:jc w:val="both"/>
      </w:pPr>
      <w:r>
        <w:rPr>
          <w:rFonts w:ascii="Cambria" w:eastAsia="Cambria" w:hAnsi="Cambria" w:cs="Cambria"/>
          <w:color w:val="2B2B2B"/>
          <w:sz w:val="19"/>
          <w:szCs w:val="19"/>
        </w:rPr>
        <w:t>L'origine de la réforme mérite aussi d'être rappelée. Elle figure depuis longtemps parmi les recommandations du Fonds monétaire international, reprise ensuite par les autorités gabonaises. L'entrée en vigueur était prévue au 1er janvier 2023. Elle a tardé, et c'est en 2025 que l'administration a décidé d'en faire une priorité de recouvrement.</w:t>
      </w:r>
    </w:p>
    <w:p w14:paraId="4717C231" w14:textId="77777777" w:rsidR="003A2F1D" w:rsidRDefault="004F738C">
      <w:pPr>
        <w:pBdr>
          <w:bottom w:val="single" w:sz="8" w:space="4" w:color="7DBE6B"/>
        </w:pBdr>
        <w:spacing w:before="220" w:after="90"/>
      </w:pPr>
      <w:r>
        <w:rPr>
          <w:rFonts w:ascii="Calibri" w:eastAsia="Calibri" w:hAnsi="Calibri" w:cs="Calibri"/>
          <w:b/>
          <w:bCs/>
          <w:color w:val="4E9A44"/>
          <w:sz w:val="22"/>
          <w:szCs w:val="22"/>
        </w:rPr>
        <w:t xml:space="preserve">2.  </w:t>
      </w:r>
      <w:r>
        <w:rPr>
          <w:rFonts w:ascii="Calibri" w:eastAsia="Calibri" w:hAnsi="Calibri" w:cs="Calibri"/>
          <w:b/>
          <w:bCs/>
          <w:color w:val="1E5B2A"/>
          <w:spacing w:val="8"/>
        </w:rPr>
        <w:t>LE BASCULEMENT DE JANVIER 2025</w:t>
      </w:r>
    </w:p>
    <w:p w14:paraId="7581A27F" w14:textId="77777777" w:rsidR="003A2F1D" w:rsidRDefault="004F738C">
      <w:pPr>
        <w:spacing w:after="100" w:line="250" w:lineRule="auto"/>
        <w:jc w:val="both"/>
      </w:pPr>
      <w:r>
        <w:rPr>
          <w:rFonts w:ascii="Cambria" w:eastAsia="Cambria" w:hAnsi="Cambria" w:cs="Cambria"/>
          <w:color w:val="2B2B2B"/>
          <w:sz w:val="19"/>
          <w:szCs w:val="19"/>
        </w:rPr>
        <w:t xml:space="preserve">Voici le point qui a motivé cette note. La loi de finances 2025 a modifié l'article 278 du Code général des impôts. La CFU porte désormais sur les propriétés </w:t>
      </w:r>
      <w:r>
        <w:rPr>
          <w:rFonts w:ascii="Cambria" w:eastAsia="Cambria" w:hAnsi="Cambria" w:cs="Cambria"/>
          <w:b/>
          <w:bCs/>
          <w:color w:val="1E5B2A"/>
          <w:sz w:val="19"/>
          <w:szCs w:val="19"/>
        </w:rPr>
        <w:t>immatriculées</w:t>
      </w:r>
      <w:r>
        <w:rPr>
          <w:rFonts w:ascii="Cambria" w:eastAsia="Cambria" w:hAnsi="Cambria" w:cs="Cambria"/>
          <w:color w:val="2B2B2B"/>
          <w:sz w:val="19"/>
          <w:szCs w:val="19"/>
        </w:rPr>
        <w:t>, c'est-à-dire couvertes par un titre foncier. Les occupants de fait, qui étaient auparavant dans le champ, en sortent.</w:t>
      </w:r>
    </w:p>
    <w:p w14:paraId="0943D408" w14:textId="77777777" w:rsidR="003A2F1D" w:rsidRDefault="004F738C">
      <w:pPr>
        <w:spacing w:after="100" w:line="250" w:lineRule="auto"/>
        <w:jc w:val="both"/>
      </w:pPr>
      <w:r>
        <w:rPr>
          <w:rFonts w:ascii="Cambria" w:eastAsia="Cambria" w:hAnsi="Cambria" w:cs="Cambria"/>
          <w:color w:val="2B2B2B"/>
          <w:sz w:val="19"/>
          <w:szCs w:val="19"/>
        </w:rPr>
        <w:t xml:space="preserve">Sont donc assujettis les propriétaires titulaires d'un titre, les usufruitiers, les emphytéotes et les concessionnaires de l'État. Pour un juriste, le recentrage est logique : on taxe un </w:t>
      </w:r>
      <w:r>
        <w:rPr>
          <w:rFonts w:ascii="Cambria" w:eastAsia="Cambria" w:hAnsi="Cambria" w:cs="Cambria"/>
          <w:color w:val="2B2B2B"/>
          <w:sz w:val="19"/>
          <w:szCs w:val="19"/>
        </w:rPr>
        <w:lastRenderedPageBreak/>
        <w:t>droit réel établi, pas une occupation incertaine. Pour un géographe qui regarde une ville gabonaise, le résultat est difficile à défendre.</w:t>
      </w:r>
    </w:p>
    <w:p w14:paraId="0A29EDFB" w14:textId="77777777" w:rsidR="003A2F1D" w:rsidRDefault="003A2F1D">
      <w:pPr>
        <w:spacing w:before="100"/>
      </w:pPr>
    </w:p>
    <w:tbl>
      <w:tblPr>
        <w:tblW w:w="4903" w:type="dxa"/>
        <w:tblBorders>
          <w:top w:val="none" w:sz="0" w:space="0" w:color="FFFFFF"/>
          <w:left w:val="single" w:sz="18" w:space="0" w:color="4E9A44"/>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03"/>
      </w:tblGrid>
      <w:tr w:rsidR="003A2F1D" w14:paraId="5212753D" w14:textId="77777777">
        <w:trPr>
          <w:cantSplit/>
        </w:trPr>
        <w:tc>
          <w:tcPr>
            <w:tcW w:w="4903" w:type="dxa"/>
            <w:shd w:val="clear" w:color="auto" w:fill="EDF5E7"/>
            <w:tcMar>
              <w:top w:w="160" w:type="dxa"/>
              <w:left w:w="180" w:type="dxa"/>
              <w:bottom w:w="160" w:type="dxa"/>
              <w:right w:w="160" w:type="dxa"/>
            </w:tcMar>
          </w:tcPr>
          <w:p w14:paraId="059B7D12" w14:textId="77777777" w:rsidR="003A2F1D" w:rsidRDefault="004F738C">
            <w:pPr>
              <w:spacing w:after="80"/>
            </w:pPr>
            <w:r>
              <w:rPr>
                <w:rFonts w:ascii="Calibri" w:eastAsia="Calibri" w:hAnsi="Calibri" w:cs="Calibri"/>
                <w:b/>
                <w:bCs/>
                <w:color w:val="4E9A44"/>
                <w:spacing w:val="24"/>
                <w:sz w:val="15"/>
                <w:szCs w:val="15"/>
              </w:rPr>
              <w:t>LE PARADOXE EN TROIS TEMPS</w:t>
            </w:r>
          </w:p>
          <w:p w14:paraId="3919C892" w14:textId="77777777" w:rsidR="003A2F1D" w:rsidRDefault="004F738C">
            <w:pPr>
              <w:pStyle w:val="Paragraphedeliste"/>
              <w:numPr>
                <w:ilvl w:val="0"/>
                <w:numId w:val="2"/>
              </w:numPr>
              <w:spacing w:after="60" w:line="230" w:lineRule="auto"/>
              <w:jc w:val="both"/>
            </w:pPr>
            <w:r>
              <w:rPr>
                <w:rFonts w:ascii="Calibri" w:eastAsia="Calibri" w:hAnsi="Calibri" w:cs="Calibri"/>
                <w:color w:val="2B2B2B"/>
                <w:sz w:val="17"/>
                <w:szCs w:val="17"/>
              </w:rPr>
              <w:t>Le citoyen qui engage une régularisation foncière entreprend une démarche longue et coûteuse pour se mettre en règle.</w:t>
            </w:r>
          </w:p>
          <w:p w14:paraId="2D306940" w14:textId="77777777" w:rsidR="003A2F1D" w:rsidRDefault="004F738C">
            <w:pPr>
              <w:pStyle w:val="Paragraphedeliste"/>
              <w:numPr>
                <w:ilvl w:val="0"/>
                <w:numId w:val="2"/>
              </w:numPr>
              <w:spacing w:after="60" w:line="230" w:lineRule="auto"/>
              <w:jc w:val="both"/>
            </w:pPr>
            <w:r>
              <w:rPr>
                <w:rFonts w:ascii="Calibri" w:eastAsia="Calibri" w:hAnsi="Calibri" w:cs="Calibri"/>
                <w:color w:val="2B2B2B"/>
                <w:sz w:val="17"/>
                <w:szCs w:val="17"/>
              </w:rPr>
              <w:t>Au bout de cette démarche, il obtient un titre, et ce titre le fait entrer dans le champ de l'impôt.</w:t>
            </w:r>
          </w:p>
          <w:p w14:paraId="3542786B" w14:textId="77777777" w:rsidR="003A2F1D" w:rsidRDefault="004F738C">
            <w:pPr>
              <w:pStyle w:val="Paragraphedeliste"/>
              <w:numPr>
                <w:ilvl w:val="0"/>
                <w:numId w:val="2"/>
              </w:numPr>
              <w:spacing w:after="60" w:line="230" w:lineRule="auto"/>
              <w:jc w:val="both"/>
            </w:pPr>
            <w:r>
              <w:rPr>
                <w:rFonts w:ascii="Calibri" w:eastAsia="Calibri" w:hAnsi="Calibri" w:cs="Calibri"/>
                <w:color w:val="2B2B2B"/>
                <w:sz w:val="17"/>
                <w:szCs w:val="17"/>
              </w:rPr>
              <w:t>Celui qui ne fait aucune démarche reste hors du champ, et conserve son terrain sans contribuer.</w:t>
            </w:r>
          </w:p>
        </w:tc>
      </w:tr>
    </w:tbl>
    <w:p w14:paraId="2928933B" w14:textId="77777777" w:rsidR="003A2F1D" w:rsidRDefault="003A2F1D">
      <w:pPr>
        <w:spacing w:before="120"/>
      </w:pPr>
    </w:p>
    <w:p w14:paraId="14A511C2" w14:textId="77777777" w:rsidR="003A2F1D" w:rsidRDefault="004F738C">
      <w:pPr>
        <w:spacing w:after="100" w:line="250" w:lineRule="auto"/>
        <w:jc w:val="both"/>
      </w:pPr>
      <w:r>
        <w:rPr>
          <w:rFonts w:ascii="Cambria" w:eastAsia="Cambria" w:hAnsi="Cambria" w:cs="Cambria"/>
          <w:color w:val="2B2B2B"/>
          <w:sz w:val="19"/>
          <w:szCs w:val="19"/>
        </w:rPr>
        <w:t xml:space="preserve">L'incitation joue donc à l'envers. Elle décourage précisément le comportement que l'État dit vouloir encourager. Et elle arrive dans un contexte où l'obtention d'un titre reste un parcours du combattant : près de vingt étapes formelles, un coût pouvant approcher </w:t>
      </w:r>
      <w:r>
        <w:rPr>
          <w:rFonts w:ascii="Cambria" w:eastAsia="Cambria" w:hAnsi="Cambria" w:cs="Cambria"/>
          <w:b/>
          <w:bCs/>
          <w:color w:val="1E5B2A"/>
          <w:sz w:val="19"/>
          <w:szCs w:val="19"/>
        </w:rPr>
        <w:t>1,5 million de francs pour un terrain de 500 mètres carrés</w:t>
      </w:r>
      <w:r>
        <w:rPr>
          <w:rFonts w:ascii="Cambria" w:eastAsia="Cambria" w:hAnsi="Cambria" w:cs="Cambria"/>
          <w:color w:val="2B2B2B"/>
          <w:sz w:val="19"/>
          <w:szCs w:val="19"/>
        </w:rPr>
        <w:t>, et un délai courant de huit à douze mois qui s'étire souvent bien au-delà.</w:t>
      </w:r>
    </w:p>
    <w:p w14:paraId="1BA6F25B" w14:textId="77777777" w:rsidR="003A2F1D" w:rsidRDefault="003A2F1D">
      <w:pPr>
        <w:sectPr w:rsidR="003A2F1D">
          <w:footerReference w:type="default" r:id="rId8"/>
          <w:type w:val="continuous"/>
          <w:pgSz w:w="11906" w:h="16838"/>
          <w:pgMar w:top="800" w:right="850" w:bottom="900" w:left="850" w:header="708" w:footer="708" w:gutter="0"/>
          <w:cols w:num="2" w:space="400"/>
          <w:docGrid w:linePitch="360"/>
        </w:sectPr>
      </w:pPr>
    </w:p>
    <w:p w14:paraId="6EAC4D58" w14:textId="77777777" w:rsidR="003A2F1D" w:rsidRDefault="003A2F1D">
      <w:pPr>
        <w:spacing w:before="160" w:after="120"/>
      </w:pPr>
    </w:p>
    <w:tbl>
      <w:tblPr>
        <w:tblW w:w="10206" w:type="dxa"/>
        <w:tblBorders>
          <w:top w:val="none" w:sz="0" w:space="0" w:color="FFFFFF"/>
          <w:left w:val="none" w:sz="0" w:space="0" w:color="FFFFFF"/>
          <w:bottom w:val="none" w:sz="0" w:space="0" w:color="FFFFFF"/>
          <w:right w:val="none" w:sz="0" w:space="0" w:color="FFFFFF"/>
          <w:insideH w:val="single" w:sz="6" w:space="0" w:color="FFFFFF"/>
          <w:insideV w:val="none" w:sz="0" w:space="0" w:color="FFFFFF"/>
        </w:tblBorders>
        <w:tblCellMar>
          <w:left w:w="10" w:type="dxa"/>
          <w:right w:w="10" w:type="dxa"/>
        </w:tblCellMar>
        <w:tblLook w:val="0000" w:firstRow="0" w:lastRow="0" w:firstColumn="0" w:lastColumn="0" w:noHBand="0" w:noVBand="0"/>
      </w:tblPr>
      <w:tblGrid>
        <w:gridCol w:w="3600"/>
        <w:gridCol w:w="6606"/>
      </w:tblGrid>
      <w:tr w:rsidR="003A2F1D" w14:paraId="62F818D1" w14:textId="77777777">
        <w:trPr>
          <w:cantSplit/>
        </w:trPr>
        <w:tc>
          <w:tcPr>
            <w:tcW w:w="10206" w:type="dxa"/>
            <w:gridSpan w:val="2"/>
            <w:shd w:val="clear" w:color="auto" w:fill="4E9A44"/>
            <w:tcMar>
              <w:top w:w="100" w:type="dxa"/>
              <w:left w:w="180" w:type="dxa"/>
              <w:bottom w:w="100" w:type="dxa"/>
              <w:right w:w="160" w:type="dxa"/>
            </w:tcMar>
            <w:vAlign w:val="center"/>
          </w:tcPr>
          <w:p w14:paraId="63202353" w14:textId="77777777" w:rsidR="003A2F1D" w:rsidRDefault="004F738C">
            <w:r>
              <w:rPr>
                <w:rFonts w:ascii="Calibri" w:eastAsia="Calibri" w:hAnsi="Calibri" w:cs="Calibri"/>
                <w:b/>
                <w:bCs/>
                <w:color w:val="FFFFFF"/>
                <w:spacing w:val="20"/>
                <w:sz w:val="16"/>
                <w:szCs w:val="16"/>
              </w:rPr>
              <w:t>LA CFU EN BREF</w:t>
            </w:r>
          </w:p>
        </w:tc>
      </w:tr>
      <w:tr w:rsidR="003A2F1D" w14:paraId="57F1510A" w14:textId="77777777">
        <w:trPr>
          <w:cantSplit/>
        </w:trPr>
        <w:tc>
          <w:tcPr>
            <w:tcW w:w="3600" w:type="dxa"/>
            <w:shd w:val="clear" w:color="auto" w:fill="F3F4F1"/>
            <w:tcMar>
              <w:top w:w="90" w:type="dxa"/>
              <w:left w:w="180" w:type="dxa"/>
              <w:bottom w:w="90" w:type="dxa"/>
              <w:right w:w="120" w:type="dxa"/>
            </w:tcMar>
          </w:tcPr>
          <w:p w14:paraId="62DCF8D1" w14:textId="77777777" w:rsidR="003A2F1D" w:rsidRDefault="004F738C">
            <w:r>
              <w:rPr>
                <w:rFonts w:ascii="Calibri" w:eastAsia="Calibri" w:hAnsi="Calibri" w:cs="Calibri"/>
                <w:b/>
                <w:bCs/>
                <w:color w:val="2B2B2B"/>
                <w:sz w:val="16"/>
                <w:szCs w:val="16"/>
              </w:rPr>
              <w:t>Ce que c'est</w:t>
            </w:r>
          </w:p>
        </w:tc>
        <w:tc>
          <w:tcPr>
            <w:tcW w:w="6606" w:type="dxa"/>
            <w:shd w:val="clear" w:color="auto" w:fill="F3F4F1"/>
            <w:tcMar>
              <w:top w:w="90" w:type="dxa"/>
              <w:left w:w="180" w:type="dxa"/>
              <w:bottom w:w="90" w:type="dxa"/>
              <w:right w:w="180" w:type="dxa"/>
            </w:tcMar>
          </w:tcPr>
          <w:p w14:paraId="52426389" w14:textId="77777777" w:rsidR="003A2F1D" w:rsidRDefault="004F738C">
            <w:pPr>
              <w:spacing w:line="235" w:lineRule="auto"/>
            </w:pPr>
            <w:r>
              <w:rPr>
                <w:rFonts w:ascii="Calibri" w:eastAsia="Calibri" w:hAnsi="Calibri" w:cs="Calibri"/>
                <w:color w:val="2B2B2B"/>
                <w:sz w:val="16"/>
                <w:szCs w:val="16"/>
              </w:rPr>
              <w:t>Un impôt annuel sur les propriétés bâties et non bâties, issu de la fusion de deux contributions créées en 1982.</w:t>
            </w:r>
          </w:p>
        </w:tc>
      </w:tr>
      <w:tr w:rsidR="003A2F1D" w14:paraId="2696322B" w14:textId="77777777">
        <w:trPr>
          <w:cantSplit/>
        </w:trPr>
        <w:tc>
          <w:tcPr>
            <w:tcW w:w="3600" w:type="dxa"/>
            <w:shd w:val="clear" w:color="auto" w:fill="F3F4F1"/>
            <w:tcMar>
              <w:top w:w="90" w:type="dxa"/>
              <w:left w:w="180" w:type="dxa"/>
              <w:bottom w:w="90" w:type="dxa"/>
              <w:right w:w="120" w:type="dxa"/>
            </w:tcMar>
          </w:tcPr>
          <w:p w14:paraId="5FBED767" w14:textId="77777777" w:rsidR="003A2F1D" w:rsidRDefault="004F738C">
            <w:r>
              <w:rPr>
                <w:rFonts w:ascii="Calibri" w:eastAsia="Calibri" w:hAnsi="Calibri" w:cs="Calibri"/>
                <w:b/>
                <w:bCs/>
                <w:color w:val="2B2B2B"/>
                <w:sz w:val="16"/>
                <w:szCs w:val="16"/>
              </w:rPr>
              <w:t>Ce qu'elle remplace</w:t>
            </w:r>
          </w:p>
        </w:tc>
        <w:tc>
          <w:tcPr>
            <w:tcW w:w="6606" w:type="dxa"/>
            <w:shd w:val="clear" w:color="auto" w:fill="F3F4F1"/>
            <w:tcMar>
              <w:top w:w="90" w:type="dxa"/>
              <w:left w:w="180" w:type="dxa"/>
              <w:bottom w:w="90" w:type="dxa"/>
              <w:right w:w="180" w:type="dxa"/>
            </w:tcMar>
          </w:tcPr>
          <w:p w14:paraId="375A8467" w14:textId="77777777" w:rsidR="003A2F1D" w:rsidRDefault="004F738C">
            <w:pPr>
              <w:spacing w:line="235" w:lineRule="auto"/>
            </w:pPr>
            <w:r>
              <w:rPr>
                <w:rFonts w:ascii="Calibri" w:eastAsia="Calibri" w:hAnsi="Calibri" w:cs="Calibri"/>
                <w:color w:val="2B2B2B"/>
                <w:sz w:val="16"/>
                <w:szCs w:val="16"/>
              </w:rPr>
              <w:t>La contribution foncière des propriétés bâties et celle des propriétés non bâties. La taxe forfaitaire d'habitation est également concernée.</w:t>
            </w:r>
          </w:p>
        </w:tc>
      </w:tr>
      <w:tr w:rsidR="003A2F1D" w14:paraId="243F9FF5" w14:textId="77777777">
        <w:trPr>
          <w:cantSplit/>
        </w:trPr>
        <w:tc>
          <w:tcPr>
            <w:tcW w:w="3600" w:type="dxa"/>
            <w:shd w:val="clear" w:color="auto" w:fill="F3F4F1"/>
            <w:tcMar>
              <w:top w:w="90" w:type="dxa"/>
              <w:left w:w="180" w:type="dxa"/>
              <w:bottom w:w="90" w:type="dxa"/>
              <w:right w:w="120" w:type="dxa"/>
            </w:tcMar>
          </w:tcPr>
          <w:p w14:paraId="6B0F71C9" w14:textId="77777777" w:rsidR="003A2F1D" w:rsidRDefault="004F738C">
            <w:r>
              <w:rPr>
                <w:rFonts w:ascii="Calibri" w:eastAsia="Calibri" w:hAnsi="Calibri" w:cs="Calibri"/>
                <w:b/>
                <w:bCs/>
                <w:color w:val="2B2B2B"/>
                <w:sz w:val="16"/>
                <w:szCs w:val="16"/>
              </w:rPr>
              <w:t>Depuis quand</w:t>
            </w:r>
          </w:p>
        </w:tc>
        <w:tc>
          <w:tcPr>
            <w:tcW w:w="6606" w:type="dxa"/>
            <w:shd w:val="clear" w:color="auto" w:fill="F3F4F1"/>
            <w:tcMar>
              <w:top w:w="90" w:type="dxa"/>
              <w:left w:w="180" w:type="dxa"/>
              <w:bottom w:w="90" w:type="dxa"/>
              <w:right w:w="180" w:type="dxa"/>
            </w:tcMar>
          </w:tcPr>
          <w:p w14:paraId="4A8D27E0" w14:textId="77777777" w:rsidR="003A2F1D" w:rsidRDefault="004F738C">
            <w:pPr>
              <w:spacing w:line="235" w:lineRule="auto"/>
            </w:pPr>
            <w:r>
              <w:rPr>
                <w:rFonts w:ascii="Calibri" w:eastAsia="Calibri" w:hAnsi="Calibri" w:cs="Calibri"/>
                <w:color w:val="2B2B2B"/>
                <w:sz w:val="16"/>
                <w:szCs w:val="16"/>
              </w:rPr>
              <w:t>Réforme du Code général des impôts en 2022, entrée en vigueur au 1er janvier 2023.</w:t>
            </w:r>
          </w:p>
        </w:tc>
      </w:tr>
      <w:tr w:rsidR="003A2F1D" w14:paraId="48DBDD09" w14:textId="77777777">
        <w:trPr>
          <w:cantSplit/>
        </w:trPr>
        <w:tc>
          <w:tcPr>
            <w:tcW w:w="3600" w:type="dxa"/>
            <w:shd w:val="clear" w:color="auto" w:fill="F3F4F1"/>
            <w:tcMar>
              <w:top w:w="90" w:type="dxa"/>
              <w:left w:w="180" w:type="dxa"/>
              <w:bottom w:w="90" w:type="dxa"/>
              <w:right w:w="120" w:type="dxa"/>
            </w:tcMar>
          </w:tcPr>
          <w:p w14:paraId="37E83CD7" w14:textId="77777777" w:rsidR="003A2F1D" w:rsidRDefault="004F738C">
            <w:r>
              <w:rPr>
                <w:rFonts w:ascii="Calibri" w:eastAsia="Calibri" w:hAnsi="Calibri" w:cs="Calibri"/>
                <w:b/>
                <w:bCs/>
                <w:color w:val="2B2B2B"/>
                <w:sz w:val="16"/>
                <w:szCs w:val="16"/>
              </w:rPr>
              <w:t>Qui la paie en 2025</w:t>
            </w:r>
          </w:p>
        </w:tc>
        <w:tc>
          <w:tcPr>
            <w:tcW w:w="6606" w:type="dxa"/>
            <w:shd w:val="clear" w:color="auto" w:fill="F3F4F1"/>
            <w:tcMar>
              <w:top w:w="90" w:type="dxa"/>
              <w:left w:w="180" w:type="dxa"/>
              <w:bottom w:w="90" w:type="dxa"/>
              <w:right w:w="180" w:type="dxa"/>
            </w:tcMar>
          </w:tcPr>
          <w:p w14:paraId="6372DED7" w14:textId="77777777" w:rsidR="003A2F1D" w:rsidRDefault="004F738C">
            <w:pPr>
              <w:spacing w:line="235" w:lineRule="auto"/>
            </w:pPr>
            <w:r>
              <w:rPr>
                <w:rFonts w:ascii="Calibri" w:eastAsia="Calibri" w:hAnsi="Calibri" w:cs="Calibri"/>
                <w:color w:val="2B2B2B"/>
                <w:sz w:val="16"/>
                <w:szCs w:val="16"/>
              </w:rPr>
              <w:t>Les propriétaires titulaires d'un titre foncier, les usufruitiers, les emphytéotes et les concessionnaires de l'État.</w:t>
            </w:r>
          </w:p>
        </w:tc>
      </w:tr>
      <w:tr w:rsidR="003A2F1D" w14:paraId="3F31F7B2" w14:textId="77777777">
        <w:trPr>
          <w:cantSplit/>
        </w:trPr>
        <w:tc>
          <w:tcPr>
            <w:tcW w:w="3600" w:type="dxa"/>
            <w:shd w:val="clear" w:color="auto" w:fill="F3F4F1"/>
            <w:tcMar>
              <w:top w:w="90" w:type="dxa"/>
              <w:left w:w="180" w:type="dxa"/>
              <w:bottom w:w="90" w:type="dxa"/>
              <w:right w:w="120" w:type="dxa"/>
            </w:tcMar>
          </w:tcPr>
          <w:p w14:paraId="35BB7092" w14:textId="77777777" w:rsidR="003A2F1D" w:rsidRDefault="004F738C">
            <w:r>
              <w:rPr>
                <w:rFonts w:ascii="Calibri" w:eastAsia="Calibri" w:hAnsi="Calibri" w:cs="Calibri"/>
                <w:b/>
                <w:bCs/>
                <w:color w:val="2B2B2B"/>
                <w:sz w:val="16"/>
                <w:szCs w:val="16"/>
              </w:rPr>
              <w:t>Comment elle se calcule</w:t>
            </w:r>
          </w:p>
        </w:tc>
        <w:tc>
          <w:tcPr>
            <w:tcW w:w="6606" w:type="dxa"/>
            <w:shd w:val="clear" w:color="auto" w:fill="F3F4F1"/>
            <w:tcMar>
              <w:top w:w="90" w:type="dxa"/>
              <w:left w:w="180" w:type="dxa"/>
              <w:bottom w:w="90" w:type="dxa"/>
              <w:right w:w="180" w:type="dxa"/>
            </w:tcMar>
          </w:tcPr>
          <w:p w14:paraId="72DA63C2" w14:textId="77777777" w:rsidR="003A2F1D" w:rsidRDefault="004F738C">
            <w:pPr>
              <w:spacing w:line="235" w:lineRule="auto"/>
            </w:pPr>
            <w:r>
              <w:rPr>
                <w:rFonts w:ascii="Calibri" w:eastAsia="Calibri" w:hAnsi="Calibri" w:cs="Calibri"/>
                <w:color w:val="2B2B2B"/>
                <w:sz w:val="16"/>
                <w:szCs w:val="16"/>
              </w:rPr>
              <w:t>La valeur locative multipliée par douze mois, divisée par cinq, puis multipliée par un coefficient.</w:t>
            </w:r>
          </w:p>
        </w:tc>
      </w:tr>
      <w:tr w:rsidR="003A2F1D" w14:paraId="22DC9561" w14:textId="77777777">
        <w:trPr>
          <w:cantSplit/>
        </w:trPr>
        <w:tc>
          <w:tcPr>
            <w:tcW w:w="3600" w:type="dxa"/>
            <w:shd w:val="clear" w:color="auto" w:fill="F3F4F1"/>
            <w:tcMar>
              <w:top w:w="90" w:type="dxa"/>
              <w:left w:w="180" w:type="dxa"/>
              <w:bottom w:w="90" w:type="dxa"/>
              <w:right w:w="120" w:type="dxa"/>
            </w:tcMar>
          </w:tcPr>
          <w:p w14:paraId="7AF848FE" w14:textId="77777777" w:rsidR="003A2F1D" w:rsidRDefault="004F738C">
            <w:r>
              <w:rPr>
                <w:rFonts w:ascii="Calibri" w:eastAsia="Calibri" w:hAnsi="Calibri" w:cs="Calibri"/>
                <w:b/>
                <w:bCs/>
                <w:color w:val="2B2B2B"/>
                <w:sz w:val="16"/>
                <w:szCs w:val="16"/>
              </w:rPr>
              <w:t>Quand la payer</w:t>
            </w:r>
          </w:p>
        </w:tc>
        <w:tc>
          <w:tcPr>
            <w:tcW w:w="6606" w:type="dxa"/>
            <w:shd w:val="clear" w:color="auto" w:fill="F3F4F1"/>
            <w:tcMar>
              <w:top w:w="90" w:type="dxa"/>
              <w:left w:w="180" w:type="dxa"/>
              <w:bottom w:w="90" w:type="dxa"/>
              <w:right w:w="180" w:type="dxa"/>
            </w:tcMar>
          </w:tcPr>
          <w:p w14:paraId="2215369B" w14:textId="77777777" w:rsidR="003A2F1D" w:rsidRDefault="004F738C">
            <w:pPr>
              <w:spacing w:line="235" w:lineRule="auto"/>
            </w:pPr>
            <w:r>
              <w:rPr>
                <w:rFonts w:ascii="Calibri" w:eastAsia="Calibri" w:hAnsi="Calibri" w:cs="Calibri"/>
                <w:color w:val="2B2B2B"/>
                <w:sz w:val="16"/>
                <w:szCs w:val="16"/>
              </w:rPr>
              <w:t>Déclaration attendue au plus tard le 30 mars, paiement dans la foulée.</w:t>
            </w:r>
          </w:p>
        </w:tc>
      </w:tr>
      <w:tr w:rsidR="003A2F1D" w14:paraId="1A84187C" w14:textId="77777777">
        <w:trPr>
          <w:cantSplit/>
        </w:trPr>
        <w:tc>
          <w:tcPr>
            <w:tcW w:w="3600" w:type="dxa"/>
            <w:shd w:val="clear" w:color="auto" w:fill="1E5B2A"/>
            <w:tcMar>
              <w:top w:w="90" w:type="dxa"/>
              <w:left w:w="180" w:type="dxa"/>
              <w:bottom w:w="90" w:type="dxa"/>
              <w:right w:w="120" w:type="dxa"/>
            </w:tcMar>
          </w:tcPr>
          <w:p w14:paraId="035B5F24" w14:textId="77777777" w:rsidR="003A2F1D" w:rsidRDefault="004F738C">
            <w:r>
              <w:rPr>
                <w:rFonts w:ascii="Calibri" w:eastAsia="Calibri" w:hAnsi="Calibri" w:cs="Calibri"/>
                <w:b/>
                <w:bCs/>
                <w:color w:val="FFFFFF"/>
                <w:sz w:val="16"/>
                <w:szCs w:val="16"/>
              </w:rPr>
              <w:t>À qui va l'argent</w:t>
            </w:r>
          </w:p>
        </w:tc>
        <w:tc>
          <w:tcPr>
            <w:tcW w:w="6606" w:type="dxa"/>
            <w:shd w:val="clear" w:color="auto" w:fill="1E5B2A"/>
            <w:tcMar>
              <w:top w:w="90" w:type="dxa"/>
              <w:left w:w="180" w:type="dxa"/>
              <w:bottom w:w="90" w:type="dxa"/>
              <w:right w:w="180" w:type="dxa"/>
            </w:tcMar>
          </w:tcPr>
          <w:p w14:paraId="635DA4B1" w14:textId="77777777" w:rsidR="003A2F1D" w:rsidRDefault="004F738C">
            <w:pPr>
              <w:spacing w:line="235" w:lineRule="auto"/>
            </w:pPr>
            <w:r>
              <w:rPr>
                <w:rFonts w:ascii="Calibri" w:eastAsia="Calibri" w:hAnsi="Calibri" w:cs="Calibri"/>
                <w:color w:val="FFFFFF"/>
                <w:sz w:val="16"/>
                <w:szCs w:val="16"/>
              </w:rPr>
              <w:t>Intégralement aux communes et aux départements, au titre de la décentralisation.</w:t>
            </w:r>
          </w:p>
        </w:tc>
      </w:tr>
    </w:tbl>
    <w:p w14:paraId="58ABFC07" w14:textId="77777777" w:rsidR="003A2F1D" w:rsidRDefault="004F738C">
      <w:pPr>
        <w:spacing w:before="60" w:after="160"/>
        <w:jc w:val="center"/>
      </w:pPr>
      <w:r>
        <w:rPr>
          <w:rFonts w:ascii="Calibri" w:eastAsia="Calibri" w:hAnsi="Calibri" w:cs="Calibri"/>
          <w:i/>
          <w:iCs/>
          <w:color w:val="4E9A44"/>
          <w:sz w:val="14"/>
          <w:szCs w:val="14"/>
        </w:rPr>
        <w:t>Figure 1. La Contribution Foncière Unique en sept points.</w:t>
      </w:r>
    </w:p>
    <w:p w14:paraId="58F06E1C" w14:textId="77777777" w:rsidR="003A2F1D" w:rsidRDefault="003A2F1D">
      <w:pPr>
        <w:spacing w:before="180" w:after="120"/>
      </w:pPr>
    </w:p>
    <w:tbl>
      <w:tblPr>
        <w:tblW w:w="10206" w:type="dxa"/>
        <w:tblBorders>
          <w:top w:val="none" w:sz="0" w:space="0" w:color="FFFFFF"/>
          <w:left w:val="none" w:sz="0" w:space="0" w:color="FFFFFF"/>
          <w:bottom w:val="single" w:sz="10" w:space="0" w:color="7DBE6B"/>
          <w:right w:val="none" w:sz="0" w:space="0" w:color="FFFFFF"/>
          <w:insideH w:val="single" w:sz="6" w:space="0" w:color="FFFFFF"/>
          <w:insideV w:val="single" w:sz="6" w:space="0" w:color="FFFFFF"/>
        </w:tblBorders>
        <w:tblCellMar>
          <w:left w:w="10" w:type="dxa"/>
          <w:right w:w="10" w:type="dxa"/>
        </w:tblCellMar>
        <w:tblLook w:val="0000" w:firstRow="0" w:lastRow="0" w:firstColumn="0" w:lastColumn="0" w:noHBand="0" w:noVBand="0"/>
      </w:tblPr>
      <w:tblGrid>
        <w:gridCol w:w="2400"/>
        <w:gridCol w:w="3903"/>
        <w:gridCol w:w="3903"/>
      </w:tblGrid>
      <w:tr w:rsidR="003A2F1D" w14:paraId="2E172AAD" w14:textId="77777777">
        <w:trPr>
          <w:cantSplit/>
          <w:tblHeader/>
        </w:trPr>
        <w:tc>
          <w:tcPr>
            <w:tcW w:w="2400" w:type="dxa"/>
            <w:shd w:val="clear" w:color="auto" w:fill="4E9A44"/>
            <w:tcMar>
              <w:top w:w="100" w:type="dxa"/>
              <w:left w:w="160" w:type="dxa"/>
              <w:bottom w:w="100" w:type="dxa"/>
              <w:right w:w="100" w:type="dxa"/>
            </w:tcMar>
            <w:vAlign w:val="center"/>
          </w:tcPr>
          <w:p w14:paraId="1ABD12A6" w14:textId="77777777" w:rsidR="003A2F1D" w:rsidRDefault="004F738C">
            <w:r>
              <w:rPr>
                <w:rFonts w:ascii="Calibri" w:eastAsia="Calibri" w:hAnsi="Calibri" w:cs="Calibri"/>
                <w:b/>
                <w:bCs/>
                <w:color w:val="FFFFFF"/>
                <w:sz w:val="14"/>
                <w:szCs w:val="14"/>
              </w:rPr>
              <w:t>CE QUI CHANGE</w:t>
            </w:r>
          </w:p>
        </w:tc>
        <w:tc>
          <w:tcPr>
            <w:tcW w:w="3903" w:type="dxa"/>
            <w:shd w:val="clear" w:color="auto" w:fill="4E9A44"/>
            <w:tcMar>
              <w:top w:w="100" w:type="dxa"/>
              <w:left w:w="140" w:type="dxa"/>
              <w:bottom w:w="100" w:type="dxa"/>
              <w:right w:w="140" w:type="dxa"/>
            </w:tcMar>
            <w:vAlign w:val="center"/>
          </w:tcPr>
          <w:p w14:paraId="6281220D" w14:textId="77777777" w:rsidR="003A2F1D" w:rsidRDefault="004F738C">
            <w:r>
              <w:rPr>
                <w:rFonts w:ascii="Calibri" w:eastAsia="Calibri" w:hAnsi="Calibri" w:cs="Calibri"/>
                <w:b/>
                <w:bCs/>
                <w:color w:val="FFFFFF"/>
                <w:sz w:val="14"/>
                <w:szCs w:val="14"/>
              </w:rPr>
              <w:t>AVANT LA LOI DE FINANCES 2025</w:t>
            </w:r>
          </w:p>
        </w:tc>
        <w:tc>
          <w:tcPr>
            <w:tcW w:w="3903" w:type="dxa"/>
            <w:shd w:val="clear" w:color="auto" w:fill="1E5B2A"/>
            <w:tcMar>
              <w:top w:w="100" w:type="dxa"/>
              <w:left w:w="140" w:type="dxa"/>
              <w:bottom w:w="100" w:type="dxa"/>
              <w:right w:w="160" w:type="dxa"/>
            </w:tcMar>
            <w:vAlign w:val="center"/>
          </w:tcPr>
          <w:p w14:paraId="0F042BF6" w14:textId="77777777" w:rsidR="003A2F1D" w:rsidRDefault="004F738C">
            <w:r>
              <w:rPr>
                <w:rFonts w:ascii="Calibri" w:eastAsia="Calibri" w:hAnsi="Calibri" w:cs="Calibri"/>
                <w:b/>
                <w:bCs/>
                <w:color w:val="FFFFFF"/>
                <w:sz w:val="14"/>
                <w:szCs w:val="14"/>
              </w:rPr>
              <w:t>DEPUIS LA LOI DE FINANCES 2025</w:t>
            </w:r>
          </w:p>
        </w:tc>
      </w:tr>
      <w:tr w:rsidR="003A2F1D" w14:paraId="73283994" w14:textId="77777777">
        <w:trPr>
          <w:cantSplit/>
        </w:trPr>
        <w:tc>
          <w:tcPr>
            <w:tcW w:w="2400" w:type="dxa"/>
            <w:shd w:val="clear" w:color="auto" w:fill="F3F4F1"/>
            <w:tcMar>
              <w:top w:w="100" w:type="dxa"/>
              <w:left w:w="160" w:type="dxa"/>
              <w:bottom w:w="100" w:type="dxa"/>
              <w:right w:w="100" w:type="dxa"/>
            </w:tcMar>
          </w:tcPr>
          <w:p w14:paraId="49CCEC10" w14:textId="77777777" w:rsidR="003A2F1D" w:rsidRDefault="004F738C">
            <w:r>
              <w:rPr>
                <w:rFonts w:ascii="Calibri" w:eastAsia="Calibri" w:hAnsi="Calibri" w:cs="Calibri"/>
                <w:b/>
                <w:bCs/>
                <w:color w:val="1E5B2A"/>
                <w:sz w:val="15"/>
                <w:szCs w:val="15"/>
              </w:rPr>
              <w:t>Champ d'application</w:t>
            </w:r>
          </w:p>
        </w:tc>
        <w:tc>
          <w:tcPr>
            <w:tcW w:w="3903" w:type="dxa"/>
            <w:shd w:val="clear" w:color="auto" w:fill="F3F4F1"/>
            <w:tcMar>
              <w:top w:w="100" w:type="dxa"/>
              <w:left w:w="140" w:type="dxa"/>
              <w:bottom w:w="100" w:type="dxa"/>
              <w:right w:w="140" w:type="dxa"/>
            </w:tcMar>
          </w:tcPr>
          <w:p w14:paraId="55890B03" w14:textId="77777777" w:rsidR="003A2F1D" w:rsidRDefault="004F738C">
            <w:pPr>
              <w:spacing w:line="235" w:lineRule="auto"/>
              <w:jc w:val="both"/>
            </w:pPr>
            <w:r>
              <w:rPr>
                <w:rFonts w:ascii="Calibri" w:eastAsia="Calibri" w:hAnsi="Calibri" w:cs="Calibri"/>
                <w:color w:val="2B2B2B"/>
                <w:sz w:val="15"/>
                <w:szCs w:val="15"/>
              </w:rPr>
              <w:t>Toutes les propriétés bâties et non bâties du territoire, quel que soit leur statut.</w:t>
            </w:r>
          </w:p>
        </w:tc>
        <w:tc>
          <w:tcPr>
            <w:tcW w:w="3903" w:type="dxa"/>
            <w:shd w:val="clear" w:color="auto" w:fill="EDF5E7"/>
            <w:tcMar>
              <w:top w:w="100" w:type="dxa"/>
              <w:left w:w="140" w:type="dxa"/>
              <w:bottom w:w="100" w:type="dxa"/>
              <w:right w:w="160" w:type="dxa"/>
            </w:tcMar>
          </w:tcPr>
          <w:p w14:paraId="05784CD5" w14:textId="77777777" w:rsidR="003A2F1D" w:rsidRDefault="004F738C">
            <w:pPr>
              <w:spacing w:line="235" w:lineRule="auto"/>
              <w:jc w:val="both"/>
            </w:pPr>
            <w:r>
              <w:rPr>
                <w:rFonts w:ascii="Calibri" w:eastAsia="Calibri" w:hAnsi="Calibri" w:cs="Calibri"/>
                <w:b/>
                <w:bCs/>
                <w:color w:val="1E5B2A"/>
                <w:sz w:val="15"/>
                <w:szCs w:val="15"/>
              </w:rPr>
              <w:t>Les seules propriétés immatriculées, c'est-à-dire couvertes par un titre foncier.</w:t>
            </w:r>
          </w:p>
        </w:tc>
      </w:tr>
      <w:tr w:rsidR="003A2F1D" w14:paraId="2252951C" w14:textId="77777777">
        <w:trPr>
          <w:cantSplit/>
        </w:trPr>
        <w:tc>
          <w:tcPr>
            <w:tcW w:w="2400" w:type="dxa"/>
            <w:shd w:val="clear" w:color="auto" w:fill="FFFFFF"/>
            <w:tcMar>
              <w:top w:w="100" w:type="dxa"/>
              <w:left w:w="160" w:type="dxa"/>
              <w:bottom w:w="100" w:type="dxa"/>
              <w:right w:w="100" w:type="dxa"/>
            </w:tcMar>
          </w:tcPr>
          <w:p w14:paraId="6935D76D" w14:textId="77777777" w:rsidR="003A2F1D" w:rsidRDefault="004F738C">
            <w:r>
              <w:rPr>
                <w:rFonts w:ascii="Calibri" w:eastAsia="Calibri" w:hAnsi="Calibri" w:cs="Calibri"/>
                <w:b/>
                <w:bCs/>
                <w:color w:val="1E5B2A"/>
                <w:sz w:val="15"/>
                <w:szCs w:val="15"/>
              </w:rPr>
              <w:t>Les occupants de fait</w:t>
            </w:r>
          </w:p>
        </w:tc>
        <w:tc>
          <w:tcPr>
            <w:tcW w:w="3903" w:type="dxa"/>
            <w:shd w:val="clear" w:color="auto" w:fill="FFFFFF"/>
            <w:tcMar>
              <w:top w:w="100" w:type="dxa"/>
              <w:left w:w="140" w:type="dxa"/>
              <w:bottom w:w="100" w:type="dxa"/>
              <w:right w:w="140" w:type="dxa"/>
            </w:tcMar>
          </w:tcPr>
          <w:p w14:paraId="519669C2" w14:textId="77777777" w:rsidR="003A2F1D" w:rsidRDefault="004F738C">
            <w:pPr>
              <w:spacing w:line="235" w:lineRule="auto"/>
              <w:jc w:val="both"/>
            </w:pPr>
            <w:r>
              <w:rPr>
                <w:rFonts w:ascii="Calibri" w:eastAsia="Calibri" w:hAnsi="Calibri" w:cs="Calibri"/>
                <w:color w:val="2B2B2B"/>
                <w:sz w:val="15"/>
                <w:szCs w:val="15"/>
              </w:rPr>
              <w:t>Imposables au même titre que les autres détenteurs de droits.</w:t>
            </w:r>
          </w:p>
        </w:tc>
        <w:tc>
          <w:tcPr>
            <w:tcW w:w="3903" w:type="dxa"/>
            <w:shd w:val="clear" w:color="auto" w:fill="FFFFFF"/>
            <w:tcMar>
              <w:top w:w="100" w:type="dxa"/>
              <w:left w:w="140" w:type="dxa"/>
              <w:bottom w:w="100" w:type="dxa"/>
              <w:right w:w="160" w:type="dxa"/>
            </w:tcMar>
          </w:tcPr>
          <w:p w14:paraId="1264064E" w14:textId="77777777" w:rsidR="003A2F1D" w:rsidRDefault="004F738C">
            <w:pPr>
              <w:spacing w:line="235" w:lineRule="auto"/>
              <w:jc w:val="both"/>
            </w:pPr>
            <w:r>
              <w:rPr>
                <w:rFonts w:ascii="Calibri" w:eastAsia="Calibri" w:hAnsi="Calibri" w:cs="Calibri"/>
                <w:b/>
                <w:bCs/>
                <w:color w:val="1E5B2A"/>
                <w:sz w:val="15"/>
                <w:szCs w:val="15"/>
              </w:rPr>
              <w:t>Sortis du champ de l'impôt, sans pour autant que leur situation foncière soit réglée.</w:t>
            </w:r>
          </w:p>
        </w:tc>
      </w:tr>
      <w:tr w:rsidR="003A2F1D" w14:paraId="240D0DC0" w14:textId="77777777">
        <w:trPr>
          <w:cantSplit/>
        </w:trPr>
        <w:tc>
          <w:tcPr>
            <w:tcW w:w="2400" w:type="dxa"/>
            <w:shd w:val="clear" w:color="auto" w:fill="F3F4F1"/>
            <w:tcMar>
              <w:top w:w="100" w:type="dxa"/>
              <w:left w:w="160" w:type="dxa"/>
              <w:bottom w:w="100" w:type="dxa"/>
              <w:right w:w="100" w:type="dxa"/>
            </w:tcMar>
          </w:tcPr>
          <w:p w14:paraId="552F248B" w14:textId="77777777" w:rsidR="003A2F1D" w:rsidRDefault="004F738C">
            <w:r>
              <w:rPr>
                <w:rFonts w:ascii="Calibri" w:eastAsia="Calibri" w:hAnsi="Calibri" w:cs="Calibri"/>
                <w:b/>
                <w:bCs/>
                <w:color w:val="1E5B2A"/>
                <w:sz w:val="15"/>
                <w:szCs w:val="15"/>
              </w:rPr>
              <w:t>Nombre de redevables</w:t>
            </w:r>
          </w:p>
        </w:tc>
        <w:tc>
          <w:tcPr>
            <w:tcW w:w="3903" w:type="dxa"/>
            <w:shd w:val="clear" w:color="auto" w:fill="F3F4F1"/>
            <w:tcMar>
              <w:top w:w="100" w:type="dxa"/>
              <w:left w:w="140" w:type="dxa"/>
              <w:bottom w:w="100" w:type="dxa"/>
              <w:right w:w="140" w:type="dxa"/>
            </w:tcMar>
          </w:tcPr>
          <w:p w14:paraId="0C99CC61" w14:textId="77777777" w:rsidR="003A2F1D" w:rsidRDefault="004F738C">
            <w:pPr>
              <w:spacing w:line="235" w:lineRule="auto"/>
              <w:jc w:val="both"/>
            </w:pPr>
            <w:r>
              <w:rPr>
                <w:rFonts w:ascii="Calibri" w:eastAsia="Calibri" w:hAnsi="Calibri" w:cs="Calibri"/>
                <w:color w:val="2B2B2B"/>
                <w:sz w:val="15"/>
                <w:szCs w:val="15"/>
              </w:rPr>
              <w:t>Théoriquement l'ensemble des ménages occupant un terrain.</w:t>
            </w:r>
          </w:p>
        </w:tc>
        <w:tc>
          <w:tcPr>
            <w:tcW w:w="3903" w:type="dxa"/>
            <w:shd w:val="clear" w:color="auto" w:fill="EDF5E7"/>
            <w:tcMar>
              <w:top w:w="100" w:type="dxa"/>
              <w:left w:w="140" w:type="dxa"/>
              <w:bottom w:w="100" w:type="dxa"/>
              <w:right w:w="160" w:type="dxa"/>
            </w:tcMar>
          </w:tcPr>
          <w:p w14:paraId="03425D97" w14:textId="77777777" w:rsidR="003A2F1D" w:rsidRDefault="004F738C">
            <w:pPr>
              <w:spacing w:line="235" w:lineRule="auto"/>
              <w:jc w:val="both"/>
            </w:pPr>
            <w:r>
              <w:rPr>
                <w:rFonts w:ascii="Calibri" w:eastAsia="Calibri" w:hAnsi="Calibri" w:cs="Calibri"/>
                <w:b/>
                <w:bCs/>
                <w:color w:val="1E5B2A"/>
                <w:sz w:val="15"/>
                <w:szCs w:val="15"/>
              </w:rPr>
              <w:t>Environ 14 000 titres fonciers recensés à l'échelle nationale.</w:t>
            </w:r>
          </w:p>
        </w:tc>
      </w:tr>
      <w:tr w:rsidR="003A2F1D" w14:paraId="7EB873C5" w14:textId="77777777">
        <w:trPr>
          <w:cantSplit/>
        </w:trPr>
        <w:tc>
          <w:tcPr>
            <w:tcW w:w="2400" w:type="dxa"/>
            <w:shd w:val="clear" w:color="auto" w:fill="FFFFFF"/>
            <w:tcMar>
              <w:top w:w="100" w:type="dxa"/>
              <w:left w:w="160" w:type="dxa"/>
              <w:bottom w:w="100" w:type="dxa"/>
              <w:right w:w="100" w:type="dxa"/>
            </w:tcMar>
          </w:tcPr>
          <w:p w14:paraId="23D53274" w14:textId="77777777" w:rsidR="003A2F1D" w:rsidRDefault="004F738C">
            <w:r>
              <w:rPr>
                <w:rFonts w:ascii="Calibri" w:eastAsia="Calibri" w:hAnsi="Calibri" w:cs="Calibri"/>
                <w:b/>
                <w:bCs/>
                <w:color w:val="1E5B2A"/>
                <w:sz w:val="15"/>
                <w:szCs w:val="15"/>
              </w:rPr>
              <w:t>Conséquence pratique</w:t>
            </w:r>
          </w:p>
        </w:tc>
        <w:tc>
          <w:tcPr>
            <w:tcW w:w="3903" w:type="dxa"/>
            <w:shd w:val="clear" w:color="auto" w:fill="FFFFFF"/>
            <w:tcMar>
              <w:top w:w="100" w:type="dxa"/>
              <w:left w:w="140" w:type="dxa"/>
              <w:bottom w:w="100" w:type="dxa"/>
              <w:right w:w="140" w:type="dxa"/>
            </w:tcMar>
          </w:tcPr>
          <w:p w14:paraId="44FD635B" w14:textId="77777777" w:rsidR="003A2F1D" w:rsidRDefault="004F738C">
            <w:pPr>
              <w:spacing w:line="235" w:lineRule="auto"/>
              <w:jc w:val="both"/>
            </w:pPr>
            <w:r>
              <w:rPr>
                <w:rFonts w:ascii="Calibri" w:eastAsia="Calibri" w:hAnsi="Calibri" w:cs="Calibri"/>
                <w:color w:val="2B2B2B"/>
                <w:sz w:val="15"/>
                <w:szCs w:val="15"/>
              </w:rPr>
              <w:t>Une assiette large mais impossible à contrôler faute de données.</w:t>
            </w:r>
          </w:p>
        </w:tc>
        <w:tc>
          <w:tcPr>
            <w:tcW w:w="3903" w:type="dxa"/>
            <w:shd w:val="clear" w:color="auto" w:fill="FFFFFF"/>
            <w:tcMar>
              <w:top w:w="100" w:type="dxa"/>
              <w:left w:w="140" w:type="dxa"/>
              <w:bottom w:w="100" w:type="dxa"/>
              <w:right w:w="160" w:type="dxa"/>
            </w:tcMar>
          </w:tcPr>
          <w:p w14:paraId="47D98462" w14:textId="77777777" w:rsidR="003A2F1D" w:rsidRDefault="004F738C">
            <w:pPr>
              <w:spacing w:line="235" w:lineRule="auto"/>
              <w:jc w:val="both"/>
            </w:pPr>
            <w:r>
              <w:rPr>
                <w:rFonts w:ascii="Calibri" w:eastAsia="Calibri" w:hAnsi="Calibri" w:cs="Calibri"/>
                <w:b/>
                <w:bCs/>
                <w:color w:val="1E5B2A"/>
                <w:sz w:val="15"/>
                <w:szCs w:val="15"/>
              </w:rPr>
              <w:t>Une assiette étroite et contrôlable, mais sans rapport avec la réalité de l'occupation du sol.</w:t>
            </w:r>
          </w:p>
        </w:tc>
      </w:tr>
    </w:tbl>
    <w:p w14:paraId="053E5A69" w14:textId="77777777" w:rsidR="003A2F1D" w:rsidRDefault="004F738C">
      <w:pPr>
        <w:spacing w:before="60" w:after="160"/>
        <w:jc w:val="center"/>
      </w:pPr>
      <w:r>
        <w:rPr>
          <w:rFonts w:ascii="Calibri" w:eastAsia="Calibri" w:hAnsi="Calibri" w:cs="Calibri"/>
          <w:i/>
          <w:iCs/>
          <w:color w:val="4E9A44"/>
          <w:sz w:val="14"/>
          <w:szCs w:val="14"/>
        </w:rPr>
        <w:t>Figure 2. Ce que la loi de finances 2025 a changé.</w:t>
      </w:r>
    </w:p>
    <w:p w14:paraId="441F1BC7" w14:textId="77777777" w:rsidR="003A2F1D" w:rsidRDefault="003A2F1D">
      <w:pPr>
        <w:sectPr w:rsidR="003A2F1D">
          <w:footerReference w:type="default" r:id="rId9"/>
          <w:type w:val="continuous"/>
          <w:pgSz w:w="11906" w:h="16838"/>
          <w:pgMar w:top="800" w:right="850" w:bottom="900" w:left="850" w:header="708" w:footer="708" w:gutter="0"/>
          <w:cols w:space="720"/>
          <w:docGrid w:linePitch="360"/>
        </w:sectPr>
      </w:pPr>
    </w:p>
    <w:p w14:paraId="78796C85" w14:textId="77777777" w:rsidR="003A2F1D" w:rsidRDefault="004F738C">
      <w:pPr>
        <w:pBdr>
          <w:bottom w:val="single" w:sz="8" w:space="4" w:color="7DBE6B"/>
        </w:pBdr>
        <w:spacing w:before="220" w:after="90"/>
      </w:pPr>
      <w:r>
        <w:rPr>
          <w:rFonts w:ascii="Calibri" w:eastAsia="Calibri" w:hAnsi="Calibri" w:cs="Calibri"/>
          <w:b/>
          <w:bCs/>
          <w:color w:val="4E9A44"/>
          <w:sz w:val="22"/>
          <w:szCs w:val="22"/>
        </w:rPr>
        <w:t xml:space="preserve">3.  </w:t>
      </w:r>
      <w:r>
        <w:rPr>
          <w:rFonts w:ascii="Calibri" w:eastAsia="Calibri" w:hAnsi="Calibri" w:cs="Calibri"/>
          <w:b/>
          <w:bCs/>
          <w:color w:val="1E5B2A"/>
          <w:spacing w:val="8"/>
        </w:rPr>
        <w:t>TROIS ADMINISTRATIONS, TROIS FICHIERS, AUCUNE CONVERSATION</w:t>
      </w:r>
    </w:p>
    <w:p w14:paraId="6545123D" w14:textId="77777777" w:rsidR="003A2F1D" w:rsidRDefault="004F738C">
      <w:pPr>
        <w:spacing w:after="100" w:line="250" w:lineRule="auto"/>
        <w:jc w:val="both"/>
      </w:pPr>
      <w:r>
        <w:rPr>
          <w:rFonts w:ascii="Cambria" w:eastAsia="Cambria" w:hAnsi="Cambria" w:cs="Cambria"/>
          <w:color w:val="2B2B2B"/>
          <w:sz w:val="19"/>
          <w:szCs w:val="19"/>
        </w:rPr>
        <w:t xml:space="preserve">Ce recentrage met en lumière un problème plus ancien : </w:t>
      </w:r>
      <w:r>
        <w:rPr>
          <w:rFonts w:ascii="Cambria" w:eastAsia="Cambria" w:hAnsi="Cambria" w:cs="Cambria"/>
          <w:b/>
          <w:bCs/>
          <w:color w:val="1E5B2A"/>
          <w:sz w:val="19"/>
          <w:szCs w:val="19"/>
        </w:rPr>
        <w:t>l'absence de coordination entre les administrations qui touchent au foncier</w:t>
      </w:r>
      <w:r>
        <w:rPr>
          <w:rFonts w:ascii="Cambria" w:eastAsia="Cambria" w:hAnsi="Cambria" w:cs="Cambria"/>
          <w:color w:val="2B2B2B"/>
          <w:sz w:val="19"/>
          <w:szCs w:val="19"/>
        </w:rPr>
        <w:t>. Le cadastre régularise, l'Habitat et l'Urbanisme encadrent les usages, les impôts collectent. Chacune fonctionne en vase clos.</w:t>
      </w:r>
    </w:p>
    <w:p w14:paraId="25D9ABF7" w14:textId="77777777" w:rsidR="003A2F1D" w:rsidRDefault="004F738C">
      <w:pPr>
        <w:spacing w:after="100" w:line="250" w:lineRule="auto"/>
        <w:jc w:val="both"/>
      </w:pPr>
      <w:r>
        <w:rPr>
          <w:rFonts w:ascii="Cambria" w:eastAsia="Cambria" w:hAnsi="Cambria" w:cs="Cambria"/>
          <w:color w:val="2B2B2B"/>
          <w:sz w:val="19"/>
          <w:szCs w:val="19"/>
        </w:rPr>
        <w:t xml:space="preserve">Le résultat se lit dans les chiffres. L'administration fiscale ne sait pas quels dossiers de régularisation sont en cours au cadastre, ni où ils bloquent. Le cadastre ne sait pas quels biens ont été déclarés aux impôts. L'urbanisme détient les documents qui disent ce qu'on peut construire et où, mais </w:t>
      </w:r>
      <w:r>
        <w:rPr>
          <w:rFonts w:ascii="Cambria" w:eastAsia="Cambria" w:hAnsi="Cambria" w:cs="Cambria"/>
          <w:color w:val="2B2B2B"/>
          <w:sz w:val="19"/>
          <w:szCs w:val="19"/>
        </w:rPr>
        <w:t>personne ne relie l'usage réel d'une parcelle à la valeur locative qui servira de base à l'impôt.</w:t>
      </w:r>
    </w:p>
    <w:p w14:paraId="2AA6FB99" w14:textId="77777777" w:rsidR="003A2F1D" w:rsidRDefault="004F738C">
      <w:pPr>
        <w:spacing w:after="100" w:line="250" w:lineRule="auto"/>
        <w:jc w:val="both"/>
      </w:pPr>
      <w:r>
        <w:rPr>
          <w:rFonts w:ascii="Cambria" w:eastAsia="Cambria" w:hAnsi="Cambria" w:cs="Cambria"/>
          <w:color w:val="2B2B2B"/>
          <w:sz w:val="19"/>
          <w:szCs w:val="19"/>
        </w:rPr>
        <w:t xml:space="preserve">Les communes, quant à elles, occupent une position singulière : elles </w:t>
      </w:r>
      <w:r>
        <w:rPr>
          <w:rFonts w:ascii="Cambria" w:eastAsia="Cambria" w:hAnsi="Cambria" w:cs="Cambria"/>
          <w:b/>
          <w:bCs/>
          <w:color w:val="1E5B2A"/>
          <w:sz w:val="19"/>
          <w:szCs w:val="19"/>
        </w:rPr>
        <w:t>reçoivent l'argent sans participer à l'établissement de l'impôt</w:t>
      </w:r>
      <w:r>
        <w:rPr>
          <w:rFonts w:ascii="Cambria" w:eastAsia="Cambria" w:hAnsi="Cambria" w:cs="Cambria"/>
          <w:color w:val="2B2B2B"/>
          <w:sz w:val="19"/>
          <w:szCs w:val="19"/>
        </w:rPr>
        <w:t>. Ce sont pourtant elles qui connaissent le terrain, par leurs services techniques et par les chefs de quartier. Cette connaissance ne remonte nulle part.</w:t>
      </w:r>
    </w:p>
    <w:p w14:paraId="630EE064" w14:textId="77777777" w:rsidR="003A2F1D" w:rsidRDefault="004F738C">
      <w:pPr>
        <w:pBdr>
          <w:bottom w:val="single" w:sz="8" w:space="4" w:color="7DBE6B"/>
        </w:pBdr>
        <w:spacing w:before="220" w:after="90"/>
      </w:pPr>
      <w:r>
        <w:rPr>
          <w:rFonts w:ascii="Calibri" w:eastAsia="Calibri" w:hAnsi="Calibri" w:cs="Calibri"/>
          <w:b/>
          <w:bCs/>
          <w:color w:val="4E9A44"/>
          <w:sz w:val="22"/>
          <w:szCs w:val="22"/>
        </w:rPr>
        <w:t xml:space="preserve">4.  </w:t>
      </w:r>
      <w:r>
        <w:rPr>
          <w:rFonts w:ascii="Calibri" w:eastAsia="Calibri" w:hAnsi="Calibri" w:cs="Calibri"/>
          <w:b/>
          <w:bCs/>
          <w:color w:val="1E5B2A"/>
          <w:spacing w:val="8"/>
        </w:rPr>
        <w:t>UNE FISCALITÉ LOCALE RÉDUITE À PRESQUE RIEN</w:t>
      </w:r>
    </w:p>
    <w:p w14:paraId="4CC344ED" w14:textId="77777777" w:rsidR="003A2F1D" w:rsidRDefault="004F738C">
      <w:pPr>
        <w:spacing w:after="100" w:line="250" w:lineRule="auto"/>
        <w:jc w:val="both"/>
      </w:pPr>
      <w:r>
        <w:rPr>
          <w:rFonts w:ascii="Cambria" w:eastAsia="Cambria" w:hAnsi="Cambria" w:cs="Cambria"/>
          <w:color w:val="2B2B2B"/>
          <w:sz w:val="19"/>
          <w:szCs w:val="19"/>
        </w:rPr>
        <w:t xml:space="preserve">La CFU représente environ </w:t>
      </w:r>
      <w:r>
        <w:rPr>
          <w:rFonts w:ascii="Cambria" w:eastAsia="Cambria" w:hAnsi="Cambria" w:cs="Cambria"/>
          <w:b/>
          <w:bCs/>
          <w:color w:val="1E5B2A"/>
          <w:sz w:val="19"/>
          <w:szCs w:val="19"/>
        </w:rPr>
        <w:t>1,2 % des recettes fiscales du pays</w:t>
      </w:r>
      <w:r>
        <w:rPr>
          <w:rFonts w:ascii="Cambria" w:eastAsia="Cambria" w:hAnsi="Cambria" w:cs="Cambria"/>
          <w:color w:val="2B2B2B"/>
          <w:sz w:val="19"/>
          <w:szCs w:val="19"/>
        </w:rPr>
        <w:t>, soit 13 à 14 milliards de francs par an. L'administration affiche un objectif de 30 à 40 milliards. L'écart n'est pas un problème de taux : il est un problème d'assiette et de capacité de recouvrement.</w:t>
      </w:r>
    </w:p>
    <w:p w14:paraId="7A3827D0" w14:textId="77777777" w:rsidR="003A2F1D" w:rsidRDefault="004F738C">
      <w:pPr>
        <w:spacing w:after="100" w:line="250" w:lineRule="auto"/>
        <w:jc w:val="both"/>
      </w:pPr>
      <w:r>
        <w:rPr>
          <w:rFonts w:ascii="Cambria" w:eastAsia="Cambria" w:hAnsi="Cambria" w:cs="Cambria"/>
          <w:color w:val="2B2B2B"/>
          <w:sz w:val="19"/>
          <w:szCs w:val="19"/>
        </w:rPr>
        <w:lastRenderedPageBreak/>
        <w:t>Comparons ce que cela représente. Treize milliards répartis entre les communes et les départements d'un pays de neuf provinces, c'est peu au regard des besoins : voirie de quartier, drainage, éclairage public, entretien des marchés, collecte des déchets. Ce sont précisément les services dont l'absence est reprochée aux mairies.</w:t>
      </w:r>
    </w:p>
    <w:p w14:paraId="575C5018" w14:textId="77777777" w:rsidR="003A2F1D" w:rsidRDefault="004F738C">
      <w:pPr>
        <w:spacing w:after="100" w:line="250" w:lineRule="auto"/>
        <w:jc w:val="both"/>
      </w:pPr>
      <w:r>
        <w:rPr>
          <w:rFonts w:ascii="Cambria" w:eastAsia="Cambria" w:hAnsi="Cambria" w:cs="Cambria"/>
          <w:color w:val="2B2B2B"/>
          <w:sz w:val="19"/>
          <w:szCs w:val="19"/>
        </w:rPr>
        <w:t xml:space="preserve">Il faut aussi dire un mot du caractère déclaratif de cet impôt. L'usager est censé venir spontanément se déclarer avant le 30 mars. Cette logique ne fonctionne que si trois conditions sont réunies : </w:t>
      </w:r>
      <w:r>
        <w:rPr>
          <w:rFonts w:ascii="Cambria" w:eastAsia="Cambria" w:hAnsi="Cambria" w:cs="Cambria"/>
          <w:b/>
          <w:bCs/>
          <w:color w:val="1E5B2A"/>
          <w:sz w:val="19"/>
          <w:szCs w:val="19"/>
        </w:rPr>
        <w:t>que le redevable sache que l'impôt existe, qu'il comprenne comment il se calcule, et qu'il sache où et comment le payer</w:t>
      </w:r>
      <w:r>
        <w:rPr>
          <w:rFonts w:ascii="Cambria" w:eastAsia="Cambria" w:hAnsi="Cambria" w:cs="Cambria"/>
          <w:color w:val="2B2B2B"/>
          <w:sz w:val="19"/>
          <w:szCs w:val="19"/>
        </w:rPr>
        <w:t>. Aucune de ces trois conditions n'est aujourd'hui remplie pour la majorité des concernés.</w:t>
      </w:r>
    </w:p>
    <w:p w14:paraId="0B799A8A" w14:textId="77777777" w:rsidR="003A2F1D" w:rsidRDefault="004F738C">
      <w:pPr>
        <w:spacing w:after="100" w:line="250" w:lineRule="auto"/>
        <w:jc w:val="both"/>
      </w:pPr>
      <w:r>
        <w:rPr>
          <w:rFonts w:ascii="Cambria" w:eastAsia="Cambria" w:hAnsi="Cambria" w:cs="Cambria"/>
          <w:color w:val="2B2B2B"/>
          <w:sz w:val="19"/>
          <w:szCs w:val="19"/>
        </w:rPr>
        <w:t>La pédagogie a manqué. Il est difficile de trouver une information claire sur la CFU en naviguant sur le site de la Direction générale des impôts. Pour un impôt déclaratif, dont le rendement dépend entièrement de la compréhension qu'en ont les redevables, c'est un handicap de départ.</w:t>
      </w:r>
    </w:p>
    <w:p w14:paraId="532A503C" w14:textId="77777777" w:rsidR="003A2F1D" w:rsidRDefault="004F738C">
      <w:pPr>
        <w:pBdr>
          <w:bottom w:val="single" w:sz="8" w:space="4" w:color="7DBE6B"/>
        </w:pBdr>
        <w:spacing w:before="220" w:after="90"/>
      </w:pPr>
      <w:r>
        <w:rPr>
          <w:rFonts w:ascii="Calibri" w:eastAsia="Calibri" w:hAnsi="Calibri" w:cs="Calibri"/>
          <w:b/>
          <w:bCs/>
          <w:color w:val="4E9A44"/>
          <w:sz w:val="22"/>
          <w:szCs w:val="22"/>
        </w:rPr>
        <w:t xml:space="preserve">5.  </w:t>
      </w:r>
      <w:r>
        <w:rPr>
          <w:rFonts w:ascii="Calibri" w:eastAsia="Calibri" w:hAnsi="Calibri" w:cs="Calibri"/>
          <w:b/>
          <w:bCs/>
          <w:color w:val="1E5B2A"/>
          <w:spacing w:val="8"/>
        </w:rPr>
        <w:t>CE QUE LA GÉOGRAPHIE APPORTE AU DÉBAT</w:t>
      </w:r>
    </w:p>
    <w:p w14:paraId="1954FF2B" w14:textId="77777777" w:rsidR="003A2F1D" w:rsidRDefault="004F738C">
      <w:pPr>
        <w:spacing w:after="100" w:line="250" w:lineRule="auto"/>
        <w:jc w:val="both"/>
      </w:pPr>
      <w:r>
        <w:rPr>
          <w:rFonts w:ascii="Cambria" w:eastAsia="Cambria" w:hAnsi="Cambria" w:cs="Cambria"/>
          <w:color w:val="2B2B2B"/>
          <w:sz w:val="19"/>
          <w:szCs w:val="19"/>
        </w:rPr>
        <w:t xml:space="preserve">Je voudrais déplacer la discussion. On traite la CFU comme un sujet de droit fiscal : quel taux, quelle assiette, quelles exonérations. C'est une erreur de cadrage. </w:t>
      </w:r>
      <w:r>
        <w:rPr>
          <w:rFonts w:ascii="Cambria" w:eastAsia="Cambria" w:hAnsi="Cambria" w:cs="Cambria"/>
          <w:b/>
          <w:bCs/>
          <w:color w:val="1E5B2A"/>
          <w:sz w:val="19"/>
          <w:szCs w:val="19"/>
        </w:rPr>
        <w:t>Un impôt foncier est d'abord un problème de connaissance du territoire</w:t>
      </w:r>
      <w:r>
        <w:rPr>
          <w:rFonts w:ascii="Cambria" w:eastAsia="Cambria" w:hAnsi="Cambria" w:cs="Cambria"/>
          <w:color w:val="2B2B2B"/>
          <w:sz w:val="19"/>
          <w:szCs w:val="19"/>
        </w:rPr>
        <w:t>. Avant de décider combien on taxe, il faut pouvoir répondre à quatre questions.</w:t>
      </w:r>
    </w:p>
    <w:p w14:paraId="6CCDC147" w14:textId="77777777" w:rsidR="003A2F1D" w:rsidRDefault="003A2F1D">
      <w:pPr>
        <w:spacing w:before="100"/>
      </w:pPr>
    </w:p>
    <w:tbl>
      <w:tblPr>
        <w:tblW w:w="4903" w:type="dxa"/>
        <w:tblBorders>
          <w:top w:val="none" w:sz="0" w:space="0" w:color="FFFFFF"/>
          <w:left w:val="single" w:sz="18" w:space="0" w:color="4E9A44"/>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03"/>
      </w:tblGrid>
      <w:tr w:rsidR="003A2F1D" w14:paraId="25BD6C01" w14:textId="77777777">
        <w:trPr>
          <w:cantSplit/>
        </w:trPr>
        <w:tc>
          <w:tcPr>
            <w:tcW w:w="4903" w:type="dxa"/>
            <w:shd w:val="clear" w:color="auto" w:fill="EDF5E7"/>
            <w:tcMar>
              <w:top w:w="160" w:type="dxa"/>
              <w:left w:w="180" w:type="dxa"/>
              <w:bottom w:w="160" w:type="dxa"/>
              <w:right w:w="160" w:type="dxa"/>
            </w:tcMar>
          </w:tcPr>
          <w:p w14:paraId="2C7CA486" w14:textId="77777777" w:rsidR="003A2F1D" w:rsidRDefault="004F738C">
            <w:pPr>
              <w:spacing w:after="80"/>
            </w:pPr>
            <w:r>
              <w:rPr>
                <w:rFonts w:ascii="Calibri" w:eastAsia="Calibri" w:hAnsi="Calibri" w:cs="Calibri"/>
                <w:b/>
                <w:bCs/>
                <w:color w:val="4E9A44"/>
                <w:spacing w:val="24"/>
                <w:sz w:val="15"/>
                <w:szCs w:val="15"/>
              </w:rPr>
              <w:t>LES QUATRE QUESTIONS PRÉALABLES</w:t>
            </w:r>
          </w:p>
          <w:p w14:paraId="44C07987" w14:textId="77777777" w:rsidR="003A2F1D" w:rsidRDefault="004F738C">
            <w:pPr>
              <w:pStyle w:val="Paragraphedeliste"/>
              <w:numPr>
                <w:ilvl w:val="0"/>
                <w:numId w:val="2"/>
              </w:numPr>
              <w:spacing w:after="60" w:line="230" w:lineRule="auto"/>
              <w:jc w:val="both"/>
            </w:pPr>
            <w:r>
              <w:rPr>
                <w:rFonts w:ascii="Calibri" w:eastAsia="Calibri" w:hAnsi="Calibri" w:cs="Calibri"/>
                <w:color w:val="2B2B2B"/>
                <w:sz w:val="17"/>
                <w:szCs w:val="17"/>
              </w:rPr>
              <w:t>Qu'est-ce qui existe ? Un inventaire des constructions et des parcelles, à jour.</w:t>
            </w:r>
          </w:p>
          <w:p w14:paraId="27030982" w14:textId="77777777" w:rsidR="003A2F1D" w:rsidRDefault="004F738C">
            <w:pPr>
              <w:pStyle w:val="Paragraphedeliste"/>
              <w:numPr>
                <w:ilvl w:val="0"/>
                <w:numId w:val="2"/>
              </w:numPr>
              <w:spacing w:after="60" w:line="230" w:lineRule="auto"/>
              <w:jc w:val="both"/>
            </w:pPr>
            <w:r>
              <w:rPr>
                <w:rFonts w:ascii="Calibri" w:eastAsia="Calibri" w:hAnsi="Calibri" w:cs="Calibri"/>
                <w:color w:val="2B2B2B"/>
                <w:sz w:val="17"/>
                <w:szCs w:val="17"/>
              </w:rPr>
              <w:t>Où cela se trouve-t-il ? Une géométrie et une adresse permettant de localiser le bien et de joindre l'occupant.</w:t>
            </w:r>
          </w:p>
          <w:p w14:paraId="3A90956C" w14:textId="77777777" w:rsidR="003A2F1D" w:rsidRDefault="004F738C">
            <w:pPr>
              <w:pStyle w:val="Paragraphedeliste"/>
              <w:numPr>
                <w:ilvl w:val="0"/>
                <w:numId w:val="2"/>
              </w:numPr>
              <w:spacing w:after="60" w:line="230" w:lineRule="auto"/>
              <w:jc w:val="both"/>
            </w:pPr>
            <w:r>
              <w:rPr>
                <w:rFonts w:ascii="Calibri" w:eastAsia="Calibri" w:hAnsi="Calibri" w:cs="Calibri"/>
                <w:color w:val="2B2B2B"/>
                <w:sz w:val="17"/>
                <w:szCs w:val="17"/>
              </w:rPr>
              <w:t>Qui l'occupe ? Un lien entre l'objet au sol et une personne identifiable.</w:t>
            </w:r>
          </w:p>
          <w:p w14:paraId="57C117DD" w14:textId="77777777" w:rsidR="003A2F1D" w:rsidRDefault="004F738C">
            <w:pPr>
              <w:pStyle w:val="Paragraphedeliste"/>
              <w:numPr>
                <w:ilvl w:val="0"/>
                <w:numId w:val="2"/>
              </w:numPr>
              <w:spacing w:after="60" w:line="230" w:lineRule="auto"/>
              <w:jc w:val="both"/>
            </w:pPr>
            <w:r>
              <w:rPr>
                <w:rFonts w:ascii="Calibri" w:eastAsia="Calibri" w:hAnsi="Calibri" w:cs="Calibri"/>
                <w:color w:val="2B2B2B"/>
                <w:sz w:val="17"/>
                <w:szCs w:val="17"/>
              </w:rPr>
              <w:t>Combien cela vaut-il ? Une méthode d'évaluation reproductible, applicable à grande échelle.</w:t>
            </w:r>
          </w:p>
        </w:tc>
      </w:tr>
    </w:tbl>
    <w:p w14:paraId="6EE5195C" w14:textId="77777777" w:rsidR="003A2F1D" w:rsidRDefault="003A2F1D">
      <w:pPr>
        <w:spacing w:before="120"/>
      </w:pPr>
    </w:p>
    <w:p w14:paraId="660AC4B2" w14:textId="77777777" w:rsidR="003A2F1D" w:rsidRDefault="004F738C">
      <w:pPr>
        <w:spacing w:after="100" w:line="250" w:lineRule="auto"/>
        <w:jc w:val="both"/>
      </w:pPr>
      <w:r>
        <w:rPr>
          <w:rFonts w:ascii="Cambria" w:eastAsia="Cambria" w:hAnsi="Cambria" w:cs="Cambria"/>
          <w:color w:val="2B2B2B"/>
          <w:sz w:val="19"/>
          <w:szCs w:val="19"/>
        </w:rPr>
        <w:t>L'administration gabonaise ne dispose d'une réponse partagée à aucune de ces quatre questions. C'est pourquoi l'impôt ne rentre pas, et c'est pourquoi le débat sur le taux est prématuré. On peut voter tous les pourcentages qu'on voudra sur une assiette que personne ne sait décrire, le rendement restera le même.</w:t>
      </w:r>
    </w:p>
    <w:p w14:paraId="4628DE9E" w14:textId="77777777" w:rsidR="003A2F1D" w:rsidRDefault="004F738C">
      <w:pPr>
        <w:spacing w:after="100" w:line="250" w:lineRule="auto"/>
        <w:jc w:val="both"/>
      </w:pPr>
      <w:r>
        <w:rPr>
          <w:rFonts w:ascii="Cambria" w:eastAsia="Cambria" w:hAnsi="Cambria" w:cs="Cambria"/>
          <w:color w:val="2B2B2B"/>
          <w:sz w:val="19"/>
          <w:szCs w:val="19"/>
        </w:rPr>
        <w:t xml:space="preserve">La réponse tient dans un mot : un </w:t>
      </w:r>
      <w:r>
        <w:rPr>
          <w:rFonts w:ascii="Cambria" w:eastAsia="Cambria" w:hAnsi="Cambria" w:cs="Cambria"/>
          <w:b/>
          <w:bCs/>
          <w:color w:val="1E5B2A"/>
          <w:sz w:val="19"/>
          <w:szCs w:val="19"/>
        </w:rPr>
        <w:t>référentiel spatial commun</w:t>
      </w:r>
      <w:r>
        <w:rPr>
          <w:rFonts w:ascii="Cambria" w:eastAsia="Cambria" w:hAnsi="Cambria" w:cs="Cambria"/>
          <w:color w:val="2B2B2B"/>
          <w:sz w:val="19"/>
          <w:szCs w:val="19"/>
        </w:rPr>
        <w:t>. Une base de données géographique où chaque parcelle porte un identifiant unique, où chaque bâtiment est rattaché à cette parcelle, et que le cadastre, l'urbanisme, les impôts et la commune consultent et alimentent ensemble. Ce n'est pas une innovation. C'est le socle de toute fiscalité foncière moderne, et plusieurs pays de la sous-région l'ont déjà construit.</w:t>
      </w:r>
    </w:p>
    <w:p w14:paraId="28F13A34" w14:textId="77777777" w:rsidR="003A2F1D" w:rsidRDefault="004F738C">
      <w:pPr>
        <w:pBdr>
          <w:bottom w:val="single" w:sz="8" w:space="4" w:color="7DBE6B"/>
        </w:pBdr>
        <w:spacing w:before="220" w:after="90"/>
      </w:pPr>
      <w:r>
        <w:rPr>
          <w:rFonts w:ascii="Calibri" w:eastAsia="Calibri" w:hAnsi="Calibri" w:cs="Calibri"/>
          <w:b/>
          <w:bCs/>
          <w:color w:val="4E9A44"/>
          <w:sz w:val="22"/>
          <w:szCs w:val="22"/>
        </w:rPr>
        <w:t xml:space="preserve">6.  </w:t>
      </w:r>
      <w:r>
        <w:rPr>
          <w:rFonts w:ascii="Calibri" w:eastAsia="Calibri" w:hAnsi="Calibri" w:cs="Calibri"/>
          <w:b/>
          <w:bCs/>
          <w:color w:val="1E5B2A"/>
          <w:spacing w:val="8"/>
        </w:rPr>
        <w:t>CE QUE L'URBANISME IMPOSE DE PRENDRE EN COMPTE</w:t>
      </w:r>
    </w:p>
    <w:p w14:paraId="49529875" w14:textId="77777777" w:rsidR="003A2F1D" w:rsidRDefault="004F738C">
      <w:pPr>
        <w:spacing w:after="100" w:line="250" w:lineRule="auto"/>
        <w:jc w:val="both"/>
      </w:pPr>
      <w:r>
        <w:rPr>
          <w:rFonts w:ascii="Cambria" w:eastAsia="Cambria" w:hAnsi="Cambria" w:cs="Cambria"/>
          <w:color w:val="2B2B2B"/>
          <w:sz w:val="19"/>
          <w:szCs w:val="19"/>
        </w:rPr>
        <w:t>Une seconde série de conséquences mérite d'être posée, parce qu'elle touche à la justice de l'impôt et non plus à son rendement.</w:t>
      </w:r>
    </w:p>
    <w:p w14:paraId="00AFA9DB" w14:textId="77777777" w:rsidR="003A2F1D" w:rsidRDefault="004F738C">
      <w:pPr>
        <w:spacing w:after="100" w:line="250" w:lineRule="auto"/>
        <w:jc w:val="both"/>
      </w:pPr>
      <w:r>
        <w:rPr>
          <w:rFonts w:ascii="Cambria" w:eastAsia="Cambria" w:hAnsi="Cambria" w:cs="Cambria"/>
          <w:color w:val="2B2B2B"/>
          <w:sz w:val="19"/>
          <w:szCs w:val="19"/>
        </w:rPr>
        <w:t xml:space="preserve">La valeur d'un terrain ne vient pas seulement de ce que son propriétaire y a construit. Elle vient aussi de ce que la collectivité a installé autour : une route bitumée, un réseau d'assainissement, un raccordement électrique, la proximité d'une école. </w:t>
      </w:r>
      <w:r>
        <w:rPr>
          <w:rFonts w:ascii="Cambria" w:eastAsia="Cambria" w:hAnsi="Cambria" w:cs="Cambria"/>
          <w:b/>
          <w:bCs/>
          <w:color w:val="1E5B2A"/>
          <w:sz w:val="19"/>
          <w:szCs w:val="19"/>
        </w:rPr>
        <w:t>Un impôt foncier bien conçu récupère une part de cette valeur créée par l'investissement public</w:t>
      </w:r>
      <w:r>
        <w:rPr>
          <w:rFonts w:ascii="Cambria" w:eastAsia="Cambria" w:hAnsi="Cambria" w:cs="Cambria"/>
          <w:color w:val="2B2B2B"/>
          <w:sz w:val="19"/>
          <w:szCs w:val="19"/>
        </w:rPr>
        <w:t>. C'est même sa justification la plus solide : celui qui bénéficie de l'équipement participe à son financement.</w:t>
      </w:r>
    </w:p>
    <w:p w14:paraId="6E13F8DE" w14:textId="77777777" w:rsidR="003A2F1D" w:rsidRDefault="004F738C">
      <w:pPr>
        <w:spacing w:after="100" w:line="250" w:lineRule="auto"/>
        <w:jc w:val="both"/>
      </w:pPr>
      <w:r>
        <w:rPr>
          <w:rFonts w:ascii="Cambria" w:eastAsia="Cambria" w:hAnsi="Cambria" w:cs="Cambria"/>
          <w:color w:val="2B2B2B"/>
          <w:sz w:val="19"/>
          <w:szCs w:val="19"/>
        </w:rPr>
        <w:t>Cela suppose de zoner la valeur. Découper la ville en secteurs homogènes, affecter à chacun une valeur de référence, puis ajuster selon quelques critères observables sur le terrain. Une parcelle desservie par une voie bitumée et raccordée aux réseaux ne vaut pas la même chose qu'une parcelle enclavée dans un bas-fond inondable. Aujourd'hui, rien ne distingue les deux dans le calcul.</w:t>
      </w:r>
    </w:p>
    <w:p w14:paraId="0F3F5357" w14:textId="77777777" w:rsidR="003A2F1D" w:rsidRDefault="004F738C">
      <w:pPr>
        <w:spacing w:after="100" w:line="250" w:lineRule="auto"/>
        <w:jc w:val="both"/>
      </w:pPr>
      <w:r>
        <w:rPr>
          <w:rFonts w:ascii="Cambria" w:eastAsia="Cambria" w:hAnsi="Cambria" w:cs="Cambria"/>
          <w:color w:val="2B2B2B"/>
          <w:sz w:val="19"/>
          <w:szCs w:val="19"/>
        </w:rPr>
        <w:t xml:space="preserve">Ce zonage aurait un autre effet, plus intéressant encore. Il rendrait </w:t>
      </w:r>
      <w:r>
        <w:rPr>
          <w:rFonts w:ascii="Cambria" w:eastAsia="Cambria" w:hAnsi="Cambria" w:cs="Cambria"/>
          <w:b/>
          <w:bCs/>
          <w:color w:val="1E5B2A"/>
          <w:sz w:val="19"/>
          <w:szCs w:val="19"/>
        </w:rPr>
        <w:t>visible le lien entre l'impôt payé et l'équipement reçu</w:t>
      </w:r>
      <w:r>
        <w:rPr>
          <w:rFonts w:ascii="Cambria" w:eastAsia="Cambria" w:hAnsi="Cambria" w:cs="Cambria"/>
          <w:color w:val="2B2B2B"/>
          <w:sz w:val="19"/>
          <w:szCs w:val="19"/>
        </w:rPr>
        <w:t>. Un habitant qui voit sa zone passer d'une catégorie à l'autre parce que la voirie a été refaite comprend ce qu'il finance. C'est la condition du consentement à l'impôt, et ce consentement ne se décrète pas.</w:t>
      </w:r>
    </w:p>
    <w:p w14:paraId="0B6CE4D6" w14:textId="77777777" w:rsidR="003A2F1D" w:rsidRDefault="004F738C">
      <w:pPr>
        <w:spacing w:after="100" w:line="250" w:lineRule="auto"/>
        <w:jc w:val="both"/>
      </w:pPr>
      <w:r>
        <w:rPr>
          <w:rFonts w:ascii="Cambria" w:eastAsia="Cambria" w:hAnsi="Cambria" w:cs="Cambria"/>
          <w:color w:val="2B2B2B"/>
          <w:sz w:val="19"/>
          <w:szCs w:val="19"/>
        </w:rPr>
        <w:t>Reste un point de vigilance. Une fiscalité foncière mal calibrée peut chasser les ménages modestes des quartiers qui se valorisent. Les exonérations pour les logements sociaux et les constructions neuves vont dans le bon sens, mais elles ne suffisent pas. Il faudrait aussi prévoir un plafonnement pour la résidence principale des ménages à faibles revenus, et un étalement possible du paiement. Sans cela, l'impôt produira des départs contraints plutôt que des recettes.</w:t>
      </w:r>
    </w:p>
    <w:p w14:paraId="6B938A01" w14:textId="77777777" w:rsidR="003A2F1D" w:rsidRDefault="003A2F1D">
      <w:pPr>
        <w:sectPr w:rsidR="003A2F1D">
          <w:footerReference w:type="default" r:id="rId10"/>
          <w:type w:val="continuous"/>
          <w:pgSz w:w="11906" w:h="16838"/>
          <w:pgMar w:top="800" w:right="850" w:bottom="900" w:left="850" w:header="708" w:footer="708" w:gutter="0"/>
          <w:cols w:num="2" w:space="400"/>
          <w:docGrid w:linePitch="360"/>
        </w:sectPr>
      </w:pPr>
    </w:p>
    <w:p w14:paraId="16224546" w14:textId="77777777" w:rsidR="003A2F1D" w:rsidRDefault="004F738C">
      <w:r>
        <w:br w:type="page"/>
      </w:r>
    </w:p>
    <w:tbl>
      <w:tblPr>
        <w:tblW w:w="10206" w:type="dxa"/>
        <w:tblBorders>
          <w:top w:val="none" w:sz="0" w:space="0" w:color="FFFFFF"/>
          <w:left w:val="none" w:sz="0" w:space="0" w:color="FFFFFF"/>
          <w:bottom w:val="single" w:sz="10" w:space="0" w:color="7DBE6B"/>
          <w:right w:val="none" w:sz="0" w:space="0" w:color="FFFFFF"/>
          <w:insideH w:val="single" w:sz="4" w:space="0" w:color="FFFFFF"/>
          <w:insideV w:val="single" w:sz="4" w:space="0" w:color="FFFFFF"/>
        </w:tblBorders>
        <w:tblCellMar>
          <w:left w:w="10" w:type="dxa"/>
          <w:right w:w="10" w:type="dxa"/>
        </w:tblCellMar>
        <w:tblLook w:val="0000" w:firstRow="0" w:lastRow="0" w:firstColumn="0" w:lastColumn="0" w:noHBand="0" w:noVBand="0"/>
      </w:tblPr>
      <w:tblGrid>
        <w:gridCol w:w="3200"/>
        <w:gridCol w:w="4000"/>
        <w:gridCol w:w="3006"/>
      </w:tblGrid>
      <w:tr w:rsidR="003A2F1D" w14:paraId="4FCB300B" w14:textId="77777777">
        <w:trPr>
          <w:cantSplit/>
          <w:tblHeader/>
        </w:trPr>
        <w:tc>
          <w:tcPr>
            <w:tcW w:w="3200" w:type="dxa"/>
            <w:shd w:val="clear" w:color="auto" w:fill="1E5B2A"/>
            <w:tcMar>
              <w:top w:w="100" w:type="dxa"/>
              <w:left w:w="160" w:type="dxa"/>
              <w:bottom w:w="100" w:type="dxa"/>
              <w:right w:w="120" w:type="dxa"/>
            </w:tcMar>
            <w:vAlign w:val="center"/>
          </w:tcPr>
          <w:p w14:paraId="3BC83A1D" w14:textId="77777777" w:rsidR="003A2F1D" w:rsidRDefault="004F738C">
            <w:r>
              <w:rPr>
                <w:rFonts w:ascii="Calibri" w:eastAsia="Calibri" w:hAnsi="Calibri" w:cs="Calibri"/>
                <w:b/>
                <w:bCs/>
                <w:color w:val="FFFFFF"/>
                <w:sz w:val="14"/>
                <w:szCs w:val="14"/>
              </w:rPr>
              <w:lastRenderedPageBreak/>
              <w:t>L'ACTEUR</w:t>
            </w:r>
          </w:p>
        </w:tc>
        <w:tc>
          <w:tcPr>
            <w:tcW w:w="4000" w:type="dxa"/>
            <w:shd w:val="clear" w:color="auto" w:fill="1E5B2A"/>
            <w:tcMar>
              <w:top w:w="100" w:type="dxa"/>
              <w:left w:w="140" w:type="dxa"/>
              <w:bottom w:w="100" w:type="dxa"/>
              <w:right w:w="140" w:type="dxa"/>
            </w:tcMar>
            <w:vAlign w:val="center"/>
          </w:tcPr>
          <w:p w14:paraId="0B6A4068" w14:textId="77777777" w:rsidR="003A2F1D" w:rsidRDefault="004F738C">
            <w:r>
              <w:rPr>
                <w:rFonts w:ascii="Calibri" w:eastAsia="Calibri" w:hAnsi="Calibri" w:cs="Calibri"/>
                <w:b/>
                <w:bCs/>
                <w:color w:val="FFFFFF"/>
                <w:sz w:val="14"/>
                <w:szCs w:val="14"/>
              </w:rPr>
              <w:t>CE QU'IL DÉTIENT</w:t>
            </w:r>
          </w:p>
        </w:tc>
        <w:tc>
          <w:tcPr>
            <w:tcW w:w="3006" w:type="dxa"/>
            <w:shd w:val="clear" w:color="auto" w:fill="1E5B2A"/>
            <w:tcMar>
              <w:top w:w="100" w:type="dxa"/>
              <w:left w:w="140" w:type="dxa"/>
              <w:bottom w:w="100" w:type="dxa"/>
              <w:right w:w="160" w:type="dxa"/>
            </w:tcMar>
            <w:vAlign w:val="center"/>
          </w:tcPr>
          <w:p w14:paraId="06358F68" w14:textId="77777777" w:rsidR="003A2F1D" w:rsidRDefault="004F738C">
            <w:r>
              <w:rPr>
                <w:rFonts w:ascii="Calibri" w:eastAsia="Calibri" w:hAnsi="Calibri" w:cs="Calibri"/>
                <w:b/>
                <w:bCs/>
                <w:color w:val="FFFFFF"/>
                <w:sz w:val="14"/>
                <w:szCs w:val="14"/>
              </w:rPr>
              <w:t>CE QUI NE CIRCULE PAS</w:t>
            </w:r>
          </w:p>
        </w:tc>
      </w:tr>
      <w:tr w:rsidR="003A2F1D" w14:paraId="2B55ED70" w14:textId="77777777">
        <w:trPr>
          <w:cantSplit/>
        </w:trPr>
        <w:tc>
          <w:tcPr>
            <w:tcW w:w="3200" w:type="dxa"/>
            <w:shd w:val="clear" w:color="auto" w:fill="FFFFFF"/>
            <w:tcMar>
              <w:top w:w="100" w:type="dxa"/>
              <w:left w:w="160" w:type="dxa"/>
              <w:bottom w:w="100" w:type="dxa"/>
              <w:right w:w="120" w:type="dxa"/>
            </w:tcMar>
          </w:tcPr>
          <w:p w14:paraId="40FEF6BB" w14:textId="77777777" w:rsidR="003A2F1D" w:rsidRDefault="004F738C">
            <w:r>
              <w:rPr>
                <w:rFonts w:ascii="Calibri" w:eastAsia="Calibri" w:hAnsi="Calibri" w:cs="Calibri"/>
                <w:b/>
                <w:bCs/>
                <w:color w:val="1E5B2A"/>
                <w:sz w:val="15"/>
                <w:szCs w:val="15"/>
              </w:rPr>
              <w:t>Le cadastre et l'ANUTTC</w:t>
            </w:r>
          </w:p>
        </w:tc>
        <w:tc>
          <w:tcPr>
            <w:tcW w:w="4000" w:type="dxa"/>
            <w:shd w:val="clear" w:color="auto" w:fill="FFFFFF"/>
            <w:tcMar>
              <w:top w:w="100" w:type="dxa"/>
              <w:left w:w="140" w:type="dxa"/>
              <w:bottom w:w="100" w:type="dxa"/>
              <w:right w:w="140" w:type="dxa"/>
            </w:tcMar>
          </w:tcPr>
          <w:p w14:paraId="104C2A85" w14:textId="77777777" w:rsidR="003A2F1D" w:rsidRDefault="004F738C">
            <w:pPr>
              <w:spacing w:line="235" w:lineRule="auto"/>
              <w:jc w:val="both"/>
            </w:pPr>
            <w:r>
              <w:rPr>
                <w:rFonts w:ascii="Calibri" w:eastAsia="Calibri" w:hAnsi="Calibri" w:cs="Calibri"/>
                <w:color w:val="2B2B2B"/>
                <w:sz w:val="14"/>
                <w:szCs w:val="14"/>
              </w:rPr>
              <w:t>La géométrie des parcelles, les numéros, l'état d'avancement des dossiers de régularisation.</w:t>
            </w:r>
          </w:p>
        </w:tc>
        <w:tc>
          <w:tcPr>
            <w:tcW w:w="3006" w:type="dxa"/>
            <w:shd w:val="clear" w:color="auto" w:fill="FFFFFF"/>
            <w:tcMar>
              <w:top w:w="100" w:type="dxa"/>
              <w:left w:w="140" w:type="dxa"/>
              <w:bottom w:w="100" w:type="dxa"/>
              <w:right w:w="160" w:type="dxa"/>
            </w:tcMar>
          </w:tcPr>
          <w:p w14:paraId="5507E7D6" w14:textId="77777777" w:rsidR="003A2F1D" w:rsidRDefault="004F738C">
            <w:pPr>
              <w:spacing w:line="235" w:lineRule="auto"/>
              <w:jc w:val="both"/>
            </w:pPr>
            <w:r>
              <w:rPr>
                <w:rFonts w:ascii="Calibri" w:eastAsia="Calibri" w:hAnsi="Calibri" w:cs="Calibri"/>
                <w:b/>
                <w:bCs/>
                <w:color w:val="1E5B2A"/>
                <w:sz w:val="14"/>
                <w:szCs w:val="14"/>
              </w:rPr>
              <w:t>L'administration fiscale ne sait pas quels dossiers sont en cours, ni où ils bloquent.</w:t>
            </w:r>
          </w:p>
        </w:tc>
      </w:tr>
      <w:tr w:rsidR="003A2F1D" w14:paraId="057F08E4" w14:textId="77777777">
        <w:trPr>
          <w:cantSplit/>
        </w:trPr>
        <w:tc>
          <w:tcPr>
            <w:tcW w:w="3200" w:type="dxa"/>
            <w:shd w:val="clear" w:color="auto" w:fill="F3F4F1"/>
            <w:tcMar>
              <w:top w:w="100" w:type="dxa"/>
              <w:left w:w="160" w:type="dxa"/>
              <w:bottom w:w="100" w:type="dxa"/>
              <w:right w:w="120" w:type="dxa"/>
            </w:tcMar>
          </w:tcPr>
          <w:p w14:paraId="1A829C5C" w14:textId="77777777" w:rsidR="003A2F1D" w:rsidRDefault="004F738C">
            <w:r>
              <w:rPr>
                <w:rFonts w:ascii="Calibri" w:eastAsia="Calibri" w:hAnsi="Calibri" w:cs="Calibri"/>
                <w:b/>
                <w:bCs/>
                <w:color w:val="1E5B2A"/>
                <w:sz w:val="15"/>
                <w:szCs w:val="15"/>
              </w:rPr>
              <w:t>L'Habitat et l'Urbanisme</w:t>
            </w:r>
          </w:p>
        </w:tc>
        <w:tc>
          <w:tcPr>
            <w:tcW w:w="4000" w:type="dxa"/>
            <w:shd w:val="clear" w:color="auto" w:fill="F3F4F1"/>
            <w:tcMar>
              <w:top w:w="100" w:type="dxa"/>
              <w:left w:w="140" w:type="dxa"/>
              <w:bottom w:w="100" w:type="dxa"/>
              <w:right w:w="140" w:type="dxa"/>
            </w:tcMar>
          </w:tcPr>
          <w:p w14:paraId="1FB53184" w14:textId="77777777" w:rsidR="003A2F1D" w:rsidRDefault="004F738C">
            <w:pPr>
              <w:spacing w:line="235" w:lineRule="auto"/>
              <w:jc w:val="both"/>
            </w:pPr>
            <w:r>
              <w:rPr>
                <w:rFonts w:ascii="Calibri" w:eastAsia="Calibri" w:hAnsi="Calibri" w:cs="Calibri"/>
                <w:color w:val="2B2B2B"/>
                <w:sz w:val="14"/>
                <w:szCs w:val="14"/>
              </w:rPr>
              <w:t>Les documents de planification, les permis, les zones constructibles et les usages autorisés.</w:t>
            </w:r>
          </w:p>
        </w:tc>
        <w:tc>
          <w:tcPr>
            <w:tcW w:w="3006" w:type="dxa"/>
            <w:shd w:val="clear" w:color="auto" w:fill="F3F4F1"/>
            <w:tcMar>
              <w:top w:w="100" w:type="dxa"/>
              <w:left w:w="140" w:type="dxa"/>
              <w:bottom w:w="100" w:type="dxa"/>
              <w:right w:w="160" w:type="dxa"/>
            </w:tcMar>
          </w:tcPr>
          <w:p w14:paraId="0539625C" w14:textId="77777777" w:rsidR="003A2F1D" w:rsidRDefault="004F738C">
            <w:pPr>
              <w:spacing w:line="235" w:lineRule="auto"/>
              <w:jc w:val="both"/>
            </w:pPr>
            <w:r>
              <w:rPr>
                <w:rFonts w:ascii="Calibri" w:eastAsia="Calibri" w:hAnsi="Calibri" w:cs="Calibri"/>
                <w:b/>
                <w:bCs/>
                <w:color w:val="1E5B2A"/>
                <w:sz w:val="14"/>
                <w:szCs w:val="14"/>
              </w:rPr>
              <w:t>Personne ne relie l'usage réel d'une parcelle à sa valeur locative supposée.</w:t>
            </w:r>
          </w:p>
        </w:tc>
      </w:tr>
      <w:tr w:rsidR="003A2F1D" w14:paraId="4794F836" w14:textId="77777777">
        <w:trPr>
          <w:cantSplit/>
        </w:trPr>
        <w:tc>
          <w:tcPr>
            <w:tcW w:w="3200" w:type="dxa"/>
            <w:shd w:val="clear" w:color="auto" w:fill="FFFFFF"/>
            <w:tcMar>
              <w:top w:w="100" w:type="dxa"/>
              <w:left w:w="160" w:type="dxa"/>
              <w:bottom w:w="100" w:type="dxa"/>
              <w:right w:w="120" w:type="dxa"/>
            </w:tcMar>
          </w:tcPr>
          <w:p w14:paraId="7584BF68" w14:textId="77777777" w:rsidR="003A2F1D" w:rsidRDefault="004F738C">
            <w:r>
              <w:rPr>
                <w:rFonts w:ascii="Calibri" w:eastAsia="Calibri" w:hAnsi="Calibri" w:cs="Calibri"/>
                <w:b/>
                <w:bCs/>
                <w:color w:val="1E5B2A"/>
                <w:sz w:val="15"/>
                <w:szCs w:val="15"/>
              </w:rPr>
              <w:t>La Direction générale des impôts</w:t>
            </w:r>
          </w:p>
        </w:tc>
        <w:tc>
          <w:tcPr>
            <w:tcW w:w="4000" w:type="dxa"/>
            <w:shd w:val="clear" w:color="auto" w:fill="FFFFFF"/>
            <w:tcMar>
              <w:top w:w="100" w:type="dxa"/>
              <w:left w:w="140" w:type="dxa"/>
              <w:bottom w:w="100" w:type="dxa"/>
              <w:right w:w="140" w:type="dxa"/>
            </w:tcMar>
          </w:tcPr>
          <w:p w14:paraId="00AFFBE9" w14:textId="77777777" w:rsidR="003A2F1D" w:rsidRDefault="004F738C">
            <w:pPr>
              <w:spacing w:line="235" w:lineRule="auto"/>
              <w:jc w:val="both"/>
            </w:pPr>
            <w:r>
              <w:rPr>
                <w:rFonts w:ascii="Calibri" w:eastAsia="Calibri" w:hAnsi="Calibri" w:cs="Calibri"/>
                <w:color w:val="2B2B2B"/>
                <w:sz w:val="14"/>
                <w:szCs w:val="14"/>
              </w:rPr>
              <w:t>Le fichier des redevables, les déclarations reçues, les paiements encaissés.</w:t>
            </w:r>
          </w:p>
        </w:tc>
        <w:tc>
          <w:tcPr>
            <w:tcW w:w="3006" w:type="dxa"/>
            <w:shd w:val="clear" w:color="auto" w:fill="FFFFFF"/>
            <w:tcMar>
              <w:top w:w="100" w:type="dxa"/>
              <w:left w:w="140" w:type="dxa"/>
              <w:bottom w:w="100" w:type="dxa"/>
              <w:right w:w="160" w:type="dxa"/>
            </w:tcMar>
          </w:tcPr>
          <w:p w14:paraId="7A5FC852" w14:textId="77777777" w:rsidR="003A2F1D" w:rsidRDefault="004F738C">
            <w:pPr>
              <w:spacing w:line="235" w:lineRule="auto"/>
              <w:jc w:val="both"/>
            </w:pPr>
            <w:r>
              <w:rPr>
                <w:rFonts w:ascii="Calibri" w:eastAsia="Calibri" w:hAnsi="Calibri" w:cs="Calibri"/>
                <w:b/>
                <w:bCs/>
                <w:color w:val="1E5B2A"/>
                <w:sz w:val="14"/>
                <w:szCs w:val="14"/>
              </w:rPr>
              <w:t>Elle ne dispose pas de la carte qui lui dirait quels biens existent et qui ne s'est pas déclaré.</w:t>
            </w:r>
          </w:p>
        </w:tc>
      </w:tr>
      <w:tr w:rsidR="003A2F1D" w14:paraId="2F1923EB" w14:textId="77777777">
        <w:trPr>
          <w:cantSplit/>
        </w:trPr>
        <w:tc>
          <w:tcPr>
            <w:tcW w:w="3200" w:type="dxa"/>
            <w:shd w:val="clear" w:color="auto" w:fill="F3F4F1"/>
            <w:tcMar>
              <w:top w:w="100" w:type="dxa"/>
              <w:left w:w="160" w:type="dxa"/>
              <w:bottom w:w="100" w:type="dxa"/>
              <w:right w:w="120" w:type="dxa"/>
            </w:tcMar>
          </w:tcPr>
          <w:p w14:paraId="39030FC0" w14:textId="77777777" w:rsidR="003A2F1D" w:rsidRDefault="004F738C">
            <w:r>
              <w:rPr>
                <w:rFonts w:ascii="Calibri" w:eastAsia="Calibri" w:hAnsi="Calibri" w:cs="Calibri"/>
                <w:b/>
                <w:bCs/>
                <w:color w:val="1E5B2A"/>
                <w:sz w:val="15"/>
                <w:szCs w:val="15"/>
              </w:rPr>
              <w:t>Les communes</w:t>
            </w:r>
          </w:p>
        </w:tc>
        <w:tc>
          <w:tcPr>
            <w:tcW w:w="4000" w:type="dxa"/>
            <w:shd w:val="clear" w:color="auto" w:fill="F3F4F1"/>
            <w:tcMar>
              <w:top w:w="100" w:type="dxa"/>
              <w:left w:w="140" w:type="dxa"/>
              <w:bottom w:w="100" w:type="dxa"/>
              <w:right w:w="140" w:type="dxa"/>
            </w:tcMar>
          </w:tcPr>
          <w:p w14:paraId="45801450" w14:textId="77777777" w:rsidR="003A2F1D" w:rsidRDefault="004F738C">
            <w:pPr>
              <w:spacing w:line="235" w:lineRule="auto"/>
              <w:jc w:val="both"/>
            </w:pPr>
            <w:r>
              <w:rPr>
                <w:rFonts w:ascii="Calibri" w:eastAsia="Calibri" w:hAnsi="Calibri" w:cs="Calibri"/>
                <w:color w:val="2B2B2B"/>
                <w:sz w:val="14"/>
                <w:szCs w:val="14"/>
              </w:rPr>
              <w:t>La connaissance du terrain, les chefs de quartier, la réalité de l'occupation.</w:t>
            </w:r>
          </w:p>
        </w:tc>
        <w:tc>
          <w:tcPr>
            <w:tcW w:w="3006" w:type="dxa"/>
            <w:shd w:val="clear" w:color="auto" w:fill="F3F4F1"/>
            <w:tcMar>
              <w:top w:w="100" w:type="dxa"/>
              <w:left w:w="140" w:type="dxa"/>
              <w:bottom w:w="100" w:type="dxa"/>
              <w:right w:w="160" w:type="dxa"/>
            </w:tcMar>
          </w:tcPr>
          <w:p w14:paraId="5D98198D" w14:textId="77777777" w:rsidR="003A2F1D" w:rsidRDefault="004F738C">
            <w:pPr>
              <w:spacing w:line="235" w:lineRule="auto"/>
              <w:jc w:val="both"/>
            </w:pPr>
            <w:r>
              <w:rPr>
                <w:rFonts w:ascii="Calibri" w:eastAsia="Calibri" w:hAnsi="Calibri" w:cs="Calibri"/>
                <w:b/>
                <w:bCs/>
                <w:color w:val="1E5B2A"/>
                <w:sz w:val="14"/>
                <w:szCs w:val="14"/>
              </w:rPr>
              <w:t>Elles reçoivent le produit de l'impôt sans participer à son établissement ni à son contrôle.</w:t>
            </w:r>
          </w:p>
        </w:tc>
      </w:tr>
    </w:tbl>
    <w:p w14:paraId="7283C536" w14:textId="77777777" w:rsidR="003A2F1D" w:rsidRDefault="004F738C">
      <w:pPr>
        <w:spacing w:before="60" w:after="160"/>
        <w:jc w:val="center"/>
      </w:pPr>
      <w:r>
        <w:rPr>
          <w:rFonts w:ascii="Calibri" w:eastAsia="Calibri" w:hAnsi="Calibri" w:cs="Calibri"/>
          <w:i/>
          <w:iCs/>
          <w:color w:val="4E9A44"/>
          <w:sz w:val="14"/>
          <w:szCs w:val="14"/>
        </w:rPr>
        <w:t>Figure 3. Quatre acteurs, quatre fichiers, et ce qui ne circule pas entre eux.</w:t>
      </w:r>
    </w:p>
    <w:p w14:paraId="44319676" w14:textId="77777777" w:rsidR="003A2F1D" w:rsidRDefault="003A2F1D">
      <w:pPr>
        <w:spacing w:before="180" w:after="120"/>
      </w:pPr>
    </w:p>
    <w:tbl>
      <w:tblPr>
        <w:tblW w:w="10206" w:type="dxa"/>
        <w:tblBorders>
          <w:top w:val="none" w:sz="0" w:space="0" w:color="FFFFFF"/>
          <w:left w:val="none" w:sz="0" w:space="0" w:color="FFFFFF"/>
          <w:bottom w:val="single" w:sz="12" w:space="0" w:color="7DBE6B"/>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60"/>
        <w:gridCol w:w="6246"/>
      </w:tblGrid>
      <w:tr w:rsidR="003A2F1D" w14:paraId="0FC58C4A" w14:textId="77777777">
        <w:trPr>
          <w:cantSplit/>
        </w:trPr>
        <w:tc>
          <w:tcPr>
            <w:tcW w:w="10206" w:type="dxa"/>
            <w:gridSpan w:val="2"/>
            <w:shd w:val="clear" w:color="auto" w:fill="1E5B2A"/>
            <w:tcMar>
              <w:top w:w="100" w:type="dxa"/>
              <w:left w:w="180" w:type="dxa"/>
              <w:bottom w:w="100" w:type="dxa"/>
              <w:right w:w="160" w:type="dxa"/>
            </w:tcMar>
            <w:vAlign w:val="center"/>
          </w:tcPr>
          <w:p w14:paraId="3D6611CC" w14:textId="77777777" w:rsidR="003A2F1D" w:rsidRDefault="004F738C">
            <w:r>
              <w:rPr>
                <w:rFonts w:ascii="Calibri" w:eastAsia="Calibri" w:hAnsi="Calibri" w:cs="Calibri"/>
                <w:b/>
                <w:bCs/>
                <w:color w:val="FFFFFF"/>
                <w:spacing w:val="18"/>
                <w:sz w:val="16"/>
                <w:szCs w:val="16"/>
              </w:rPr>
              <w:t>CE QUE RAPPORTE LA CFU, ET CE QU'ELLE DEVRAIT RAPPORTER</w:t>
            </w:r>
            <w:r>
              <w:rPr>
                <w:rFonts w:ascii="Calibri" w:eastAsia="Calibri" w:hAnsi="Calibri" w:cs="Calibri"/>
                <w:color w:val="CFE5C2"/>
                <w:sz w:val="14"/>
                <w:szCs w:val="14"/>
              </w:rPr>
              <w:t xml:space="preserve">   en milliards de francs par an</w:t>
            </w:r>
          </w:p>
        </w:tc>
      </w:tr>
      <w:tr w:rsidR="003A2F1D" w14:paraId="767F99DF" w14:textId="77777777">
        <w:trPr>
          <w:cantSplit/>
        </w:trPr>
        <w:tc>
          <w:tcPr>
            <w:tcW w:w="4000" w:type="dxa"/>
            <w:shd w:val="clear" w:color="auto" w:fill="FFFFFF"/>
            <w:tcMar>
              <w:top w:w="80" w:type="dxa"/>
              <w:left w:w="20" w:type="dxa"/>
              <w:bottom w:w="80" w:type="dxa"/>
              <w:right w:w="140" w:type="dxa"/>
            </w:tcMar>
            <w:vAlign w:val="center"/>
          </w:tcPr>
          <w:p w14:paraId="28A3A9CF" w14:textId="77777777" w:rsidR="003A2F1D" w:rsidRDefault="004F738C">
            <w:r>
              <w:rPr>
                <w:rFonts w:ascii="Calibri" w:eastAsia="Calibri" w:hAnsi="Calibri" w:cs="Calibri"/>
                <w:color w:val="2B2B2B"/>
                <w:sz w:val="16"/>
                <w:szCs w:val="16"/>
              </w:rPr>
              <w:t>Collecté aujourd'hui</w:t>
            </w:r>
          </w:p>
        </w:tc>
        <w:tc>
          <w:tcPr>
            <w:tcW w:w="6206" w:type="dxa"/>
            <w:shd w:val="clear" w:color="auto" w:fill="FFFFFF"/>
            <w:tcMar>
              <w:top w:w="80" w:type="dxa"/>
              <w:left w:w="0" w:type="dxa"/>
              <w:bottom w:w="80" w:type="dxa"/>
              <w:right w:w="40" w:type="dxa"/>
            </w:tcMar>
            <w:vAlign w:val="center"/>
          </w:tcPr>
          <w:tbl>
            <w:tblPr>
              <w:tblW w:w="6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8"/>
              <w:gridCol w:w="3648"/>
              <w:gridCol w:w="700"/>
            </w:tblGrid>
            <w:tr w:rsidR="003A2F1D" w14:paraId="7044D6C7" w14:textId="77777777">
              <w:trPr>
                <w:cantSplit/>
              </w:trPr>
              <w:tc>
                <w:tcPr>
                  <w:tcW w:w="1858" w:type="dxa"/>
                  <w:shd w:val="clear" w:color="auto" w:fill="1E5B2A"/>
                  <w:tcMar>
                    <w:top w:w="65" w:type="dxa"/>
                    <w:left w:w="0" w:type="dxa"/>
                    <w:bottom w:w="65" w:type="dxa"/>
                    <w:right w:w="0" w:type="dxa"/>
                  </w:tcMar>
                  <w:vAlign w:val="center"/>
                </w:tcPr>
                <w:p w14:paraId="29B62325" w14:textId="77777777" w:rsidR="003A2F1D" w:rsidRDefault="003A2F1D"/>
              </w:tc>
              <w:tc>
                <w:tcPr>
                  <w:tcW w:w="3648" w:type="dxa"/>
                  <w:shd w:val="clear" w:color="auto" w:fill="E2E6DF"/>
                  <w:tcMar>
                    <w:top w:w="65" w:type="dxa"/>
                    <w:left w:w="0" w:type="dxa"/>
                    <w:bottom w:w="65" w:type="dxa"/>
                    <w:right w:w="0" w:type="dxa"/>
                  </w:tcMar>
                  <w:vAlign w:val="center"/>
                </w:tcPr>
                <w:p w14:paraId="4B6F1E14" w14:textId="77777777" w:rsidR="003A2F1D" w:rsidRDefault="003A2F1D"/>
              </w:tc>
              <w:tc>
                <w:tcPr>
                  <w:tcW w:w="700" w:type="dxa"/>
                  <w:tcMar>
                    <w:top w:w="0" w:type="dxa"/>
                    <w:left w:w="120" w:type="dxa"/>
                    <w:bottom w:w="0" w:type="dxa"/>
                    <w:right w:w="0" w:type="dxa"/>
                  </w:tcMar>
                  <w:vAlign w:val="center"/>
                </w:tcPr>
                <w:p w14:paraId="00E1C4BA" w14:textId="77777777" w:rsidR="003A2F1D" w:rsidRDefault="004F738C">
                  <w:r>
                    <w:rPr>
                      <w:rFonts w:ascii="Calibri" w:eastAsia="Calibri" w:hAnsi="Calibri" w:cs="Calibri"/>
                      <w:b/>
                      <w:bCs/>
                      <w:color w:val="1E5B2A"/>
                      <w:sz w:val="16"/>
                      <w:szCs w:val="16"/>
                    </w:rPr>
                    <w:t>13 à 14</w:t>
                  </w:r>
                </w:p>
              </w:tc>
            </w:tr>
          </w:tbl>
          <w:p w14:paraId="1BF08DE0" w14:textId="77777777" w:rsidR="003A2F1D" w:rsidRDefault="003A2F1D"/>
        </w:tc>
      </w:tr>
      <w:tr w:rsidR="003A2F1D" w14:paraId="6A226787" w14:textId="77777777">
        <w:trPr>
          <w:cantSplit/>
        </w:trPr>
        <w:tc>
          <w:tcPr>
            <w:tcW w:w="4000" w:type="dxa"/>
            <w:shd w:val="clear" w:color="auto" w:fill="FFFFFF"/>
            <w:tcMar>
              <w:top w:w="80" w:type="dxa"/>
              <w:left w:w="20" w:type="dxa"/>
              <w:bottom w:w="80" w:type="dxa"/>
              <w:right w:w="140" w:type="dxa"/>
            </w:tcMar>
            <w:vAlign w:val="center"/>
          </w:tcPr>
          <w:p w14:paraId="183EF581" w14:textId="77777777" w:rsidR="003A2F1D" w:rsidRDefault="004F738C">
            <w:r>
              <w:rPr>
                <w:rFonts w:ascii="Calibri" w:eastAsia="Calibri" w:hAnsi="Calibri" w:cs="Calibri"/>
                <w:color w:val="2B2B2B"/>
                <w:sz w:val="16"/>
                <w:szCs w:val="16"/>
              </w:rPr>
              <w:t>Objectif annoncé par l'administration</w:t>
            </w:r>
          </w:p>
        </w:tc>
        <w:tc>
          <w:tcPr>
            <w:tcW w:w="6206" w:type="dxa"/>
            <w:shd w:val="clear" w:color="auto" w:fill="FFFFFF"/>
            <w:tcMar>
              <w:top w:w="80" w:type="dxa"/>
              <w:left w:w="0" w:type="dxa"/>
              <w:bottom w:w="80" w:type="dxa"/>
              <w:right w:w="40" w:type="dxa"/>
            </w:tcMar>
            <w:vAlign w:val="center"/>
          </w:tcPr>
          <w:tbl>
            <w:tblPr>
              <w:tblW w:w="6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18"/>
              <w:gridCol w:w="688"/>
              <w:gridCol w:w="700"/>
            </w:tblGrid>
            <w:tr w:rsidR="003A2F1D" w14:paraId="5B614ED5" w14:textId="77777777">
              <w:trPr>
                <w:cantSplit/>
              </w:trPr>
              <w:tc>
                <w:tcPr>
                  <w:tcW w:w="4818" w:type="dxa"/>
                  <w:shd w:val="clear" w:color="auto" w:fill="4E9A44"/>
                  <w:tcMar>
                    <w:top w:w="65" w:type="dxa"/>
                    <w:left w:w="0" w:type="dxa"/>
                    <w:bottom w:w="65" w:type="dxa"/>
                    <w:right w:w="0" w:type="dxa"/>
                  </w:tcMar>
                  <w:vAlign w:val="center"/>
                </w:tcPr>
                <w:p w14:paraId="425D0225" w14:textId="77777777" w:rsidR="003A2F1D" w:rsidRDefault="003A2F1D"/>
              </w:tc>
              <w:tc>
                <w:tcPr>
                  <w:tcW w:w="688" w:type="dxa"/>
                  <w:shd w:val="clear" w:color="auto" w:fill="E2E6DF"/>
                  <w:tcMar>
                    <w:top w:w="65" w:type="dxa"/>
                    <w:left w:w="0" w:type="dxa"/>
                    <w:bottom w:w="65" w:type="dxa"/>
                    <w:right w:w="0" w:type="dxa"/>
                  </w:tcMar>
                  <w:vAlign w:val="center"/>
                </w:tcPr>
                <w:p w14:paraId="05282CB2" w14:textId="77777777" w:rsidR="003A2F1D" w:rsidRDefault="003A2F1D"/>
              </w:tc>
              <w:tc>
                <w:tcPr>
                  <w:tcW w:w="700" w:type="dxa"/>
                  <w:tcMar>
                    <w:top w:w="0" w:type="dxa"/>
                    <w:left w:w="120" w:type="dxa"/>
                    <w:bottom w:w="0" w:type="dxa"/>
                    <w:right w:w="0" w:type="dxa"/>
                  </w:tcMar>
                  <w:vAlign w:val="center"/>
                </w:tcPr>
                <w:p w14:paraId="714767AD" w14:textId="77777777" w:rsidR="003A2F1D" w:rsidRDefault="004F738C">
                  <w:r>
                    <w:rPr>
                      <w:rFonts w:ascii="Calibri" w:eastAsia="Calibri" w:hAnsi="Calibri" w:cs="Calibri"/>
                      <w:b/>
                      <w:bCs/>
                      <w:color w:val="1E5B2A"/>
                      <w:sz w:val="16"/>
                      <w:szCs w:val="16"/>
                    </w:rPr>
                    <w:t>30 à 40</w:t>
                  </w:r>
                </w:p>
              </w:tc>
            </w:tr>
          </w:tbl>
          <w:p w14:paraId="3F1A2C4D" w14:textId="77777777" w:rsidR="003A2F1D" w:rsidRDefault="003A2F1D"/>
        </w:tc>
      </w:tr>
    </w:tbl>
    <w:p w14:paraId="44EA92EA" w14:textId="77777777" w:rsidR="003A2F1D" w:rsidRDefault="004F738C">
      <w:pPr>
        <w:spacing w:before="60" w:after="160"/>
        <w:jc w:val="center"/>
      </w:pPr>
      <w:r>
        <w:rPr>
          <w:rFonts w:ascii="Calibri" w:eastAsia="Calibri" w:hAnsi="Calibri" w:cs="Calibri"/>
          <w:i/>
          <w:iCs/>
          <w:color w:val="4E9A44"/>
          <w:sz w:val="14"/>
          <w:szCs w:val="14"/>
        </w:rPr>
        <w:t>Figure 4. L'écart entre le rendement actuel et l'objectif affiché.</w:t>
      </w:r>
    </w:p>
    <w:p w14:paraId="7612F1EC" w14:textId="77777777" w:rsidR="003A2F1D" w:rsidRDefault="003A2F1D">
      <w:pPr>
        <w:spacing w:before="160"/>
      </w:pPr>
    </w:p>
    <w:tbl>
      <w:tblPr>
        <w:tblW w:w="10206" w:type="dxa"/>
        <w:tblBorders>
          <w:top w:val="none" w:sz="0" w:space="0" w:color="FFFFFF"/>
          <w:left w:val="single" w:sz="24" w:space="0" w:color="4E9A44"/>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206"/>
      </w:tblGrid>
      <w:tr w:rsidR="003A2F1D" w14:paraId="6E1333CC" w14:textId="77777777">
        <w:trPr>
          <w:cantSplit/>
        </w:trPr>
        <w:tc>
          <w:tcPr>
            <w:tcW w:w="10206" w:type="dxa"/>
            <w:shd w:val="clear" w:color="auto" w:fill="EDF5E7"/>
            <w:tcMar>
              <w:top w:w="180" w:type="dxa"/>
              <w:left w:w="240" w:type="dxa"/>
              <w:bottom w:w="180" w:type="dxa"/>
              <w:right w:w="240" w:type="dxa"/>
            </w:tcMar>
          </w:tcPr>
          <w:p w14:paraId="4FD7DF8C" w14:textId="77777777" w:rsidR="003A2F1D" w:rsidRDefault="004F738C">
            <w:pPr>
              <w:spacing w:after="60" w:line="280" w:lineRule="auto"/>
            </w:pPr>
            <w:r>
              <w:rPr>
                <w:rFonts w:ascii="Cambria" w:eastAsia="Cambria" w:hAnsi="Cambria" w:cs="Cambria"/>
                <w:b/>
                <w:bCs/>
                <w:i/>
                <w:iCs/>
                <w:color w:val="1E5B2A"/>
                <w:sz w:val="25"/>
                <w:szCs w:val="25"/>
              </w:rPr>
              <w:t>« On demande de payer un impôt attaché au titre foncier à des gens à qui l'État n'arrive pas à délivrer ce titre. »</w:t>
            </w:r>
          </w:p>
          <w:p w14:paraId="27A7DE98" w14:textId="77777777" w:rsidR="003A2F1D" w:rsidRDefault="004F738C">
            <w:r>
              <w:rPr>
                <w:rFonts w:ascii="Calibri" w:eastAsia="Calibri" w:hAnsi="Calibri" w:cs="Calibri"/>
                <w:color w:val="5A5A5A"/>
                <w:sz w:val="16"/>
                <w:szCs w:val="16"/>
              </w:rPr>
              <w:t>Le citoyen qui engage une procédure de régularisation paie pour entrer dans une catégorie fiscale. Celui qui ne fait rien reste hors du champ. L'incitation joue à l'envers.</w:t>
            </w:r>
          </w:p>
        </w:tc>
      </w:tr>
    </w:tbl>
    <w:p w14:paraId="71B71D5B" w14:textId="77777777" w:rsidR="003A2F1D" w:rsidRDefault="003A2F1D">
      <w:pPr>
        <w:spacing w:before="180" w:after="120"/>
      </w:pPr>
    </w:p>
    <w:tbl>
      <w:tblPr>
        <w:tblW w:w="10206" w:type="dxa"/>
        <w:tblBorders>
          <w:top w:val="none" w:sz="0" w:space="0" w:color="FFFFFF"/>
          <w:left w:val="none" w:sz="0" w:space="0" w:color="FFFFFF"/>
          <w:bottom w:val="none" w:sz="0" w:space="0" w:color="FFFFFF"/>
          <w:right w:val="none" w:sz="0" w:space="0" w:color="FFFFFF"/>
          <w:insideH w:val="single" w:sz="10" w:space="0" w:color="FFFFFF"/>
          <w:insideV w:val="none" w:sz="0" w:space="0" w:color="FFFFFF"/>
        </w:tblBorders>
        <w:tblCellMar>
          <w:left w:w="10" w:type="dxa"/>
          <w:right w:w="10" w:type="dxa"/>
        </w:tblCellMar>
        <w:tblLook w:val="0000" w:firstRow="0" w:lastRow="0" w:firstColumn="0" w:lastColumn="0" w:noHBand="0" w:noVBand="0"/>
      </w:tblPr>
      <w:tblGrid>
        <w:gridCol w:w="720"/>
        <w:gridCol w:w="9486"/>
      </w:tblGrid>
      <w:tr w:rsidR="003A2F1D" w14:paraId="01D4B2BB" w14:textId="77777777">
        <w:trPr>
          <w:cantSplit/>
        </w:trPr>
        <w:tc>
          <w:tcPr>
            <w:tcW w:w="10206" w:type="dxa"/>
            <w:gridSpan w:val="2"/>
            <w:shd w:val="clear" w:color="auto" w:fill="1E5B2A"/>
            <w:tcMar>
              <w:top w:w="120" w:type="dxa"/>
              <w:left w:w="180" w:type="dxa"/>
              <w:bottom w:w="120" w:type="dxa"/>
              <w:right w:w="180" w:type="dxa"/>
            </w:tcMar>
            <w:vAlign w:val="center"/>
          </w:tcPr>
          <w:p w14:paraId="18EE1CD4" w14:textId="77777777" w:rsidR="003A2F1D" w:rsidRDefault="004F738C">
            <w:r>
              <w:rPr>
                <w:rFonts w:ascii="Calibri" w:eastAsia="Calibri" w:hAnsi="Calibri" w:cs="Calibri"/>
                <w:b/>
                <w:bCs/>
                <w:color w:val="FFFFFF"/>
                <w:spacing w:val="18"/>
                <w:sz w:val="17"/>
                <w:szCs w:val="17"/>
              </w:rPr>
              <w:t>SEPT MESURES POUR QUE LA CFU DEVIENNE UN VRAI IMPÔT LOCAL</w:t>
            </w:r>
          </w:p>
        </w:tc>
      </w:tr>
      <w:tr w:rsidR="003A2F1D" w14:paraId="3AAF9BF9" w14:textId="77777777">
        <w:trPr>
          <w:cantSplit/>
        </w:trPr>
        <w:tc>
          <w:tcPr>
            <w:tcW w:w="720" w:type="dxa"/>
            <w:shd w:val="clear" w:color="auto" w:fill="4E9A44"/>
            <w:tcMar>
              <w:top w:w="120" w:type="dxa"/>
              <w:left w:w="40" w:type="dxa"/>
              <w:bottom w:w="120" w:type="dxa"/>
              <w:right w:w="40" w:type="dxa"/>
            </w:tcMar>
            <w:vAlign w:val="center"/>
          </w:tcPr>
          <w:p w14:paraId="57D96EDF" w14:textId="77777777" w:rsidR="003A2F1D" w:rsidRDefault="004F738C">
            <w:pPr>
              <w:jc w:val="center"/>
            </w:pPr>
            <w:r>
              <w:rPr>
                <w:rFonts w:ascii="Calibri" w:eastAsia="Calibri" w:hAnsi="Calibri" w:cs="Calibri"/>
                <w:b/>
                <w:bCs/>
                <w:color w:val="FFFFFF"/>
                <w:sz w:val="30"/>
                <w:szCs w:val="30"/>
              </w:rPr>
              <w:t>1</w:t>
            </w:r>
          </w:p>
        </w:tc>
        <w:tc>
          <w:tcPr>
            <w:tcW w:w="9486" w:type="dxa"/>
            <w:shd w:val="clear" w:color="auto" w:fill="F3F4F1"/>
            <w:tcMar>
              <w:top w:w="120" w:type="dxa"/>
              <w:left w:w="180" w:type="dxa"/>
              <w:bottom w:w="120" w:type="dxa"/>
              <w:right w:w="180" w:type="dxa"/>
            </w:tcMar>
          </w:tcPr>
          <w:p w14:paraId="4B7F5108" w14:textId="77777777" w:rsidR="003A2F1D" w:rsidRDefault="004F738C">
            <w:pPr>
              <w:spacing w:after="40"/>
            </w:pPr>
            <w:r>
              <w:rPr>
                <w:rFonts w:ascii="Calibri" w:eastAsia="Calibri" w:hAnsi="Calibri" w:cs="Calibri"/>
                <w:b/>
                <w:bCs/>
                <w:color w:val="1E5B2A"/>
                <w:sz w:val="18"/>
                <w:szCs w:val="18"/>
              </w:rPr>
              <w:t>Construire un identifiant unique de parcelle, partagé par toutes les administrations</w:t>
            </w:r>
          </w:p>
          <w:p w14:paraId="6E547F96" w14:textId="77777777" w:rsidR="003A2F1D" w:rsidRDefault="004F738C">
            <w:pPr>
              <w:jc w:val="both"/>
            </w:pPr>
            <w:r>
              <w:rPr>
                <w:rFonts w:ascii="Cambria" w:eastAsia="Cambria" w:hAnsi="Cambria" w:cs="Cambria"/>
                <w:color w:val="2B2B2B"/>
                <w:sz w:val="18"/>
                <w:szCs w:val="18"/>
              </w:rPr>
              <w:t>C'est le préalable technique à tout le reste. Chaque parcelle reçoit un numéro non signifiant, stable, indépendant du nom du propriétaire et du libellé de la rue. Le cadastre, l'urbanisme, les impôts et la commune désignent le même objet par le même code. Sans cet identifiant, chaque service constitue son propre fichier, et les données ne se croisent jamais.</w:t>
            </w:r>
          </w:p>
        </w:tc>
      </w:tr>
      <w:tr w:rsidR="003A2F1D" w14:paraId="58F91145" w14:textId="77777777">
        <w:trPr>
          <w:cantSplit/>
        </w:trPr>
        <w:tc>
          <w:tcPr>
            <w:tcW w:w="720" w:type="dxa"/>
            <w:shd w:val="clear" w:color="auto" w:fill="4E9A44"/>
            <w:tcMar>
              <w:top w:w="120" w:type="dxa"/>
              <w:left w:w="40" w:type="dxa"/>
              <w:bottom w:w="120" w:type="dxa"/>
              <w:right w:w="40" w:type="dxa"/>
            </w:tcMar>
            <w:vAlign w:val="center"/>
          </w:tcPr>
          <w:p w14:paraId="7DFF6A4F" w14:textId="77777777" w:rsidR="003A2F1D" w:rsidRDefault="004F738C">
            <w:pPr>
              <w:jc w:val="center"/>
            </w:pPr>
            <w:r>
              <w:rPr>
                <w:rFonts w:ascii="Calibri" w:eastAsia="Calibri" w:hAnsi="Calibri" w:cs="Calibri"/>
                <w:b/>
                <w:bCs/>
                <w:color w:val="FFFFFF"/>
                <w:sz w:val="30"/>
                <w:szCs w:val="30"/>
              </w:rPr>
              <w:t>2</w:t>
            </w:r>
          </w:p>
        </w:tc>
        <w:tc>
          <w:tcPr>
            <w:tcW w:w="9486" w:type="dxa"/>
            <w:shd w:val="clear" w:color="auto" w:fill="F3F4F1"/>
            <w:tcMar>
              <w:top w:w="120" w:type="dxa"/>
              <w:left w:w="180" w:type="dxa"/>
              <w:bottom w:w="120" w:type="dxa"/>
              <w:right w:w="180" w:type="dxa"/>
            </w:tcMar>
          </w:tcPr>
          <w:p w14:paraId="4A9E4425" w14:textId="77777777" w:rsidR="003A2F1D" w:rsidRDefault="004F738C">
            <w:pPr>
              <w:spacing w:after="40"/>
            </w:pPr>
            <w:r>
              <w:rPr>
                <w:rFonts w:ascii="Calibri" w:eastAsia="Calibri" w:hAnsi="Calibri" w:cs="Calibri"/>
                <w:b/>
                <w:bCs/>
                <w:color w:val="1E5B2A"/>
                <w:sz w:val="18"/>
                <w:szCs w:val="18"/>
              </w:rPr>
              <w:t>Établir un registre fiscal foncier géolocalisé, distinct du registre des titres</w:t>
            </w:r>
          </w:p>
          <w:p w14:paraId="34A92B90" w14:textId="77777777" w:rsidR="003A2F1D" w:rsidRDefault="004F738C">
            <w:pPr>
              <w:jc w:val="both"/>
            </w:pPr>
            <w:r>
              <w:rPr>
                <w:rFonts w:ascii="Cambria" w:eastAsia="Cambria" w:hAnsi="Cambria" w:cs="Cambria"/>
                <w:color w:val="2B2B2B"/>
                <w:sz w:val="18"/>
                <w:szCs w:val="18"/>
              </w:rPr>
              <w:t>Confondre l'assiette fiscale et la propriété juridique est l'erreur de départ. Un bien peut être taxé sans que la question de son titre soit tranchée, comme le font plusieurs pays de la sous-région. Le registre fiscal recense ce qui existe au sol, avec une géométrie, une adresse et un occupant identifié. Le registre des titres continue de dire qui est propriétaire. Les deux se parlent mais ne se confondent pas.</w:t>
            </w:r>
          </w:p>
        </w:tc>
      </w:tr>
      <w:tr w:rsidR="003A2F1D" w14:paraId="44E101D5" w14:textId="77777777">
        <w:trPr>
          <w:cantSplit/>
        </w:trPr>
        <w:tc>
          <w:tcPr>
            <w:tcW w:w="720" w:type="dxa"/>
            <w:shd w:val="clear" w:color="auto" w:fill="4E9A44"/>
            <w:tcMar>
              <w:top w:w="120" w:type="dxa"/>
              <w:left w:w="40" w:type="dxa"/>
              <w:bottom w:w="120" w:type="dxa"/>
              <w:right w:w="40" w:type="dxa"/>
            </w:tcMar>
            <w:vAlign w:val="center"/>
          </w:tcPr>
          <w:p w14:paraId="66187BBA" w14:textId="77777777" w:rsidR="003A2F1D" w:rsidRDefault="004F738C">
            <w:pPr>
              <w:jc w:val="center"/>
            </w:pPr>
            <w:r>
              <w:rPr>
                <w:rFonts w:ascii="Calibri" w:eastAsia="Calibri" w:hAnsi="Calibri" w:cs="Calibri"/>
                <w:b/>
                <w:bCs/>
                <w:color w:val="FFFFFF"/>
                <w:sz w:val="30"/>
                <w:szCs w:val="30"/>
              </w:rPr>
              <w:t>3</w:t>
            </w:r>
          </w:p>
        </w:tc>
        <w:tc>
          <w:tcPr>
            <w:tcW w:w="9486" w:type="dxa"/>
            <w:shd w:val="clear" w:color="auto" w:fill="F3F4F1"/>
            <w:tcMar>
              <w:top w:w="120" w:type="dxa"/>
              <w:left w:w="180" w:type="dxa"/>
              <w:bottom w:w="120" w:type="dxa"/>
              <w:right w:w="180" w:type="dxa"/>
            </w:tcMar>
          </w:tcPr>
          <w:p w14:paraId="544F6B7B" w14:textId="77777777" w:rsidR="003A2F1D" w:rsidRDefault="004F738C">
            <w:pPr>
              <w:spacing w:after="40"/>
            </w:pPr>
            <w:r>
              <w:rPr>
                <w:rFonts w:ascii="Calibri" w:eastAsia="Calibri" w:hAnsi="Calibri" w:cs="Calibri"/>
                <w:b/>
                <w:bCs/>
                <w:color w:val="1E5B2A"/>
                <w:sz w:val="18"/>
                <w:szCs w:val="18"/>
              </w:rPr>
              <w:t>Coupler la CFU à l'adressage</w:t>
            </w:r>
          </w:p>
          <w:p w14:paraId="05DB3085" w14:textId="77777777" w:rsidR="003A2F1D" w:rsidRDefault="004F738C">
            <w:pPr>
              <w:jc w:val="both"/>
            </w:pPr>
            <w:r>
              <w:rPr>
                <w:rFonts w:ascii="Cambria" w:eastAsia="Cambria" w:hAnsi="Cambria" w:cs="Cambria"/>
                <w:color w:val="2B2B2B"/>
                <w:sz w:val="18"/>
                <w:szCs w:val="18"/>
              </w:rPr>
              <w:t>Un impôt foncier suppose de pouvoir localiser le bien et joindre le redevable. Sans adresse normalisée, l'administration ne sait ni où envoyer l'avis d'imposition, ni comment retrouver la parcelle sur le terrain. L'opération d'adressage de Libreville, engagée depuis plus de dix ans et restée inachevée, n'est donc pas un chantier parallèle : elle conditionne le rendement de la CFU.</w:t>
            </w:r>
          </w:p>
        </w:tc>
      </w:tr>
      <w:tr w:rsidR="003A2F1D" w14:paraId="0D4950D6" w14:textId="77777777">
        <w:trPr>
          <w:cantSplit/>
        </w:trPr>
        <w:tc>
          <w:tcPr>
            <w:tcW w:w="720" w:type="dxa"/>
            <w:shd w:val="clear" w:color="auto" w:fill="4E9A44"/>
            <w:tcMar>
              <w:top w:w="120" w:type="dxa"/>
              <w:left w:w="40" w:type="dxa"/>
              <w:bottom w:w="120" w:type="dxa"/>
              <w:right w:w="40" w:type="dxa"/>
            </w:tcMar>
            <w:vAlign w:val="center"/>
          </w:tcPr>
          <w:p w14:paraId="071025F8" w14:textId="77777777" w:rsidR="003A2F1D" w:rsidRDefault="004F738C">
            <w:pPr>
              <w:jc w:val="center"/>
            </w:pPr>
            <w:r>
              <w:rPr>
                <w:rFonts w:ascii="Calibri" w:eastAsia="Calibri" w:hAnsi="Calibri" w:cs="Calibri"/>
                <w:b/>
                <w:bCs/>
                <w:color w:val="FFFFFF"/>
                <w:sz w:val="30"/>
                <w:szCs w:val="30"/>
              </w:rPr>
              <w:t>4</w:t>
            </w:r>
          </w:p>
        </w:tc>
        <w:tc>
          <w:tcPr>
            <w:tcW w:w="9486" w:type="dxa"/>
            <w:shd w:val="clear" w:color="auto" w:fill="F3F4F1"/>
            <w:tcMar>
              <w:top w:w="120" w:type="dxa"/>
              <w:left w:w="180" w:type="dxa"/>
              <w:bottom w:w="120" w:type="dxa"/>
              <w:right w:w="180" w:type="dxa"/>
            </w:tcMar>
          </w:tcPr>
          <w:p w14:paraId="118D498D" w14:textId="77777777" w:rsidR="003A2F1D" w:rsidRDefault="004F738C">
            <w:pPr>
              <w:spacing w:after="40"/>
            </w:pPr>
            <w:r>
              <w:rPr>
                <w:rFonts w:ascii="Calibri" w:eastAsia="Calibri" w:hAnsi="Calibri" w:cs="Calibri"/>
                <w:b/>
                <w:bCs/>
                <w:color w:val="1E5B2A"/>
                <w:sz w:val="18"/>
                <w:szCs w:val="18"/>
              </w:rPr>
              <w:t>Ouvrir une carte fiscale consultable par tous</w:t>
            </w:r>
          </w:p>
          <w:p w14:paraId="744B715F" w14:textId="77777777" w:rsidR="003A2F1D" w:rsidRDefault="004F738C">
            <w:pPr>
              <w:jc w:val="both"/>
            </w:pPr>
            <w:r>
              <w:rPr>
                <w:rFonts w:ascii="Cambria" w:eastAsia="Cambria" w:hAnsi="Cambria" w:cs="Cambria"/>
                <w:color w:val="2B2B2B"/>
                <w:sz w:val="18"/>
                <w:szCs w:val="18"/>
              </w:rPr>
              <w:t>Une carte en ligne montrant les parcelles recensées, leur état de régularisation, leur zone tarifaire et leur situation au regard de l'impôt. Chacun peut y vérifier sa propre situation et simuler sa taxation. Ce type d'outil existe déjà ailleurs sur le continent. Il produit un effet dont on parle peu : la transparence rend le voisinage attentif, et le contrôle social vaut souvent mieux qu'une brigade de contrôleurs.</w:t>
            </w:r>
          </w:p>
        </w:tc>
      </w:tr>
      <w:tr w:rsidR="003A2F1D" w14:paraId="2C7AAA90" w14:textId="77777777">
        <w:trPr>
          <w:cantSplit/>
        </w:trPr>
        <w:tc>
          <w:tcPr>
            <w:tcW w:w="720" w:type="dxa"/>
            <w:shd w:val="clear" w:color="auto" w:fill="4E9A44"/>
            <w:tcMar>
              <w:top w:w="120" w:type="dxa"/>
              <w:left w:w="40" w:type="dxa"/>
              <w:bottom w:w="120" w:type="dxa"/>
              <w:right w:w="40" w:type="dxa"/>
            </w:tcMar>
            <w:vAlign w:val="center"/>
          </w:tcPr>
          <w:p w14:paraId="50AED704" w14:textId="77777777" w:rsidR="003A2F1D" w:rsidRDefault="004F738C">
            <w:pPr>
              <w:jc w:val="center"/>
            </w:pPr>
            <w:r>
              <w:rPr>
                <w:rFonts w:ascii="Calibri" w:eastAsia="Calibri" w:hAnsi="Calibri" w:cs="Calibri"/>
                <w:b/>
                <w:bCs/>
                <w:color w:val="FFFFFF"/>
                <w:sz w:val="30"/>
                <w:szCs w:val="30"/>
              </w:rPr>
              <w:t>5</w:t>
            </w:r>
          </w:p>
        </w:tc>
        <w:tc>
          <w:tcPr>
            <w:tcW w:w="9486" w:type="dxa"/>
            <w:shd w:val="clear" w:color="auto" w:fill="F3F4F1"/>
            <w:tcMar>
              <w:top w:w="120" w:type="dxa"/>
              <w:left w:w="180" w:type="dxa"/>
              <w:bottom w:w="120" w:type="dxa"/>
              <w:right w:w="180" w:type="dxa"/>
            </w:tcMar>
          </w:tcPr>
          <w:p w14:paraId="5E7B93E9" w14:textId="77777777" w:rsidR="003A2F1D" w:rsidRDefault="004F738C">
            <w:pPr>
              <w:spacing w:after="40"/>
            </w:pPr>
            <w:r>
              <w:rPr>
                <w:rFonts w:ascii="Calibri" w:eastAsia="Calibri" w:hAnsi="Calibri" w:cs="Calibri"/>
                <w:b/>
                <w:bCs/>
                <w:color w:val="1E5B2A"/>
                <w:sz w:val="18"/>
                <w:szCs w:val="18"/>
              </w:rPr>
              <w:t>Zoner la valeur plutôt que de l'estimer bien par bien</w:t>
            </w:r>
          </w:p>
          <w:p w14:paraId="45E63B38" w14:textId="77777777" w:rsidR="003A2F1D" w:rsidRDefault="004F738C">
            <w:pPr>
              <w:jc w:val="both"/>
            </w:pPr>
            <w:r>
              <w:rPr>
                <w:rFonts w:ascii="Cambria" w:eastAsia="Cambria" w:hAnsi="Cambria" w:cs="Cambria"/>
                <w:color w:val="2B2B2B"/>
                <w:sz w:val="18"/>
                <w:szCs w:val="18"/>
              </w:rPr>
              <w:t>Évaluer individuellement des dizaines de milliers de biens est hors de portée de l'administration actuelle. La méthode praticable consiste à découper la ville en zones homogènes, à affecter à chaque zone une valeur de référence au mètre carré, puis à ajuster selon quelques critères observables : surface bâtie, matériaux, desserte en voirie, raccordement aux réseaux. C'est moins précis qu'une expertise, c'est beaucoup plus juste qu'une absence d'imposition.</w:t>
            </w:r>
          </w:p>
        </w:tc>
      </w:tr>
      <w:tr w:rsidR="003A2F1D" w14:paraId="0991E8E6" w14:textId="77777777">
        <w:trPr>
          <w:cantSplit/>
        </w:trPr>
        <w:tc>
          <w:tcPr>
            <w:tcW w:w="720" w:type="dxa"/>
            <w:shd w:val="clear" w:color="auto" w:fill="4E9A44"/>
            <w:tcMar>
              <w:top w:w="120" w:type="dxa"/>
              <w:left w:w="40" w:type="dxa"/>
              <w:bottom w:w="120" w:type="dxa"/>
              <w:right w:w="40" w:type="dxa"/>
            </w:tcMar>
            <w:vAlign w:val="center"/>
          </w:tcPr>
          <w:p w14:paraId="78EE1A45" w14:textId="77777777" w:rsidR="003A2F1D" w:rsidRDefault="004F738C">
            <w:pPr>
              <w:jc w:val="center"/>
            </w:pPr>
            <w:r>
              <w:rPr>
                <w:rFonts w:ascii="Calibri" w:eastAsia="Calibri" w:hAnsi="Calibri" w:cs="Calibri"/>
                <w:b/>
                <w:bCs/>
                <w:color w:val="FFFFFF"/>
                <w:sz w:val="30"/>
                <w:szCs w:val="30"/>
              </w:rPr>
              <w:lastRenderedPageBreak/>
              <w:t>6</w:t>
            </w:r>
          </w:p>
        </w:tc>
        <w:tc>
          <w:tcPr>
            <w:tcW w:w="9486" w:type="dxa"/>
            <w:shd w:val="clear" w:color="auto" w:fill="F3F4F1"/>
            <w:tcMar>
              <w:top w:w="120" w:type="dxa"/>
              <w:left w:w="180" w:type="dxa"/>
              <w:bottom w:w="120" w:type="dxa"/>
              <w:right w:w="180" w:type="dxa"/>
            </w:tcMar>
          </w:tcPr>
          <w:p w14:paraId="6172BF9A" w14:textId="77777777" w:rsidR="003A2F1D" w:rsidRDefault="004F738C">
            <w:pPr>
              <w:spacing w:after="40"/>
            </w:pPr>
            <w:r>
              <w:rPr>
                <w:rFonts w:ascii="Calibri" w:eastAsia="Calibri" w:hAnsi="Calibri" w:cs="Calibri"/>
                <w:b/>
                <w:bCs/>
                <w:color w:val="1E5B2A"/>
                <w:sz w:val="18"/>
                <w:szCs w:val="18"/>
              </w:rPr>
              <w:t>Associer les communes à l'établissement de l'impôt, pas seulement à sa dépense</w:t>
            </w:r>
          </w:p>
          <w:p w14:paraId="0A2D5E93" w14:textId="77777777" w:rsidR="003A2F1D" w:rsidRDefault="004F738C">
            <w:pPr>
              <w:jc w:val="both"/>
            </w:pPr>
            <w:r>
              <w:rPr>
                <w:rFonts w:ascii="Cambria" w:eastAsia="Cambria" w:hAnsi="Cambria" w:cs="Cambria"/>
                <w:color w:val="2B2B2B"/>
                <w:sz w:val="18"/>
                <w:szCs w:val="18"/>
              </w:rPr>
              <w:t>Les communes reçoivent le produit de la CFU sans participer à son établissement. Or ce sont elles qui connaissent le terrain. Leur confier le recensement des biens, avec les chefs de quartier, et leur reverser une part liée au rendement changerait leur intérêt à la collecte. Un maire qui sait que chaque parcelle recensée finance sa voirie ne regarde pas l'impôt de la même manière.</w:t>
            </w:r>
          </w:p>
        </w:tc>
      </w:tr>
      <w:tr w:rsidR="003A2F1D" w14:paraId="0BC171E0" w14:textId="77777777">
        <w:trPr>
          <w:cantSplit/>
        </w:trPr>
        <w:tc>
          <w:tcPr>
            <w:tcW w:w="720" w:type="dxa"/>
            <w:shd w:val="clear" w:color="auto" w:fill="4E9A44"/>
            <w:tcMar>
              <w:top w:w="120" w:type="dxa"/>
              <w:left w:w="40" w:type="dxa"/>
              <w:bottom w:w="120" w:type="dxa"/>
              <w:right w:w="40" w:type="dxa"/>
            </w:tcMar>
            <w:vAlign w:val="center"/>
          </w:tcPr>
          <w:p w14:paraId="3DA07B93" w14:textId="77777777" w:rsidR="003A2F1D" w:rsidRDefault="004F738C">
            <w:pPr>
              <w:jc w:val="center"/>
            </w:pPr>
            <w:r>
              <w:rPr>
                <w:rFonts w:ascii="Calibri" w:eastAsia="Calibri" w:hAnsi="Calibri" w:cs="Calibri"/>
                <w:b/>
                <w:bCs/>
                <w:color w:val="FFFFFF"/>
                <w:sz w:val="30"/>
                <w:szCs w:val="30"/>
              </w:rPr>
              <w:t>7</w:t>
            </w:r>
          </w:p>
        </w:tc>
        <w:tc>
          <w:tcPr>
            <w:tcW w:w="9486" w:type="dxa"/>
            <w:shd w:val="clear" w:color="auto" w:fill="F3F4F1"/>
            <w:tcMar>
              <w:top w:w="120" w:type="dxa"/>
              <w:left w:w="180" w:type="dxa"/>
              <w:bottom w:w="120" w:type="dxa"/>
              <w:right w:w="180" w:type="dxa"/>
            </w:tcMar>
          </w:tcPr>
          <w:p w14:paraId="50B17CD6" w14:textId="77777777" w:rsidR="003A2F1D" w:rsidRDefault="004F738C">
            <w:pPr>
              <w:spacing w:after="40"/>
            </w:pPr>
            <w:r>
              <w:rPr>
                <w:rFonts w:ascii="Calibri" w:eastAsia="Calibri" w:hAnsi="Calibri" w:cs="Calibri"/>
                <w:b/>
                <w:bCs/>
                <w:color w:val="1E5B2A"/>
                <w:sz w:val="18"/>
                <w:szCs w:val="18"/>
              </w:rPr>
              <w:t>Débloquer la régularisation foncière en parallèle</w:t>
            </w:r>
          </w:p>
          <w:p w14:paraId="440EEDB1" w14:textId="77777777" w:rsidR="003A2F1D" w:rsidRDefault="004F738C">
            <w:pPr>
              <w:jc w:val="both"/>
            </w:pPr>
            <w:r>
              <w:rPr>
                <w:rFonts w:ascii="Cambria" w:eastAsia="Cambria" w:hAnsi="Cambria" w:cs="Cambria"/>
                <w:color w:val="2B2B2B"/>
                <w:sz w:val="18"/>
                <w:szCs w:val="18"/>
              </w:rPr>
              <w:t>Demander à un citoyen de payer un impôt lié au titre foncier tout en le laissant attendre des années son titre est intenable. La procédure actuelle compte près de vingt étapes pour un coût pouvant approcher 1,5 million de francs. Tant qu'elle ne sera pas simplifiée et son coût plafonné, l'assiette de la CFU restera ce qu'elle est : quelques milliers de titres dans un pays de deux millions d'habitants.</w:t>
            </w:r>
          </w:p>
        </w:tc>
      </w:tr>
    </w:tbl>
    <w:p w14:paraId="173A584C" w14:textId="77777777" w:rsidR="003A2F1D" w:rsidRDefault="003A2F1D">
      <w:pPr>
        <w:spacing w:before="180"/>
      </w:pPr>
    </w:p>
    <w:tbl>
      <w:tblPr>
        <w:tblW w:w="10206" w:type="dxa"/>
        <w:tblBorders>
          <w:top w:val="none" w:sz="0" w:space="0" w:color="FFFFFF"/>
          <w:left w:val="single" w:sz="24" w:space="0" w:color="1E5B2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206"/>
      </w:tblGrid>
      <w:tr w:rsidR="003A2F1D" w14:paraId="60283168" w14:textId="77777777">
        <w:trPr>
          <w:cantSplit/>
        </w:trPr>
        <w:tc>
          <w:tcPr>
            <w:tcW w:w="10206" w:type="dxa"/>
            <w:shd w:val="clear" w:color="auto" w:fill="F3F4F1"/>
            <w:tcMar>
              <w:top w:w="180" w:type="dxa"/>
              <w:left w:w="240" w:type="dxa"/>
              <w:bottom w:w="180" w:type="dxa"/>
              <w:right w:w="240" w:type="dxa"/>
            </w:tcMar>
          </w:tcPr>
          <w:p w14:paraId="345A1EBF" w14:textId="77777777" w:rsidR="003A2F1D" w:rsidRDefault="004F738C">
            <w:pPr>
              <w:spacing w:after="90"/>
            </w:pPr>
            <w:r>
              <w:rPr>
                <w:rFonts w:ascii="Calibri" w:eastAsia="Calibri" w:hAnsi="Calibri" w:cs="Calibri"/>
                <w:b/>
                <w:bCs/>
                <w:color w:val="1E5B2A"/>
                <w:spacing w:val="20"/>
                <w:sz w:val="16"/>
                <w:szCs w:val="16"/>
              </w:rPr>
              <w:t>MISE À JOUR : CE QUE LA LOI DE FINANCES 2026 A CHANGÉ</w:t>
            </w:r>
          </w:p>
          <w:p w14:paraId="005A55A4" w14:textId="77777777" w:rsidR="003A2F1D" w:rsidRDefault="004F738C">
            <w:pPr>
              <w:spacing w:after="80" w:line="250" w:lineRule="auto"/>
              <w:jc w:val="both"/>
            </w:pPr>
            <w:r>
              <w:rPr>
                <w:rFonts w:ascii="Calibri" w:eastAsia="Calibri" w:hAnsi="Calibri" w:cs="Calibri"/>
                <w:color w:val="2B2B2B"/>
                <w:sz w:val="17"/>
                <w:szCs w:val="17"/>
              </w:rPr>
              <w:t xml:space="preserve">Cet article a été écrit en avril 2025. Huit mois plus tard, la loi n° 041/2025 du 29 décembre 2025 est revenue sur le point de départ de ma réflexion. Ses articles 278, 279 et 284 nouveaux </w:t>
            </w:r>
            <w:r>
              <w:rPr>
                <w:rFonts w:ascii="Calibri" w:eastAsia="Calibri" w:hAnsi="Calibri" w:cs="Calibri"/>
                <w:b/>
                <w:bCs/>
                <w:color w:val="1E5B2A"/>
                <w:sz w:val="17"/>
                <w:szCs w:val="17"/>
              </w:rPr>
              <w:t>étendent de nouveau la CFU à toutes les propriétés bâties et non bâties du territoire, sans exigence d'immatriculation</w:t>
            </w:r>
            <w:r>
              <w:rPr>
                <w:rFonts w:ascii="Calibri" w:eastAsia="Calibri" w:hAnsi="Calibri" w:cs="Calibri"/>
                <w:color w:val="2B2B2B"/>
                <w:sz w:val="17"/>
                <w:szCs w:val="17"/>
              </w:rPr>
              <w:t>. Le taux de 3 % s'applique désormais à tous les biens détenus par des personnes physiques, et un taux unique de 15 % aux personnes morales.</w:t>
            </w:r>
          </w:p>
          <w:p w14:paraId="2494164C" w14:textId="77777777" w:rsidR="003A2F1D" w:rsidRDefault="004F738C">
            <w:pPr>
              <w:spacing w:line="250" w:lineRule="auto"/>
              <w:jc w:val="both"/>
            </w:pPr>
            <w:r>
              <w:rPr>
                <w:rFonts w:ascii="Calibri" w:eastAsia="Calibri" w:hAnsi="Calibri" w:cs="Calibri"/>
                <w:color w:val="2B2B2B"/>
                <w:sz w:val="17"/>
                <w:szCs w:val="17"/>
              </w:rPr>
              <w:t xml:space="preserve">Le législateur a donc fait en décembre 2025 l'inverse de ce qu'il avait fait en janvier. Deux virages en douze mois sur le champ d'un même impôt. Cela règle la question de l'assiette théorique et laisse entière celle qui compte : </w:t>
            </w:r>
            <w:r>
              <w:rPr>
                <w:rFonts w:ascii="Calibri" w:eastAsia="Calibri" w:hAnsi="Calibri" w:cs="Calibri"/>
                <w:b/>
                <w:bCs/>
                <w:color w:val="1E5B2A"/>
                <w:sz w:val="17"/>
                <w:szCs w:val="17"/>
              </w:rPr>
              <w:t>comment imposer des biens que personne n'a recensés, situés sur des parcelles sans identifiant, dans des rues sans adresse</w:t>
            </w:r>
            <w:r>
              <w:rPr>
                <w:rFonts w:ascii="Calibri" w:eastAsia="Calibri" w:hAnsi="Calibri" w:cs="Calibri"/>
                <w:color w:val="2B2B2B"/>
                <w:sz w:val="17"/>
                <w:szCs w:val="17"/>
              </w:rPr>
              <w:t xml:space="preserve"> ? Les sept mesures proposées ici gardent donc toute leur actualité. Elles la gagnent même, puisque l'assiette élargie rend le référentiel spatial encore plus nécessaire.</w:t>
            </w:r>
          </w:p>
        </w:tc>
      </w:tr>
    </w:tbl>
    <w:p w14:paraId="00FC5C2B" w14:textId="77777777" w:rsidR="003A2F1D" w:rsidRDefault="003A2F1D">
      <w:pPr>
        <w:spacing w:before="160"/>
      </w:pP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206"/>
      </w:tblGrid>
      <w:tr w:rsidR="003A2F1D" w14:paraId="4D596406" w14:textId="77777777">
        <w:trPr>
          <w:cantSplit/>
        </w:trPr>
        <w:tc>
          <w:tcPr>
            <w:tcW w:w="10206" w:type="dxa"/>
            <w:shd w:val="clear" w:color="auto" w:fill="1E5B2A"/>
            <w:tcMar>
              <w:top w:w="180" w:type="dxa"/>
              <w:left w:w="280" w:type="dxa"/>
              <w:bottom w:w="180" w:type="dxa"/>
              <w:right w:w="280" w:type="dxa"/>
            </w:tcMar>
          </w:tcPr>
          <w:p w14:paraId="6C689AFC" w14:textId="77777777" w:rsidR="003A2F1D" w:rsidRDefault="004F738C">
            <w:pPr>
              <w:spacing w:after="40"/>
            </w:pPr>
            <w:r>
              <w:rPr>
                <w:rFonts w:ascii="Calibri" w:eastAsia="Calibri" w:hAnsi="Calibri" w:cs="Calibri"/>
                <w:b/>
                <w:bCs/>
                <w:color w:val="FFFFFF"/>
                <w:spacing w:val="30"/>
              </w:rPr>
              <w:t>CONCLUSION</w:t>
            </w:r>
          </w:p>
          <w:p w14:paraId="040EACB0" w14:textId="77777777" w:rsidR="003A2F1D" w:rsidRDefault="004F738C">
            <w:pPr>
              <w:spacing w:after="100"/>
            </w:pPr>
            <w:r>
              <w:rPr>
                <w:rFonts w:ascii="Cambria" w:eastAsia="Cambria" w:hAnsi="Cambria" w:cs="Cambria"/>
                <w:i/>
                <w:iCs/>
                <w:color w:val="D8ECCE"/>
                <w:sz w:val="24"/>
                <w:szCs w:val="24"/>
              </w:rPr>
              <w:t>Ce n'est pas une question de fiscalité, c'est une question de vision</w:t>
            </w:r>
          </w:p>
          <w:p w14:paraId="4203939C" w14:textId="77777777" w:rsidR="003A2F1D" w:rsidRDefault="004F738C">
            <w:pPr>
              <w:spacing w:after="80" w:line="260" w:lineRule="auto"/>
              <w:jc w:val="both"/>
            </w:pPr>
            <w:r>
              <w:rPr>
                <w:rFonts w:ascii="Cambria" w:eastAsia="Cambria" w:hAnsi="Cambria" w:cs="Cambria"/>
                <w:color w:val="FFFFFF"/>
              </w:rPr>
              <w:t>La CFU part d'une bonne intention. Simplifier des impôts créés en 1982, donner aux communes une ressource propre, sortir d'une fiscalité locale réduite à presque rien : tout cela mérite d'être soutenu. Et les agents de la Direction générale des impôts ont fait leur travail de pédagogie, ce qui est plus que ce qu'on peut dire de beaucoup de réformes.</w:t>
            </w:r>
          </w:p>
          <w:p w14:paraId="1E429FF1" w14:textId="77777777" w:rsidR="003A2F1D" w:rsidRDefault="004F738C">
            <w:pPr>
              <w:spacing w:after="80" w:line="260" w:lineRule="auto"/>
              <w:jc w:val="both"/>
            </w:pPr>
            <w:r>
              <w:rPr>
                <w:rFonts w:ascii="Cambria" w:eastAsia="Cambria" w:hAnsi="Cambria" w:cs="Cambria"/>
                <w:color w:val="FFFFFF"/>
              </w:rPr>
              <w:t xml:space="preserve">Mais un impôt foncier est d'abord un problème de géographie avant d'être un problème de droit fiscal. Il suppose de savoir </w:t>
            </w:r>
            <w:r>
              <w:rPr>
                <w:rFonts w:ascii="Cambria" w:eastAsia="Cambria" w:hAnsi="Cambria" w:cs="Cambria"/>
                <w:b/>
                <w:bCs/>
                <w:color w:val="FFFFFF"/>
              </w:rPr>
              <w:t>ce qui existe, où cela se trouve, qui l'occupe et ce que cela vaut</w:t>
            </w:r>
            <w:r>
              <w:rPr>
                <w:rFonts w:ascii="Cambria" w:eastAsia="Cambria" w:hAnsi="Cambria" w:cs="Cambria"/>
                <w:color w:val="FFFFFF"/>
              </w:rPr>
              <w:t>. Sur ces quatre questions, l'administration gabonaise ne dispose aujourd'hui d'aucune réponse partagée. Le cadastre, l'urbanisme et les impôts travaillent chacun sur son fichier, et aucun ne parle le même langage que les communes qui reçoivent l'argent.</w:t>
            </w:r>
          </w:p>
          <w:p w14:paraId="7CFE92F9" w14:textId="77777777" w:rsidR="003A2F1D" w:rsidRDefault="004F738C">
            <w:pPr>
              <w:spacing w:line="260" w:lineRule="auto"/>
              <w:jc w:val="both"/>
            </w:pPr>
            <w:r>
              <w:rPr>
                <w:rFonts w:ascii="Cambria" w:eastAsia="Cambria" w:hAnsi="Cambria" w:cs="Cambria"/>
                <w:color w:val="FFFFFF"/>
              </w:rPr>
              <w:t>Tant que ce référentiel commun n'existera pas, on continuera de voter des taux sur une assiette que personne ne peut décrire. Le débat portera sur des pourcentages, et le rendement restera au même niveau. Ce n'est pas seulement une question de fiscalité. C'est une question de vision, et pour l'instant, cette vision manque à tous les étages de la décision publique.</w:t>
            </w:r>
          </w:p>
        </w:tc>
      </w:tr>
    </w:tbl>
    <w:p w14:paraId="795F26E6" w14:textId="77777777" w:rsidR="003A2F1D" w:rsidRDefault="003A2F1D">
      <w:pPr>
        <w:spacing w:before="130"/>
      </w:pPr>
    </w:p>
    <w:tbl>
      <w:tblPr>
        <w:tblW w:w="10206" w:type="dxa"/>
        <w:tblBorders>
          <w:top w:val="single" w:sz="12" w:space="0" w:color="7DBE6B"/>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206"/>
      </w:tblGrid>
      <w:tr w:rsidR="003A2F1D" w14:paraId="015F9923" w14:textId="77777777">
        <w:trPr>
          <w:cantSplit/>
        </w:trPr>
        <w:tc>
          <w:tcPr>
            <w:tcW w:w="10206" w:type="dxa"/>
            <w:shd w:val="clear" w:color="auto" w:fill="FFFFFF"/>
            <w:tcMar>
              <w:top w:w="160" w:type="dxa"/>
              <w:left w:w="0" w:type="dxa"/>
              <w:bottom w:w="100" w:type="dxa"/>
              <w:right w:w="0" w:type="dxa"/>
            </w:tcMar>
          </w:tcPr>
          <w:p w14:paraId="526434E6" w14:textId="2A63D89C" w:rsidR="003A2F1D" w:rsidRDefault="004F738C">
            <w:pPr>
              <w:spacing w:after="70"/>
            </w:pPr>
            <w:r>
              <w:rPr>
                <w:rFonts w:ascii="Calibri" w:eastAsia="Calibri" w:hAnsi="Calibri" w:cs="Calibri"/>
                <w:b/>
                <w:bCs/>
                <w:color w:val="4E9A44"/>
                <w:spacing w:val="24"/>
                <w:sz w:val="15"/>
                <w:szCs w:val="15"/>
              </w:rPr>
              <w:t>SOURCES</w:t>
            </w:r>
          </w:p>
          <w:p w14:paraId="694E3265" w14:textId="77777777" w:rsidR="003A2F1D" w:rsidRDefault="004F738C">
            <w:pPr>
              <w:spacing w:after="60"/>
              <w:jc w:val="both"/>
            </w:pPr>
            <w:r>
              <w:rPr>
                <w:rFonts w:ascii="Calibri" w:eastAsia="Calibri" w:hAnsi="Calibri" w:cs="Calibri"/>
                <w:color w:val="5A5A5A"/>
                <w:sz w:val="15"/>
                <w:szCs w:val="15"/>
              </w:rPr>
              <w:t xml:space="preserve">[1] Conférence de presse de la Direction générale des impôts du 19 avril 2025, avec Paul II </w:t>
            </w:r>
            <w:proofErr w:type="spellStart"/>
            <w:r>
              <w:rPr>
                <w:rFonts w:ascii="Calibri" w:eastAsia="Calibri" w:hAnsi="Calibri" w:cs="Calibri"/>
                <w:color w:val="5A5A5A"/>
                <w:sz w:val="15"/>
                <w:szCs w:val="15"/>
              </w:rPr>
              <w:t>Abessolo</w:t>
            </w:r>
            <w:proofErr w:type="spellEnd"/>
            <w:r>
              <w:rPr>
                <w:rFonts w:ascii="Calibri" w:eastAsia="Calibri" w:hAnsi="Calibri" w:cs="Calibri"/>
                <w:color w:val="5A5A5A"/>
                <w:sz w:val="15"/>
                <w:szCs w:val="15"/>
              </w:rPr>
              <w:t xml:space="preserve"> </w:t>
            </w:r>
            <w:proofErr w:type="spellStart"/>
            <w:r>
              <w:rPr>
                <w:rFonts w:ascii="Calibri" w:eastAsia="Calibri" w:hAnsi="Calibri" w:cs="Calibri"/>
                <w:color w:val="5A5A5A"/>
                <w:sz w:val="15"/>
                <w:szCs w:val="15"/>
              </w:rPr>
              <w:t>Esso'o</w:t>
            </w:r>
            <w:proofErr w:type="spellEnd"/>
            <w:r>
              <w:rPr>
                <w:rFonts w:ascii="Calibri" w:eastAsia="Calibri" w:hAnsi="Calibri" w:cs="Calibri"/>
                <w:color w:val="5A5A5A"/>
                <w:sz w:val="15"/>
                <w:szCs w:val="15"/>
              </w:rPr>
              <w:t xml:space="preserve"> </w:t>
            </w:r>
            <w:proofErr w:type="spellStart"/>
            <w:r>
              <w:rPr>
                <w:rFonts w:ascii="Calibri" w:eastAsia="Calibri" w:hAnsi="Calibri" w:cs="Calibri"/>
                <w:color w:val="5A5A5A"/>
                <w:sz w:val="15"/>
                <w:szCs w:val="15"/>
              </w:rPr>
              <w:t>Minto'o</w:t>
            </w:r>
            <w:proofErr w:type="spellEnd"/>
            <w:r>
              <w:rPr>
                <w:rFonts w:ascii="Calibri" w:eastAsia="Calibri" w:hAnsi="Calibri" w:cs="Calibri"/>
                <w:color w:val="5A5A5A"/>
                <w:sz w:val="15"/>
                <w:szCs w:val="15"/>
              </w:rPr>
              <w:t xml:space="preserve">, directeur de la législation et du contentieux, Delphine </w:t>
            </w:r>
            <w:proofErr w:type="spellStart"/>
            <w:r>
              <w:rPr>
                <w:rFonts w:ascii="Calibri" w:eastAsia="Calibri" w:hAnsi="Calibri" w:cs="Calibri"/>
                <w:color w:val="5A5A5A"/>
                <w:sz w:val="15"/>
                <w:szCs w:val="15"/>
              </w:rPr>
              <w:t>Soungani</w:t>
            </w:r>
            <w:proofErr w:type="spellEnd"/>
            <w:r>
              <w:rPr>
                <w:rFonts w:ascii="Calibri" w:eastAsia="Calibri" w:hAnsi="Calibri" w:cs="Calibri"/>
                <w:color w:val="5A5A5A"/>
                <w:sz w:val="15"/>
                <w:szCs w:val="15"/>
              </w:rPr>
              <w:t xml:space="preserve">, directrice provinciale adjointe de l'Estuaire, et Stéphanie </w:t>
            </w:r>
            <w:proofErr w:type="spellStart"/>
            <w:r>
              <w:rPr>
                <w:rFonts w:ascii="Calibri" w:eastAsia="Calibri" w:hAnsi="Calibri" w:cs="Calibri"/>
                <w:color w:val="5A5A5A"/>
                <w:sz w:val="15"/>
                <w:szCs w:val="15"/>
              </w:rPr>
              <w:t>Minko</w:t>
            </w:r>
            <w:proofErr w:type="spellEnd"/>
            <w:r>
              <w:rPr>
                <w:rFonts w:ascii="Calibri" w:eastAsia="Calibri" w:hAnsi="Calibri" w:cs="Calibri"/>
                <w:color w:val="5A5A5A"/>
                <w:sz w:val="15"/>
                <w:szCs w:val="15"/>
              </w:rPr>
              <w:t xml:space="preserve"> </w:t>
            </w:r>
            <w:proofErr w:type="spellStart"/>
            <w:r>
              <w:rPr>
                <w:rFonts w:ascii="Calibri" w:eastAsia="Calibri" w:hAnsi="Calibri" w:cs="Calibri"/>
                <w:color w:val="5A5A5A"/>
                <w:sz w:val="15"/>
                <w:szCs w:val="15"/>
              </w:rPr>
              <w:t>Minko</w:t>
            </w:r>
            <w:proofErr w:type="spellEnd"/>
            <w:r>
              <w:rPr>
                <w:rFonts w:ascii="Calibri" w:eastAsia="Calibri" w:hAnsi="Calibri" w:cs="Calibri"/>
                <w:color w:val="5A5A5A"/>
                <w:sz w:val="15"/>
                <w:szCs w:val="15"/>
              </w:rPr>
              <w:t>, responsable des relations publiques.</w:t>
            </w:r>
          </w:p>
          <w:p w14:paraId="77F03A88" w14:textId="77777777" w:rsidR="003A2F1D" w:rsidRDefault="004F738C">
            <w:pPr>
              <w:spacing w:after="60"/>
              <w:jc w:val="both"/>
            </w:pPr>
            <w:r>
              <w:rPr>
                <w:rFonts w:ascii="Calibri" w:eastAsia="Calibri" w:hAnsi="Calibri" w:cs="Calibri"/>
                <w:color w:val="5A5A5A"/>
                <w:sz w:val="15"/>
                <w:szCs w:val="15"/>
              </w:rPr>
              <w:t>[2] Code général des impôts, articles 278 et suivants. Loi de finances 2025 : l'article 278 nouveau institue la CFU sur les propriétés immatriculées, bâties et non bâties. Article 296 sur l'obligation déclarative.</w:t>
            </w:r>
          </w:p>
          <w:p w14:paraId="56027E8C" w14:textId="77777777" w:rsidR="003A2F1D" w:rsidRDefault="004F738C">
            <w:pPr>
              <w:spacing w:after="60"/>
              <w:jc w:val="both"/>
            </w:pPr>
            <w:r>
              <w:rPr>
                <w:rFonts w:ascii="Calibri" w:eastAsia="Calibri" w:hAnsi="Calibri" w:cs="Calibri"/>
                <w:color w:val="5A5A5A"/>
                <w:sz w:val="15"/>
                <w:szCs w:val="15"/>
              </w:rPr>
              <w:t>[3] Chiffres cités par la DGI en avril 2025 : la CFU représente de 1,2 à 1,25 % des recettes fiscales annuelles, soit environ 13 à 14 milliards de francs, pour une ambition de 30 à 40 milliards. Environ 14 000 détenteurs de titres fonciers recensés à l'échelle nationale.</w:t>
            </w:r>
          </w:p>
          <w:p w14:paraId="38BDA68A" w14:textId="77777777" w:rsidR="003A2F1D" w:rsidRDefault="004F738C">
            <w:pPr>
              <w:spacing w:after="60"/>
              <w:jc w:val="both"/>
            </w:pPr>
            <w:r>
              <w:rPr>
                <w:rFonts w:ascii="Calibri" w:eastAsia="Calibri" w:hAnsi="Calibri" w:cs="Calibri"/>
                <w:color w:val="5A5A5A"/>
                <w:sz w:val="15"/>
                <w:szCs w:val="15"/>
              </w:rPr>
              <w:t>[4] Origine de la réforme : recommandation ancienne du Fonds monétaire international, reprise dans la réforme du Code général des impôts de 2022, pour une entrée en vigueur au 1er janvier 2023. La CFU remplace la contribution foncière des propriétés bâties, celle des propriétés non bâties et la taxe forfaitaire d'habitation.</w:t>
            </w:r>
          </w:p>
          <w:p w14:paraId="5EAAC244" w14:textId="77777777" w:rsidR="003A2F1D" w:rsidRDefault="004F738C">
            <w:pPr>
              <w:spacing w:after="60"/>
              <w:jc w:val="both"/>
            </w:pPr>
            <w:r>
              <w:rPr>
                <w:rFonts w:ascii="Calibri" w:eastAsia="Calibri" w:hAnsi="Calibri" w:cs="Calibri"/>
                <w:color w:val="5A5A5A"/>
                <w:sz w:val="15"/>
                <w:szCs w:val="15"/>
              </w:rPr>
              <w:t>[5] Loi n° 041/2025 du 29 décembre 2025 portant loi de finances pour 2026 : articles 278, 279 et 284 nouveaux étendant la CFU à toutes les propriétés sans exigence d'immatriculation ; taux de 3 % pour les personnes physiques et 15 % pour les personnes morales ; exonération de cinq ans pour les constructions neuves à usage d'habitation et de trois ans pour les autres bâtiments ; abattement pouvant aller jusqu'à 80 % pour les logements sociaux d'une valeur inférieure à 30 millions de francs.</w:t>
            </w:r>
          </w:p>
          <w:p w14:paraId="57EB8524" w14:textId="1464DEE7" w:rsidR="003A2F1D" w:rsidRDefault="004F738C">
            <w:pPr>
              <w:jc w:val="both"/>
            </w:pPr>
            <w:r>
              <w:rPr>
                <w:rFonts w:ascii="Calibri" w:eastAsia="Calibri" w:hAnsi="Calibri" w:cs="Calibri"/>
                <w:color w:val="5A5A5A"/>
                <w:sz w:val="15"/>
                <w:szCs w:val="15"/>
              </w:rPr>
              <w:t>[6] Sur le coût et la durée de la régularisation foncière, voir</w:t>
            </w:r>
            <w:r w:rsidR="007F4E06">
              <w:rPr>
                <w:rFonts w:ascii="Calibri" w:eastAsia="Calibri" w:hAnsi="Calibri" w:cs="Calibri"/>
                <w:color w:val="5A5A5A"/>
                <w:sz w:val="15"/>
                <w:szCs w:val="15"/>
                <w:lang w:val="fr-FR"/>
              </w:rPr>
              <w:t xml:space="preserve"> la future note </w:t>
            </w:r>
            <w:proofErr w:type="gramStart"/>
            <w:r w:rsidR="007F4E06">
              <w:rPr>
                <w:rFonts w:ascii="Calibri" w:eastAsia="Calibri" w:hAnsi="Calibri" w:cs="Calibri"/>
                <w:color w:val="5A5A5A"/>
                <w:sz w:val="15"/>
                <w:szCs w:val="15"/>
                <w:lang w:val="fr-FR"/>
              </w:rPr>
              <w:t xml:space="preserve">sur </w:t>
            </w:r>
            <w:r>
              <w:rPr>
                <w:rFonts w:ascii="Calibri" w:eastAsia="Calibri" w:hAnsi="Calibri" w:cs="Calibri"/>
                <w:color w:val="5A5A5A"/>
                <w:sz w:val="15"/>
                <w:szCs w:val="15"/>
              </w:rPr>
              <w:t xml:space="preserve"> «</w:t>
            </w:r>
            <w:proofErr w:type="gramEnd"/>
            <w:r>
              <w:rPr>
                <w:rFonts w:ascii="Calibri" w:eastAsia="Calibri" w:hAnsi="Calibri" w:cs="Calibri"/>
                <w:color w:val="5A5A5A"/>
                <w:sz w:val="15"/>
                <w:szCs w:val="15"/>
              </w:rPr>
              <w:t xml:space="preserve"> La procédure de régularisation foncière », Mes Analyses du quartier n° 05</w:t>
            </w:r>
            <w:r w:rsidR="007F4E06">
              <w:rPr>
                <w:rFonts w:ascii="Calibri" w:eastAsia="Calibri" w:hAnsi="Calibri" w:cs="Calibri"/>
                <w:color w:val="5A5A5A"/>
                <w:sz w:val="15"/>
                <w:szCs w:val="15"/>
                <w:lang w:val="fr-FR"/>
              </w:rPr>
              <w:t xml:space="preserve"> bis </w:t>
            </w:r>
            <w:r>
              <w:rPr>
                <w:rFonts w:ascii="Calibri" w:eastAsia="Calibri" w:hAnsi="Calibri" w:cs="Calibri"/>
                <w:color w:val="5A5A5A"/>
                <w:sz w:val="15"/>
                <w:szCs w:val="15"/>
              </w:rPr>
              <w:t>-2025. Sur l'adressage, voir le numéro consacré à l'adressage de Libreville.</w:t>
            </w:r>
          </w:p>
        </w:tc>
      </w:tr>
    </w:tbl>
    <w:p w14:paraId="4B828C23" w14:textId="77777777" w:rsidR="004F738C" w:rsidRDefault="004F738C"/>
    <w:sectPr w:rsidR="004F738C">
      <w:footerReference w:type="default" r:id="rId11"/>
      <w:type w:val="continuous"/>
      <w:pgSz w:w="11906" w:h="16838"/>
      <w:pgMar w:top="800" w:right="850" w:bottom="90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1343D" w14:textId="77777777" w:rsidR="008B4D2B" w:rsidRDefault="008B4D2B">
      <w:r>
        <w:separator/>
      </w:r>
    </w:p>
  </w:endnote>
  <w:endnote w:type="continuationSeparator" w:id="0">
    <w:p w14:paraId="6EFC44D1" w14:textId="77777777" w:rsidR="008B4D2B" w:rsidRDefault="008B4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FD06B" w14:textId="77777777" w:rsidR="003A2F1D" w:rsidRDefault="004F738C">
    <w:pPr>
      <w:pBdr>
        <w:top w:val="single" w:sz="12" w:space="6" w:color="4E9A44"/>
      </w:pBdr>
      <w:spacing w:before="60"/>
    </w:pPr>
    <w:r>
      <w:rPr>
        <w:rFonts w:ascii="Calibri" w:eastAsia="Calibri" w:hAnsi="Calibri" w:cs="Calibri"/>
        <w:b/>
        <w:bCs/>
        <w:color w:val="1E5B2A"/>
        <w:sz w:val="14"/>
        <w:szCs w:val="14"/>
      </w:rPr>
      <w:t>Dr. Louis Kadryl YEMBI-YEMBI, 22/04/2025, n° 04/2025</w:t>
    </w:r>
    <w:r>
      <w:rPr>
        <w:rFonts w:ascii="Calibri" w:eastAsia="Calibri" w:hAnsi="Calibri" w:cs="Calibri"/>
        <w:sz w:val="14"/>
        <w:szCs w:val="14"/>
      </w:rPr>
      <w:tab/>
    </w:r>
    <w:r>
      <w:rPr>
        <w:rFonts w:ascii="Calibri" w:eastAsia="Calibri" w:hAnsi="Calibri" w:cs="Calibri"/>
        <w:sz w:val="14"/>
        <w:szCs w:val="14"/>
      </w:rPr>
      <w:tab/>
    </w:r>
    <w:r>
      <w:rPr>
        <w:rFonts w:ascii="Calibri" w:eastAsia="Calibri" w:hAnsi="Calibri" w:cs="Calibri"/>
        <w:color w:val="5A5A5A"/>
        <w:sz w:val="14"/>
        <w:szCs w:val="14"/>
      </w:rPr>
      <w:t xml:space="preserve">Page </w:t>
    </w:r>
    <w:r>
      <w:rPr>
        <w:rFonts w:ascii="Calibri" w:eastAsia="Calibri" w:hAnsi="Calibri" w:cs="Calibri"/>
        <w:b/>
        <w:bCs/>
        <w:color w:val="1E5B2A"/>
        <w:sz w:val="14"/>
        <w:szCs w:val="14"/>
      </w:rPr>
      <w:fldChar w:fldCharType="begin"/>
    </w:r>
    <w:r>
      <w:rPr>
        <w:rFonts w:ascii="Calibri" w:eastAsia="Calibri" w:hAnsi="Calibri" w:cs="Calibri"/>
        <w:b/>
        <w:bCs/>
        <w:color w:val="1E5B2A"/>
        <w:sz w:val="14"/>
        <w:szCs w:val="14"/>
      </w:rPr>
      <w:instrText>PAGE</w:instrText>
    </w:r>
    <w:r>
      <w:rPr>
        <w:rFonts w:ascii="Calibri" w:eastAsia="Calibri" w:hAnsi="Calibri" w:cs="Calibri"/>
        <w:b/>
        <w:bCs/>
        <w:color w:val="1E5B2A"/>
        <w:sz w:val="14"/>
        <w:szCs w:val="14"/>
      </w:rPr>
      <w:fldChar w:fldCharType="separate"/>
    </w:r>
    <w:r w:rsidR="007F4E06">
      <w:rPr>
        <w:rFonts w:ascii="Calibri" w:eastAsia="Calibri" w:hAnsi="Calibri" w:cs="Calibri"/>
        <w:b/>
        <w:bCs/>
        <w:noProof/>
        <w:color w:val="1E5B2A"/>
        <w:sz w:val="14"/>
        <w:szCs w:val="14"/>
      </w:rPr>
      <w:t>1</w:t>
    </w:r>
    <w:r>
      <w:rPr>
        <w:rFonts w:ascii="Calibri" w:eastAsia="Calibri" w:hAnsi="Calibri" w:cs="Calibri"/>
        <w:b/>
        <w:bCs/>
        <w:color w:val="1E5B2A"/>
        <w:sz w:val="14"/>
        <w:szCs w:val="14"/>
      </w:rPr>
      <w:fldChar w:fldCharType="end"/>
    </w:r>
    <w:r>
      <w:rPr>
        <w:rFonts w:ascii="Calibri" w:eastAsia="Calibri" w:hAnsi="Calibri" w:cs="Calibri"/>
        <w:color w:val="5A5A5A"/>
        <w:sz w:val="14"/>
        <w:szCs w:val="14"/>
      </w:rPr>
      <w:t xml:space="preserve"> / </w:t>
    </w:r>
    <w:r>
      <w:rPr>
        <w:rFonts w:ascii="Calibri" w:eastAsia="Calibri" w:hAnsi="Calibri" w:cs="Calibri"/>
        <w:color w:val="5A5A5A"/>
        <w:sz w:val="14"/>
        <w:szCs w:val="14"/>
      </w:rPr>
      <w:fldChar w:fldCharType="begin"/>
    </w:r>
    <w:r>
      <w:rPr>
        <w:rFonts w:ascii="Calibri" w:eastAsia="Calibri" w:hAnsi="Calibri" w:cs="Calibri"/>
        <w:color w:val="5A5A5A"/>
        <w:sz w:val="14"/>
        <w:szCs w:val="14"/>
      </w:rPr>
      <w:instrText>NUMPAGES</w:instrText>
    </w:r>
    <w:r>
      <w:rPr>
        <w:rFonts w:ascii="Calibri" w:eastAsia="Calibri" w:hAnsi="Calibri" w:cs="Calibri"/>
        <w:color w:val="5A5A5A"/>
        <w:sz w:val="14"/>
        <w:szCs w:val="14"/>
      </w:rPr>
      <w:fldChar w:fldCharType="separate"/>
    </w:r>
    <w:r w:rsidR="007F4E06">
      <w:rPr>
        <w:rFonts w:ascii="Calibri" w:eastAsia="Calibri" w:hAnsi="Calibri" w:cs="Calibri"/>
        <w:noProof/>
        <w:color w:val="5A5A5A"/>
        <w:sz w:val="14"/>
        <w:szCs w:val="14"/>
      </w:rPr>
      <w:t>2</w:t>
    </w:r>
    <w:r>
      <w:rPr>
        <w:rFonts w:ascii="Calibri" w:eastAsia="Calibri" w:hAnsi="Calibri" w:cs="Calibri"/>
        <w:color w:val="5A5A5A"/>
        <w:sz w:val="14"/>
        <w:szCs w:val="14"/>
      </w:rPr>
      <w:fldChar w:fldCharType="end"/>
    </w:r>
  </w:p>
  <w:p w14:paraId="38FB61C7" w14:textId="77777777" w:rsidR="003A2F1D" w:rsidRDefault="004F738C">
    <w:pPr>
      <w:spacing w:before="20"/>
    </w:pPr>
    <w:r>
      <w:rPr>
        <w:rFonts w:ascii="Calibri" w:eastAsia="Calibri" w:hAnsi="Calibri" w:cs="Calibri"/>
        <w:i/>
        <w:iCs/>
        <w:color w:val="5A5A5A"/>
        <w:sz w:val="13"/>
        <w:szCs w:val="13"/>
      </w:rPr>
      <w:t>Ici, c'est mon point de vue de citoyen, et non celui d'un fiscaliste ou d'un expert en finances publiques (Mon analyse du quartier).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2807D" w14:textId="13405358" w:rsidR="003A2F1D" w:rsidRDefault="004F738C">
    <w:pPr>
      <w:pBdr>
        <w:top w:val="single" w:sz="12" w:space="6" w:color="4E9A44"/>
      </w:pBdr>
      <w:spacing w:before="60"/>
    </w:pPr>
    <w:r>
      <w:rPr>
        <w:rFonts w:ascii="Calibri" w:eastAsia="Calibri" w:hAnsi="Calibri" w:cs="Calibri"/>
        <w:b/>
        <w:bCs/>
        <w:color w:val="1E5B2A"/>
        <w:sz w:val="14"/>
        <w:szCs w:val="14"/>
      </w:rPr>
      <w:t>Dr. Louis Kadryl YEMBI-YEMBI, 22/04/2025, n° 04/2025</w:t>
    </w:r>
    <w:r>
      <w:rPr>
        <w:rFonts w:ascii="Calibri" w:eastAsia="Calibri" w:hAnsi="Calibri" w:cs="Calibri"/>
        <w:sz w:val="14"/>
        <w:szCs w:val="14"/>
      </w:rPr>
      <w:tab/>
    </w:r>
    <w:r>
      <w:rPr>
        <w:rFonts w:ascii="Calibri" w:eastAsia="Calibri" w:hAnsi="Calibri" w:cs="Calibri"/>
        <w:sz w:val="14"/>
        <w:szCs w:val="14"/>
      </w:rPr>
      <w:tab/>
    </w:r>
    <w:r>
      <w:rPr>
        <w:rFonts w:ascii="Calibri" w:eastAsia="Calibri" w:hAnsi="Calibri" w:cs="Calibri"/>
        <w:color w:val="5A5A5A"/>
        <w:sz w:val="14"/>
        <w:szCs w:val="14"/>
      </w:rPr>
      <w:t xml:space="preserve">Page </w:t>
    </w:r>
    <w:r>
      <w:rPr>
        <w:rFonts w:ascii="Calibri" w:eastAsia="Calibri" w:hAnsi="Calibri" w:cs="Calibri"/>
        <w:b/>
        <w:bCs/>
        <w:color w:val="1E5B2A"/>
        <w:sz w:val="14"/>
        <w:szCs w:val="14"/>
      </w:rPr>
      <w:fldChar w:fldCharType="begin"/>
    </w:r>
    <w:r>
      <w:rPr>
        <w:rFonts w:ascii="Calibri" w:eastAsia="Calibri" w:hAnsi="Calibri" w:cs="Calibri"/>
        <w:b/>
        <w:bCs/>
        <w:color w:val="1E5B2A"/>
        <w:sz w:val="14"/>
        <w:szCs w:val="14"/>
      </w:rPr>
      <w:instrText>PAGE</w:instrText>
    </w:r>
    <w:r>
      <w:rPr>
        <w:rFonts w:ascii="Calibri" w:eastAsia="Calibri" w:hAnsi="Calibri" w:cs="Calibri"/>
        <w:b/>
        <w:bCs/>
        <w:color w:val="1E5B2A"/>
        <w:sz w:val="14"/>
        <w:szCs w:val="14"/>
      </w:rPr>
      <w:fldChar w:fldCharType="separate"/>
    </w:r>
    <w:r w:rsidR="007F4E06">
      <w:rPr>
        <w:rFonts w:ascii="Calibri" w:eastAsia="Calibri" w:hAnsi="Calibri" w:cs="Calibri"/>
        <w:b/>
        <w:bCs/>
        <w:noProof/>
        <w:color w:val="1E5B2A"/>
        <w:sz w:val="14"/>
        <w:szCs w:val="14"/>
      </w:rPr>
      <w:t>2</w:t>
    </w:r>
    <w:r>
      <w:rPr>
        <w:rFonts w:ascii="Calibri" w:eastAsia="Calibri" w:hAnsi="Calibri" w:cs="Calibri"/>
        <w:b/>
        <w:bCs/>
        <w:color w:val="1E5B2A"/>
        <w:sz w:val="14"/>
        <w:szCs w:val="14"/>
      </w:rPr>
      <w:fldChar w:fldCharType="end"/>
    </w:r>
    <w:r>
      <w:rPr>
        <w:rFonts w:ascii="Calibri" w:eastAsia="Calibri" w:hAnsi="Calibri" w:cs="Calibri"/>
        <w:color w:val="5A5A5A"/>
        <w:sz w:val="14"/>
        <w:szCs w:val="14"/>
      </w:rPr>
      <w:t xml:space="preserve"> / </w:t>
    </w:r>
    <w:r>
      <w:rPr>
        <w:rFonts w:ascii="Calibri" w:eastAsia="Calibri" w:hAnsi="Calibri" w:cs="Calibri"/>
        <w:color w:val="5A5A5A"/>
        <w:sz w:val="14"/>
        <w:szCs w:val="14"/>
      </w:rPr>
      <w:fldChar w:fldCharType="begin"/>
    </w:r>
    <w:r>
      <w:rPr>
        <w:rFonts w:ascii="Calibri" w:eastAsia="Calibri" w:hAnsi="Calibri" w:cs="Calibri"/>
        <w:color w:val="5A5A5A"/>
        <w:sz w:val="14"/>
        <w:szCs w:val="14"/>
      </w:rPr>
      <w:instrText>NUMPAGES</w:instrText>
    </w:r>
    <w:r>
      <w:rPr>
        <w:rFonts w:ascii="Calibri" w:eastAsia="Calibri" w:hAnsi="Calibri" w:cs="Calibri"/>
        <w:color w:val="5A5A5A"/>
        <w:sz w:val="14"/>
        <w:szCs w:val="14"/>
      </w:rPr>
      <w:fldChar w:fldCharType="separate"/>
    </w:r>
    <w:r w:rsidR="007F4E06">
      <w:rPr>
        <w:rFonts w:ascii="Calibri" w:eastAsia="Calibri" w:hAnsi="Calibri" w:cs="Calibri"/>
        <w:noProof/>
        <w:color w:val="5A5A5A"/>
        <w:sz w:val="14"/>
        <w:szCs w:val="14"/>
      </w:rPr>
      <w:t>3</w:t>
    </w:r>
    <w:r>
      <w:rPr>
        <w:rFonts w:ascii="Calibri" w:eastAsia="Calibri" w:hAnsi="Calibri" w:cs="Calibri"/>
        <w:color w:val="5A5A5A"/>
        <w:sz w:val="14"/>
        <w:szCs w:val="14"/>
      </w:rPr>
      <w:fldChar w:fldCharType="end"/>
    </w:r>
  </w:p>
  <w:p w14:paraId="0F57DB55" w14:textId="77777777" w:rsidR="003A2F1D" w:rsidRDefault="004F738C">
    <w:pPr>
      <w:spacing w:before="20"/>
    </w:pPr>
    <w:r>
      <w:rPr>
        <w:rFonts w:ascii="Calibri" w:eastAsia="Calibri" w:hAnsi="Calibri" w:cs="Calibri"/>
        <w:i/>
        <w:iCs/>
        <w:color w:val="5A5A5A"/>
        <w:sz w:val="13"/>
        <w:szCs w:val="13"/>
      </w:rPr>
      <w:t>Ici, c'est mon point de vue de citoyen, et non celui d'un fiscaliste ou d'un expert en finances publiques (Mon analyse du quartier).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FCA25" w14:textId="547A674F" w:rsidR="003A2F1D" w:rsidRDefault="004F738C">
    <w:pPr>
      <w:pBdr>
        <w:top w:val="single" w:sz="12" w:space="6" w:color="4E9A44"/>
      </w:pBdr>
      <w:spacing w:before="60"/>
    </w:pPr>
    <w:r>
      <w:rPr>
        <w:rFonts w:ascii="Calibri" w:eastAsia="Calibri" w:hAnsi="Calibri" w:cs="Calibri"/>
        <w:b/>
        <w:bCs/>
        <w:color w:val="1E5B2A"/>
        <w:sz w:val="14"/>
        <w:szCs w:val="14"/>
      </w:rPr>
      <w:t>Dr. Louis Kadryl YEMBI-YEMBI, 22/04/2025, n° 04/2025</w:t>
    </w:r>
    <w:r>
      <w:rPr>
        <w:rFonts w:ascii="Calibri" w:eastAsia="Calibri" w:hAnsi="Calibri" w:cs="Calibri"/>
        <w:sz w:val="14"/>
        <w:szCs w:val="14"/>
      </w:rPr>
      <w:tab/>
    </w:r>
    <w:r>
      <w:rPr>
        <w:rFonts w:ascii="Calibri" w:eastAsia="Calibri" w:hAnsi="Calibri" w:cs="Calibri"/>
        <w:sz w:val="14"/>
        <w:szCs w:val="14"/>
      </w:rPr>
      <w:tab/>
    </w:r>
    <w:r>
      <w:rPr>
        <w:rFonts w:ascii="Calibri" w:eastAsia="Calibri" w:hAnsi="Calibri" w:cs="Calibri"/>
        <w:color w:val="5A5A5A"/>
        <w:sz w:val="14"/>
        <w:szCs w:val="14"/>
      </w:rPr>
      <w:t xml:space="preserve">Page </w:t>
    </w:r>
    <w:r>
      <w:rPr>
        <w:rFonts w:ascii="Calibri" w:eastAsia="Calibri" w:hAnsi="Calibri" w:cs="Calibri"/>
        <w:b/>
        <w:bCs/>
        <w:color w:val="1E5B2A"/>
        <w:sz w:val="14"/>
        <w:szCs w:val="14"/>
      </w:rPr>
      <w:fldChar w:fldCharType="begin"/>
    </w:r>
    <w:r>
      <w:rPr>
        <w:rFonts w:ascii="Calibri" w:eastAsia="Calibri" w:hAnsi="Calibri" w:cs="Calibri"/>
        <w:b/>
        <w:bCs/>
        <w:color w:val="1E5B2A"/>
        <w:sz w:val="14"/>
        <w:szCs w:val="14"/>
      </w:rPr>
      <w:instrText>PAGE</w:instrText>
    </w:r>
    <w:r w:rsidR="008B4D2B">
      <w:rPr>
        <w:rFonts w:ascii="Calibri" w:eastAsia="Calibri" w:hAnsi="Calibri" w:cs="Calibri"/>
        <w:b/>
        <w:bCs/>
        <w:color w:val="1E5B2A"/>
        <w:sz w:val="14"/>
        <w:szCs w:val="14"/>
      </w:rPr>
      <w:fldChar w:fldCharType="separate"/>
    </w:r>
    <w:r>
      <w:rPr>
        <w:rFonts w:ascii="Calibri" w:eastAsia="Calibri" w:hAnsi="Calibri" w:cs="Calibri"/>
        <w:b/>
        <w:bCs/>
        <w:color w:val="1E5B2A"/>
        <w:sz w:val="14"/>
        <w:szCs w:val="14"/>
      </w:rPr>
      <w:fldChar w:fldCharType="end"/>
    </w:r>
    <w:r>
      <w:rPr>
        <w:rFonts w:ascii="Calibri" w:eastAsia="Calibri" w:hAnsi="Calibri" w:cs="Calibri"/>
        <w:color w:val="5A5A5A"/>
        <w:sz w:val="14"/>
        <w:szCs w:val="14"/>
      </w:rPr>
      <w:t xml:space="preserve"> / </w:t>
    </w:r>
    <w:r>
      <w:rPr>
        <w:rFonts w:ascii="Calibri" w:eastAsia="Calibri" w:hAnsi="Calibri" w:cs="Calibri"/>
        <w:color w:val="5A5A5A"/>
        <w:sz w:val="14"/>
        <w:szCs w:val="14"/>
      </w:rPr>
      <w:fldChar w:fldCharType="begin"/>
    </w:r>
    <w:r>
      <w:rPr>
        <w:rFonts w:ascii="Calibri" w:eastAsia="Calibri" w:hAnsi="Calibri" w:cs="Calibri"/>
        <w:color w:val="5A5A5A"/>
        <w:sz w:val="14"/>
        <w:szCs w:val="14"/>
      </w:rPr>
      <w:instrText>NUMPAGES</w:instrText>
    </w:r>
    <w:r>
      <w:rPr>
        <w:rFonts w:ascii="Calibri" w:eastAsia="Calibri" w:hAnsi="Calibri" w:cs="Calibri"/>
        <w:color w:val="5A5A5A"/>
        <w:sz w:val="14"/>
        <w:szCs w:val="14"/>
      </w:rPr>
      <w:fldChar w:fldCharType="separate"/>
    </w:r>
    <w:r w:rsidR="004E3A53">
      <w:rPr>
        <w:rFonts w:ascii="Calibri" w:eastAsia="Calibri" w:hAnsi="Calibri" w:cs="Calibri"/>
        <w:noProof/>
        <w:color w:val="5A5A5A"/>
        <w:sz w:val="14"/>
        <w:szCs w:val="14"/>
      </w:rPr>
      <w:t>5</w:t>
    </w:r>
    <w:r>
      <w:rPr>
        <w:rFonts w:ascii="Calibri" w:eastAsia="Calibri" w:hAnsi="Calibri" w:cs="Calibri"/>
        <w:color w:val="5A5A5A"/>
        <w:sz w:val="14"/>
        <w:szCs w:val="14"/>
      </w:rPr>
      <w:fldChar w:fldCharType="end"/>
    </w:r>
  </w:p>
  <w:p w14:paraId="038AB53A" w14:textId="77777777" w:rsidR="003A2F1D" w:rsidRDefault="004F738C">
    <w:pPr>
      <w:spacing w:before="20"/>
    </w:pPr>
    <w:r>
      <w:rPr>
        <w:rFonts w:ascii="Calibri" w:eastAsia="Calibri" w:hAnsi="Calibri" w:cs="Calibri"/>
        <w:i/>
        <w:iCs/>
        <w:color w:val="5A5A5A"/>
        <w:sz w:val="13"/>
        <w:szCs w:val="13"/>
      </w:rPr>
      <w:t>Ici, c'est mon point de vue de citoyen, et non celui d'un fiscaliste ou d'un expert en finances publiques (Mon analyse du quartier).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97CC1" w14:textId="55808C3F" w:rsidR="003A2F1D" w:rsidRDefault="004F738C">
    <w:pPr>
      <w:pBdr>
        <w:top w:val="single" w:sz="12" w:space="6" w:color="4E9A44"/>
      </w:pBdr>
      <w:spacing w:before="60"/>
    </w:pPr>
    <w:r>
      <w:rPr>
        <w:rFonts w:ascii="Calibri" w:eastAsia="Calibri" w:hAnsi="Calibri" w:cs="Calibri"/>
        <w:b/>
        <w:bCs/>
        <w:color w:val="1E5B2A"/>
        <w:sz w:val="14"/>
        <w:szCs w:val="14"/>
      </w:rPr>
      <w:t>Dr. Louis Kadryl YEMBI-YEMBI, 22/04/2025, n° 04/2025</w:t>
    </w:r>
    <w:r>
      <w:rPr>
        <w:rFonts w:ascii="Calibri" w:eastAsia="Calibri" w:hAnsi="Calibri" w:cs="Calibri"/>
        <w:sz w:val="14"/>
        <w:szCs w:val="14"/>
      </w:rPr>
      <w:tab/>
    </w:r>
    <w:r>
      <w:rPr>
        <w:rFonts w:ascii="Calibri" w:eastAsia="Calibri" w:hAnsi="Calibri" w:cs="Calibri"/>
        <w:sz w:val="14"/>
        <w:szCs w:val="14"/>
      </w:rPr>
      <w:tab/>
    </w:r>
    <w:r>
      <w:rPr>
        <w:rFonts w:ascii="Calibri" w:eastAsia="Calibri" w:hAnsi="Calibri" w:cs="Calibri"/>
        <w:color w:val="5A5A5A"/>
        <w:sz w:val="14"/>
        <w:szCs w:val="14"/>
      </w:rPr>
      <w:t xml:space="preserve">Page </w:t>
    </w:r>
    <w:r>
      <w:rPr>
        <w:rFonts w:ascii="Calibri" w:eastAsia="Calibri" w:hAnsi="Calibri" w:cs="Calibri"/>
        <w:b/>
        <w:bCs/>
        <w:color w:val="1E5B2A"/>
        <w:sz w:val="14"/>
        <w:szCs w:val="14"/>
      </w:rPr>
      <w:fldChar w:fldCharType="begin"/>
    </w:r>
    <w:r>
      <w:rPr>
        <w:rFonts w:ascii="Calibri" w:eastAsia="Calibri" w:hAnsi="Calibri" w:cs="Calibri"/>
        <w:b/>
        <w:bCs/>
        <w:color w:val="1E5B2A"/>
        <w:sz w:val="14"/>
        <w:szCs w:val="14"/>
      </w:rPr>
      <w:instrText>PAGE</w:instrText>
    </w:r>
    <w:r>
      <w:rPr>
        <w:rFonts w:ascii="Calibri" w:eastAsia="Calibri" w:hAnsi="Calibri" w:cs="Calibri"/>
        <w:b/>
        <w:bCs/>
        <w:color w:val="1E5B2A"/>
        <w:sz w:val="14"/>
        <w:szCs w:val="14"/>
      </w:rPr>
      <w:fldChar w:fldCharType="separate"/>
    </w:r>
    <w:r w:rsidR="007F4E06">
      <w:rPr>
        <w:rFonts w:ascii="Calibri" w:eastAsia="Calibri" w:hAnsi="Calibri" w:cs="Calibri"/>
        <w:b/>
        <w:bCs/>
        <w:noProof/>
        <w:color w:val="1E5B2A"/>
        <w:sz w:val="14"/>
        <w:szCs w:val="14"/>
      </w:rPr>
      <w:t>3</w:t>
    </w:r>
    <w:r>
      <w:rPr>
        <w:rFonts w:ascii="Calibri" w:eastAsia="Calibri" w:hAnsi="Calibri" w:cs="Calibri"/>
        <w:b/>
        <w:bCs/>
        <w:color w:val="1E5B2A"/>
        <w:sz w:val="14"/>
        <w:szCs w:val="14"/>
      </w:rPr>
      <w:fldChar w:fldCharType="end"/>
    </w:r>
    <w:r>
      <w:rPr>
        <w:rFonts w:ascii="Calibri" w:eastAsia="Calibri" w:hAnsi="Calibri" w:cs="Calibri"/>
        <w:color w:val="5A5A5A"/>
        <w:sz w:val="14"/>
        <w:szCs w:val="14"/>
      </w:rPr>
      <w:t xml:space="preserve"> / </w:t>
    </w:r>
    <w:r>
      <w:rPr>
        <w:rFonts w:ascii="Calibri" w:eastAsia="Calibri" w:hAnsi="Calibri" w:cs="Calibri"/>
        <w:color w:val="5A5A5A"/>
        <w:sz w:val="14"/>
        <w:szCs w:val="14"/>
      </w:rPr>
      <w:fldChar w:fldCharType="begin"/>
    </w:r>
    <w:r>
      <w:rPr>
        <w:rFonts w:ascii="Calibri" w:eastAsia="Calibri" w:hAnsi="Calibri" w:cs="Calibri"/>
        <w:color w:val="5A5A5A"/>
        <w:sz w:val="14"/>
        <w:szCs w:val="14"/>
      </w:rPr>
      <w:instrText>NUMPAGES</w:instrText>
    </w:r>
    <w:r>
      <w:rPr>
        <w:rFonts w:ascii="Calibri" w:eastAsia="Calibri" w:hAnsi="Calibri" w:cs="Calibri"/>
        <w:color w:val="5A5A5A"/>
        <w:sz w:val="14"/>
        <w:szCs w:val="14"/>
      </w:rPr>
      <w:fldChar w:fldCharType="separate"/>
    </w:r>
    <w:r w:rsidR="007F4E06">
      <w:rPr>
        <w:rFonts w:ascii="Calibri" w:eastAsia="Calibri" w:hAnsi="Calibri" w:cs="Calibri"/>
        <w:noProof/>
        <w:color w:val="5A5A5A"/>
        <w:sz w:val="14"/>
        <w:szCs w:val="14"/>
      </w:rPr>
      <w:t>4</w:t>
    </w:r>
    <w:r>
      <w:rPr>
        <w:rFonts w:ascii="Calibri" w:eastAsia="Calibri" w:hAnsi="Calibri" w:cs="Calibri"/>
        <w:color w:val="5A5A5A"/>
        <w:sz w:val="14"/>
        <w:szCs w:val="14"/>
      </w:rPr>
      <w:fldChar w:fldCharType="end"/>
    </w:r>
  </w:p>
  <w:p w14:paraId="5913DF23" w14:textId="77777777" w:rsidR="003A2F1D" w:rsidRDefault="004F738C">
    <w:pPr>
      <w:spacing w:before="20"/>
    </w:pPr>
    <w:r>
      <w:rPr>
        <w:rFonts w:ascii="Calibri" w:eastAsia="Calibri" w:hAnsi="Calibri" w:cs="Calibri"/>
        <w:i/>
        <w:iCs/>
        <w:color w:val="5A5A5A"/>
        <w:sz w:val="13"/>
        <w:szCs w:val="13"/>
      </w:rPr>
      <w:t>Ici, c'est mon point de vue de citoyen, et non celui d'un fiscaliste ou d'un expert en finances publiques (Mon analyse du quartier).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A5636" w14:textId="3EB85D0B" w:rsidR="003A2F1D" w:rsidRDefault="004F738C">
    <w:pPr>
      <w:pBdr>
        <w:top w:val="single" w:sz="12" w:space="6" w:color="4E9A44"/>
      </w:pBdr>
      <w:spacing w:before="60"/>
    </w:pPr>
    <w:r>
      <w:rPr>
        <w:rFonts w:ascii="Calibri" w:eastAsia="Calibri" w:hAnsi="Calibri" w:cs="Calibri"/>
        <w:b/>
        <w:bCs/>
        <w:color w:val="1E5B2A"/>
        <w:sz w:val="14"/>
        <w:szCs w:val="14"/>
      </w:rPr>
      <w:t>Dr. Louis Kadryl YEMBI-YEMBI, 22/04/2025, n° 04/2025</w:t>
    </w:r>
    <w:r>
      <w:rPr>
        <w:rFonts w:ascii="Calibri" w:eastAsia="Calibri" w:hAnsi="Calibri" w:cs="Calibri"/>
        <w:sz w:val="14"/>
        <w:szCs w:val="14"/>
      </w:rPr>
      <w:tab/>
    </w:r>
    <w:r>
      <w:rPr>
        <w:rFonts w:ascii="Calibri" w:eastAsia="Calibri" w:hAnsi="Calibri" w:cs="Calibri"/>
        <w:sz w:val="14"/>
        <w:szCs w:val="14"/>
      </w:rPr>
      <w:tab/>
    </w:r>
    <w:r>
      <w:rPr>
        <w:rFonts w:ascii="Calibri" w:eastAsia="Calibri" w:hAnsi="Calibri" w:cs="Calibri"/>
        <w:color w:val="5A5A5A"/>
        <w:sz w:val="14"/>
        <w:szCs w:val="14"/>
      </w:rPr>
      <w:t xml:space="preserve">Page </w:t>
    </w:r>
    <w:r>
      <w:rPr>
        <w:rFonts w:ascii="Calibri" w:eastAsia="Calibri" w:hAnsi="Calibri" w:cs="Calibri"/>
        <w:b/>
        <w:bCs/>
        <w:color w:val="1E5B2A"/>
        <w:sz w:val="14"/>
        <w:szCs w:val="14"/>
      </w:rPr>
      <w:fldChar w:fldCharType="begin"/>
    </w:r>
    <w:r>
      <w:rPr>
        <w:rFonts w:ascii="Calibri" w:eastAsia="Calibri" w:hAnsi="Calibri" w:cs="Calibri"/>
        <w:b/>
        <w:bCs/>
        <w:color w:val="1E5B2A"/>
        <w:sz w:val="14"/>
        <w:szCs w:val="14"/>
      </w:rPr>
      <w:instrText>PAGE</w:instrText>
    </w:r>
    <w:r>
      <w:rPr>
        <w:rFonts w:ascii="Calibri" w:eastAsia="Calibri" w:hAnsi="Calibri" w:cs="Calibri"/>
        <w:b/>
        <w:bCs/>
        <w:color w:val="1E5B2A"/>
        <w:sz w:val="14"/>
        <w:szCs w:val="14"/>
      </w:rPr>
      <w:fldChar w:fldCharType="separate"/>
    </w:r>
    <w:r w:rsidR="007F4E06">
      <w:rPr>
        <w:rFonts w:ascii="Calibri" w:eastAsia="Calibri" w:hAnsi="Calibri" w:cs="Calibri"/>
        <w:b/>
        <w:bCs/>
        <w:noProof/>
        <w:color w:val="1E5B2A"/>
        <w:sz w:val="14"/>
        <w:szCs w:val="14"/>
      </w:rPr>
      <w:t>4</w:t>
    </w:r>
    <w:r>
      <w:rPr>
        <w:rFonts w:ascii="Calibri" w:eastAsia="Calibri" w:hAnsi="Calibri" w:cs="Calibri"/>
        <w:b/>
        <w:bCs/>
        <w:color w:val="1E5B2A"/>
        <w:sz w:val="14"/>
        <w:szCs w:val="14"/>
      </w:rPr>
      <w:fldChar w:fldCharType="end"/>
    </w:r>
    <w:r>
      <w:rPr>
        <w:rFonts w:ascii="Calibri" w:eastAsia="Calibri" w:hAnsi="Calibri" w:cs="Calibri"/>
        <w:color w:val="5A5A5A"/>
        <w:sz w:val="14"/>
        <w:szCs w:val="14"/>
      </w:rPr>
      <w:t xml:space="preserve"> / </w:t>
    </w:r>
    <w:r>
      <w:rPr>
        <w:rFonts w:ascii="Calibri" w:eastAsia="Calibri" w:hAnsi="Calibri" w:cs="Calibri"/>
        <w:color w:val="5A5A5A"/>
        <w:sz w:val="14"/>
        <w:szCs w:val="14"/>
      </w:rPr>
      <w:fldChar w:fldCharType="begin"/>
    </w:r>
    <w:r>
      <w:rPr>
        <w:rFonts w:ascii="Calibri" w:eastAsia="Calibri" w:hAnsi="Calibri" w:cs="Calibri"/>
        <w:color w:val="5A5A5A"/>
        <w:sz w:val="14"/>
        <w:szCs w:val="14"/>
      </w:rPr>
      <w:instrText>NUMPAGES</w:instrText>
    </w:r>
    <w:r>
      <w:rPr>
        <w:rFonts w:ascii="Calibri" w:eastAsia="Calibri" w:hAnsi="Calibri" w:cs="Calibri"/>
        <w:color w:val="5A5A5A"/>
        <w:sz w:val="14"/>
        <w:szCs w:val="14"/>
      </w:rPr>
      <w:fldChar w:fldCharType="separate"/>
    </w:r>
    <w:r w:rsidR="007F4E06">
      <w:rPr>
        <w:rFonts w:ascii="Calibri" w:eastAsia="Calibri" w:hAnsi="Calibri" w:cs="Calibri"/>
        <w:noProof/>
        <w:color w:val="5A5A5A"/>
        <w:sz w:val="14"/>
        <w:szCs w:val="14"/>
      </w:rPr>
      <w:t>4</w:t>
    </w:r>
    <w:r>
      <w:rPr>
        <w:rFonts w:ascii="Calibri" w:eastAsia="Calibri" w:hAnsi="Calibri" w:cs="Calibri"/>
        <w:color w:val="5A5A5A"/>
        <w:sz w:val="14"/>
        <w:szCs w:val="14"/>
      </w:rPr>
      <w:fldChar w:fldCharType="end"/>
    </w:r>
  </w:p>
  <w:p w14:paraId="502A190D" w14:textId="77777777" w:rsidR="003A2F1D" w:rsidRDefault="004F738C">
    <w:pPr>
      <w:spacing w:before="20"/>
    </w:pPr>
    <w:r>
      <w:rPr>
        <w:rFonts w:ascii="Calibri" w:eastAsia="Calibri" w:hAnsi="Calibri" w:cs="Calibri"/>
        <w:i/>
        <w:iCs/>
        <w:color w:val="5A5A5A"/>
        <w:sz w:val="13"/>
        <w:szCs w:val="13"/>
      </w:rPr>
      <w:t>Ici, c'est mon point de vue de citoyen, et non celui d'un fiscaliste ou d'un expert en finances publiques (Mon analyse du quartier).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10345" w14:textId="77777777" w:rsidR="008B4D2B" w:rsidRDefault="008B4D2B">
      <w:r>
        <w:separator/>
      </w:r>
    </w:p>
  </w:footnote>
  <w:footnote w:type="continuationSeparator" w:id="0">
    <w:p w14:paraId="78DFD616" w14:textId="77777777" w:rsidR="008B4D2B" w:rsidRDefault="008B4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761026"/>
    <w:multiLevelType w:val="hybridMultilevel"/>
    <w:tmpl w:val="80B88D6A"/>
    <w:lvl w:ilvl="0" w:tplc="81A4FF9E">
      <w:start w:val="1"/>
      <w:numFmt w:val="bullet"/>
      <w:lvlText w:val="●"/>
      <w:lvlJc w:val="left"/>
      <w:pPr>
        <w:ind w:left="720" w:hanging="360"/>
      </w:pPr>
    </w:lvl>
    <w:lvl w:ilvl="1" w:tplc="D86C2D10">
      <w:start w:val="1"/>
      <w:numFmt w:val="bullet"/>
      <w:lvlText w:val="○"/>
      <w:lvlJc w:val="left"/>
      <w:pPr>
        <w:ind w:left="1440" w:hanging="360"/>
      </w:pPr>
    </w:lvl>
    <w:lvl w:ilvl="2" w:tplc="2766B922">
      <w:start w:val="1"/>
      <w:numFmt w:val="bullet"/>
      <w:lvlText w:val="■"/>
      <w:lvlJc w:val="left"/>
      <w:pPr>
        <w:ind w:left="2160" w:hanging="360"/>
      </w:pPr>
    </w:lvl>
    <w:lvl w:ilvl="3" w:tplc="C80CF43C">
      <w:start w:val="1"/>
      <w:numFmt w:val="bullet"/>
      <w:lvlText w:val="●"/>
      <w:lvlJc w:val="left"/>
      <w:pPr>
        <w:ind w:left="2880" w:hanging="360"/>
      </w:pPr>
    </w:lvl>
    <w:lvl w:ilvl="4" w:tplc="483C9FF0">
      <w:start w:val="1"/>
      <w:numFmt w:val="bullet"/>
      <w:lvlText w:val="○"/>
      <w:lvlJc w:val="left"/>
      <w:pPr>
        <w:ind w:left="3600" w:hanging="360"/>
      </w:pPr>
    </w:lvl>
    <w:lvl w:ilvl="5" w:tplc="630A1366">
      <w:start w:val="1"/>
      <w:numFmt w:val="bullet"/>
      <w:lvlText w:val="■"/>
      <w:lvlJc w:val="left"/>
      <w:pPr>
        <w:ind w:left="4320" w:hanging="360"/>
      </w:pPr>
    </w:lvl>
    <w:lvl w:ilvl="6" w:tplc="8D36E138">
      <w:start w:val="1"/>
      <w:numFmt w:val="bullet"/>
      <w:lvlText w:val="●"/>
      <w:lvlJc w:val="left"/>
      <w:pPr>
        <w:ind w:left="5040" w:hanging="360"/>
      </w:pPr>
    </w:lvl>
    <w:lvl w:ilvl="7" w:tplc="D9F64822">
      <w:start w:val="1"/>
      <w:numFmt w:val="bullet"/>
      <w:lvlText w:val="●"/>
      <w:lvlJc w:val="left"/>
      <w:pPr>
        <w:ind w:left="5760" w:hanging="360"/>
      </w:pPr>
    </w:lvl>
    <w:lvl w:ilvl="8" w:tplc="CB8067AA">
      <w:start w:val="1"/>
      <w:numFmt w:val="bullet"/>
      <w:lvlText w:val="●"/>
      <w:lvlJc w:val="left"/>
      <w:pPr>
        <w:ind w:left="6480" w:hanging="360"/>
      </w:pPr>
    </w:lvl>
  </w:abstractNum>
  <w:abstractNum w:abstractNumId="1" w15:restartNumberingAfterBreak="0">
    <w:nsid w:val="430029EA"/>
    <w:multiLevelType w:val="hybridMultilevel"/>
    <w:tmpl w:val="72A49112"/>
    <w:lvl w:ilvl="0" w:tplc="C9AA296E">
      <w:start w:val="1"/>
      <w:numFmt w:val="bullet"/>
      <w:lvlText w:val="▪"/>
      <w:lvlJc w:val="left"/>
      <w:pPr>
        <w:ind w:left="260" w:hanging="200"/>
      </w:pPr>
      <w:rPr>
        <w:rFonts w:ascii="Calibri" w:eastAsia="Calibri" w:hAnsi="Calibri" w:cs="Calibri"/>
        <w:color w:val="4E9A44"/>
      </w:rPr>
    </w:lvl>
    <w:lvl w:ilvl="1" w:tplc="B0F88FC8">
      <w:numFmt w:val="decimal"/>
      <w:lvlText w:val=""/>
      <w:lvlJc w:val="left"/>
    </w:lvl>
    <w:lvl w:ilvl="2" w:tplc="841A4162">
      <w:numFmt w:val="decimal"/>
      <w:lvlText w:val=""/>
      <w:lvlJc w:val="left"/>
    </w:lvl>
    <w:lvl w:ilvl="3" w:tplc="C8B8AD72">
      <w:numFmt w:val="decimal"/>
      <w:lvlText w:val=""/>
      <w:lvlJc w:val="left"/>
    </w:lvl>
    <w:lvl w:ilvl="4" w:tplc="682A7806">
      <w:numFmt w:val="decimal"/>
      <w:lvlText w:val=""/>
      <w:lvlJc w:val="left"/>
    </w:lvl>
    <w:lvl w:ilvl="5" w:tplc="FAD41C32">
      <w:numFmt w:val="decimal"/>
      <w:lvlText w:val=""/>
      <w:lvlJc w:val="left"/>
    </w:lvl>
    <w:lvl w:ilvl="6" w:tplc="0E02A700">
      <w:numFmt w:val="decimal"/>
      <w:lvlText w:val=""/>
      <w:lvlJc w:val="left"/>
    </w:lvl>
    <w:lvl w:ilvl="7" w:tplc="5B309FA6">
      <w:numFmt w:val="decimal"/>
      <w:lvlText w:val=""/>
      <w:lvlJc w:val="left"/>
    </w:lvl>
    <w:lvl w:ilvl="8" w:tplc="3DD8E71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F1D"/>
    <w:rsid w:val="003A2F1D"/>
    <w:rsid w:val="004E3A53"/>
    <w:rsid w:val="004F738C"/>
    <w:rsid w:val="007F4E06"/>
    <w:rsid w:val="00837844"/>
    <w:rsid w:val="008B4D2B"/>
  </w:rsids>
  <m:mathPr>
    <m:mathFont m:val="Cambria Math"/>
    <m:brkBin m:val="before"/>
    <m:brkBinSub m:val="--"/>
    <m:smallFrac m:val="0"/>
    <m:dispDef/>
    <m:lMargin m:val="0"/>
    <m:rMargin m:val="0"/>
    <m:defJc m:val="centerGroup"/>
    <m:wrapIndent m:val="1440"/>
    <m:intLim m:val="subSup"/>
    <m:naryLim m:val="undOvr"/>
  </m:mathPr>
  <w:themeFontLang w:val="fr-G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54A0"/>
  <w15:docId w15:val="{E172606C-36F1-4733-92D6-E14ADA7B0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GA" w:eastAsia="fr-G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3180</Words>
  <Characters>18129</Characters>
  <Application>Microsoft Office Word</Application>
  <DocSecurity>0</DocSecurity>
  <Lines>151</Lines>
  <Paragraphs>42</Paragraphs>
  <ScaleCrop>false</ScaleCrop>
  <Company/>
  <LinksUpToDate>false</LinksUpToDate>
  <CharactersWithSpaces>21267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Contribution Foncière Unique au Gabon, Mes Analyses du quartier n° 04/2025</dc:title>
  <dc:creator>Dr. Louis Kadryl YEMBI-YEMBI</dc:creator>
  <dc:description>Analyse citoyenne : fiscalité foncière, cadastre et finances locales</dc:description>
  <cp:lastModifiedBy>Louis Kadryl YEMBI-YEMBI</cp:lastModifiedBy>
  <cp:revision>4</cp:revision>
  <cp:lastPrinted>2026-09-17T10:10:00Z</cp:lastPrinted>
  <dcterms:created xsi:type="dcterms:W3CDTF">2026-09-17T09:53:00Z</dcterms:created>
  <dcterms:modified xsi:type="dcterms:W3CDTF">2026-09-17T10:10:00Z</dcterms:modified>
</cp:coreProperties>
</file>