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914400" cy="320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itfaci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0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914400" cy="3037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eco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8"/>
        </w:rPr>
        <w:t>Relatório Mensal</w:t>
      </w:r>
    </w:p>
    <w:p>
      <w:pPr>
        <w:jc w:val="center"/>
      </w:pPr>
      <w:r>
        <w:rPr>
          <w:sz w:val="36"/>
        </w:rPr>
        <w:t>Run BOOK</w:t>
        <w:br/>
        <w:t>September de 2024</w:t>
      </w:r>
    </w:p>
    <w:p>
      <w:pPr>
        <w:jc w:val="center"/>
      </w:pPr>
      <w:r>
        <w:rPr>
          <w:sz w:val="24"/>
        </w:rPr>
        <w:t>Relatório Gerencial Mensal</w:t>
        <w:br/>
        <w:t>Informativo – RunBook</w:t>
        <w:br/>
        <w:t>Volumetria e Nível de Serviço</w:t>
      </w:r>
    </w:p>
    <w:p>
      <w:pPr>
        <w:jc w:val="center"/>
      </w:pPr>
      <w:r>
        <w:rPr>
          <w:sz w:val="20"/>
        </w:rPr>
        <w:t>Controle do documento — Versão - 001</w:t>
        <w:br/>
        <w:t>Gerente Contrato: Alexandre Bruno</w:t>
      </w:r>
    </w:p>
    <w:p>
      <w:pPr>
        <w:jc w:val="center"/>
      </w:pPr>
      <w:r>
        <w:rPr>
          <w:sz w:val="20"/>
        </w:rPr>
        <w:t>Data de entrega – 10/09/2024</w:t>
        <w:br/>
        <w:t>Referência – 01/09/2024 – de 01 até 30/09/2024</w:t>
      </w:r>
    </w:p>
    <w:p>
      <w:pPr>
        <w:pStyle w:val="Title"/>
      </w:pPr>
      <w:r>
        <w:t>Relatório Gerencial Mensal</w:t>
      </w:r>
    </w:p>
    <w:p>
      <w:r>
        <w:t>Sumário:</w:t>
      </w:r>
    </w:p>
    <w:p>
      <w:r>
        <w:t>1. Objetivo</w:t>
      </w:r>
    </w:p>
    <w:p>
      <w:r>
        <w:t>2. Relatório Mensal</w:t>
      </w:r>
    </w:p>
    <w:p>
      <w:r>
        <w:t>3. Run Book</w:t>
      </w:r>
    </w:p>
    <w:p>
      <w:r>
        <w:t>4. Relatório Gerencial Informativo</w:t>
      </w:r>
    </w:p>
    <w:p>
      <w:r>
        <w:t>5. Volumetria e Nível de Serviço</w:t>
      </w:r>
    </w:p>
    <w:p>
      <w:r>
        <w:t>6. Controle do Documento</w:t>
      </w:r>
    </w:p>
    <w:p>
      <w:r>
        <w:t>7. SLA Solução</w:t>
      </w:r>
    </w:p>
    <w:p>
      <w:r>
        <w:t>8. Histórico de Versões</w:t>
      </w:r>
    </w:p>
    <w:p>
      <w:r>
        <w:t>9. Fatos Relevantes</w:t>
      </w:r>
    </w:p>
    <w:p>
      <w:r>
        <w:t>10. Gestão de Serviços</w:t>
      </w:r>
    </w:p>
    <w:p>
      <w:r>
        <w:t>11. Relatório de Chamados</w:t>
      </w:r>
    </w:p>
    <w:p>
      <w:r>
        <w:t>12. Classificação dos Incidentes</w:t>
      </w:r>
    </w:p>
    <w:p>
      <w:pPr>
        <w:pStyle w:val="Heading1"/>
      </w:pPr>
      <w:r>
        <w:t>Objetivo</w:t>
      </w:r>
    </w:p>
    <w:p>
      <w:r>
        <w:t>Mensalmente, será apresentado o relatório “Run-Book” contendo as informações baseadas na operação dos últimos 30 dias, com as seguintes informações, porém não limitado a:</w:t>
      </w:r>
    </w:p>
    <w:p>
      <w:r>
        <w:br/>
        <w:t xml:space="preserve">        • Relatório de incidentes ocorrido no período anterior contendo a classificação dos incidentes e SLA atingido</w:t>
        <w:br/>
        <w:t xml:space="preserve">        • Descritivo e tratativa dos incidentes críticos ocorridos no período anterior. </w:t>
        <w:br/>
        <w:t xml:space="preserve">        • Informativo a respeito dos itens de segurança da informação como a atualização de patchs de segurança e hotfixes. </w:t>
        <w:br/>
        <w:t xml:space="preserve">        • Resumo dos recursos computacionais utilizados contendo % de consumo – capacidade do ambiente computacional. </w:t>
        <w:br/>
        <w:t xml:space="preserve">        • Resumo da saúde dos elementos tecnológicos fornecidos nesta solução. </w:t>
        <w:br/>
        <w:t xml:space="preserve">        • Resumo dos alertas gerados pelo sistema de monitoramento para todos os elementos tecnológicos fornecidos pela ITFácil. </w:t>
        <w:br/>
        <w:t xml:space="preserve">        • Indicativo de risco e recomendação de tomada de ação </w:t>
        <w:br/>
        <w:t xml:space="preserve">        • Relatório sobre inventário do parque e acompanhamento da vida útil.</w:t>
      </w:r>
    </w:p>
    <w:p>
      <w:r>
        <w:t>Adicionalmente ao Run-Book mensal, a ITfácil poderá fornecer a pedido do cliente</w:t>
      </w:r>
    </w:p>
    <w:p>
      <w:r>
        <w:br/>
        <w:t xml:space="preserve">        • Relatório check-list de execução de rotina de backup diário </w:t>
        <w:br/>
        <w:t xml:space="preserve">        • Relatório check-list de execução de replicação do site Disaster Recovery diário </w:t>
        <w:br/>
        <w:t xml:space="preserve">        • Check-list operacional a respeito do funcionamento da infraestrutura e sistemas diário </w:t>
        <w:br/>
        <w:t xml:space="preserve">        • Relatórios de auditoria (conforme demanda)</w:t>
        <w:br/>
        <w:t xml:space="preserve">        </w:t>
      </w:r>
    </w:p>
    <w:p>
      <w:pPr>
        <w:pStyle w:val="Heading1"/>
      </w:pPr>
      <w:r>
        <w:t>SLA - Solução</w:t>
      </w:r>
    </w:p>
    <w:p>
      <w:r>
        <w:drawing>
          <wp:inline xmlns:a="http://schemas.openxmlformats.org/drawingml/2006/main" xmlns:pic="http://schemas.openxmlformats.org/drawingml/2006/picture">
            <wp:extent cx="3117272" cy="10931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a_padra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272" cy="1093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Histórico de versões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VERSÃO</w:t>
            </w:r>
          </w:p>
        </w:tc>
        <w:tc>
          <w:tcPr>
            <w:tcW w:type="dxa" w:w="2160"/>
          </w:tcPr>
          <w:p>
            <w:r>
              <w:t>DESCRIÇÃO DE ALTERAÇÃO</w:t>
            </w:r>
          </w:p>
        </w:tc>
        <w:tc>
          <w:tcPr>
            <w:tcW w:type="dxa" w:w="2160"/>
          </w:tcPr>
          <w:p>
            <w:r>
              <w:t>RESPONSÁVEIS</w:t>
            </w:r>
          </w:p>
        </w:tc>
      </w:tr>
      <w:tr>
        <w:tc>
          <w:tcPr>
            <w:tcW w:type="dxa" w:w="2160"/>
          </w:tcPr>
          <w:p>
            <w:r>
              <w:t>08/10/2024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Criação de documento</w:t>
            </w:r>
          </w:p>
        </w:tc>
        <w:tc>
          <w:tcPr>
            <w:tcW w:type="dxa" w:w="2160"/>
          </w:tcPr>
          <w:p>
            <w:r>
              <w:t>Autor: Luuuiz</w:t>
              <w:br/>
              <w:t>Revisor: Leandro Gimenez</w:t>
              <w:br/>
              <w:t>Aprovador: Alexandre Bruno</w:t>
            </w:r>
          </w:p>
        </w:tc>
      </w:tr>
    </w:tbl>
    <w:p>
      <w:pPr>
        <w:pStyle w:val="Heading1"/>
      </w:pPr>
      <w:r>
        <w:t>Fatos relevantes</w:t>
      </w:r>
    </w:p>
    <w:p>
      <w:r>
        <w:t>1 - Principais ocorrências</w:t>
      </w:r>
    </w:p>
    <w:p>
      <w:r>
        <w:t>Durante o período de 01/09/2024 até 30/09/2024 foram detectadas 28 ocorrências em aberto e 0 ocorrências devidamente tratadas e aplicadas sem impactos relevantes no ambiente. Inclusive sem a necessidade de emissão de relatórios de eventos operacionais.</w:t>
      </w:r>
    </w:p>
    <w:p>
      <w:r>
        <w:t>Total de chamados abertos: 28</w:t>
      </w:r>
    </w:p>
    <w:p>
      <w:r>
        <w:t>Total de chamados concluídos: 0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Chamados por departamento</w:t>
      </w:r>
    </w:p>
    <w:p>
      <w:r>
        <w:t>Chamados abertos para [TI] INFRASTRUTURA: 15 chamado(s)</w:t>
      </w:r>
    </w:p>
    <w:p>
      <w:r>
        <w:t>Chamados abertos para [TI] Solicitações: 26 chamado(s)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Gestão de Serviços</w:t>
      </w:r>
    </w:p>
    <w:p>
      <w:r>
        <w:t>Foi implantado a Gestão de projetos na Ecom, utilizando a ferramenta do Pipefy, com a criação de vários controles que podem ser gerenciados pela equipe Ecom e Itfácil em conjunto, essa ferramenta trouxe mais transparências nas atividades, registro dos passos e evidências além de criar uma base de conhecimento que pode ser consultada a qualquer momento.</w:t>
      </w:r>
    </w:p>
    <w:p>
      <w:r>
        <w:drawing>
          <wp:inline xmlns:a="http://schemas.openxmlformats.org/drawingml/2006/main" xmlns:pic="http://schemas.openxmlformats.org/drawingml/2006/picture">
            <wp:extent cx="3657600" cy="390058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_Image_2024-09-13_at_10.58.48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0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Acesse o quadro Pipefy aqui: </w:t>
      </w:r>
      <w:hyperlink r:id="rId15">
        <w:r>
          <w:rPr>
            <w:color w:val="0000FF"/>
            <w:u w:val="single"/>
          </w:rPr>
          <w:t>Quadro - Ecom - Tarefas ITFacil Equipe - Pipefy</w:t>
        </w:r>
      </w:hyperlink>
    </w:p>
    <w:p>
      <w:r>
        <w:t>3. Chamados por classificação</w:t>
      </w:r>
    </w:p>
    <w:p>
      <w:r>
        <w:t>Classificação dos Incidentes: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Resumo dos recursos computacionais utilizados contendo % de consumo – capacidade do ambiente computacional.</w:t>
      </w:r>
    </w:p>
    <w:p>
      <w:r>
        <w:t>Considerando a topologia no ambiente Ecom / Cirion –abaixo, esta em desenvolvimento o  monitoramento com a capacidade de listar os % de consumo dos Host por períodos, promovendo as seguintes informações:</w:t>
      </w:r>
    </w:p>
    <w:p>
      <w:r>
        <w:drawing>
          <wp:inline xmlns:a="http://schemas.openxmlformats.org/drawingml/2006/main" xmlns:pic="http://schemas.openxmlformats.org/drawingml/2006/picture">
            <wp:extent cx="3657600" cy="1663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dora_preench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3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Check-list operacional a respeito do funcionamento da infraestrutura e sistemas diário</w:t>
      </w:r>
    </w:p>
    <w:p>
      <w:r>
        <w:t xml:space="preserve">Disponível no diretório: </w:t>
      </w:r>
      <w:hyperlink r:id="rId18">
        <w:r>
          <w:rPr>
            <w:color w:val="0000FF"/>
            <w:u w:val="single"/>
          </w:rPr>
          <w:t>Lista de Check List - Diario</w:t>
        </w:r>
      </w:hyperlink>
    </w:p>
    <w:p>
      <w:r>
        <w:t>Esta disponível o manual do check-list atualizado, com o processo passo-a-passo e um arquivo zip com todos os check list realizados inclusive com as observações e ocorrências.</w:t>
      </w:r>
    </w:p>
    <w:p>
      <w:pPr>
        <w:pStyle w:val="Heading1"/>
      </w:pPr>
      <w:r>
        <w:t>Backup Cirion, acompanhamento diário</w:t>
      </w:r>
    </w:p>
    <w:p>
      <w:r>
        <w:t>O backup é realizado junto ao checklist diário.</w:t>
      </w:r>
    </w:p>
    <w:p>
      <w:pPr>
        <w:pStyle w:val="Heading1"/>
      </w:pPr>
      <w:r>
        <w:t>Controle de aplicativos instalados</w:t>
      </w:r>
    </w:p>
    <w:p>
      <w:r>
        <w:t>Disponível no diretório:</w:t>
      </w:r>
      <w:hyperlink r:id="rId19">
        <w:r>
          <w:rPr>
            <w:color w:val="0000FF"/>
            <w:u w:val="single"/>
          </w:rPr>
          <w:t>Controle de Aplicativos e Sistemas Instalados</w:t>
        </w:r>
      </w:hyperlink>
    </w:p>
    <w:p>
      <w:pPr>
        <w:pStyle w:val="Heading1"/>
      </w:pPr>
      <w:r>
        <w:t>O Sistema GLPI e o Kaspersky fazem a gestão dos ativos controalndo a parte física e lógica de todos os equipamentos</w:t>
      </w:r>
    </w:p>
    <w:p>
      <w:r>
        <w:t>A lista completa, bem como o inventário por equipamentos poderá ser acompanhado e gerenciado diretamente no GLPI ou Kaspersky</w:t>
      </w:r>
    </w:p>
    <w:p>
      <w:r>
        <w:t xml:space="preserve">Relatório completo está disponível em: </w:t>
      </w:r>
      <w:hyperlink r:id="rId20">
        <w:r>
          <w:rPr>
            <w:color w:val="0000FF"/>
            <w:u w:val="single"/>
          </w:rPr>
          <w:t>Inventario de Maquinas - GLPI</w:t>
        </w:r>
      </w:hyperlink>
    </w:p>
    <w:p>
      <w:pPr>
        <w:pStyle w:val="Heading1"/>
      </w:pPr>
      <w:r>
        <w:t>Chamados Referente a TOTVS</w:t>
      </w:r>
    </w:p>
    <w:p>
      <w:r>
        <w:drawing>
          <wp:inline xmlns:a="http://schemas.openxmlformats.org/drawingml/2006/main" xmlns:pic="http://schemas.openxmlformats.org/drawingml/2006/picture">
            <wp:extent cx="3657600" cy="390058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_Image_2024-09-13_at_10.58.48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05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hyperlink" Target="https://app.pipefy.com/pipes/304582953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ecom742.sharepoint.com/sites/WorkPlace-IT/Documentos Compartilhados/General/TI.INVENT&#193;RIO/RUNBOOK/Julho/CHECKLISTS" TargetMode="External"/><Relationship Id="rId19" Type="http://schemas.openxmlformats.org/officeDocument/2006/relationships/hyperlink" Target="../Ecom%20Energia/WorkSPace%20-%20IT%20-%20General/TI.INVENT&#193;RIO/RUNBOOK/Agosto/Programas%20Instalados.xlsx" TargetMode="External"/><Relationship Id="rId20" Type="http://schemas.openxmlformats.org/officeDocument/2006/relationships/hyperlink" Target="../Ecom%20Energia/WorkSPace%20-%20IT%20-%20General/TI.INVENT&#193;RIO/RUNBOOK/Agosto/Invent&#225;rio%20GLP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