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42A8DCB" w:rsidP="342A8DCB" w:rsidRDefault="342A8DCB" w14:paraId="093F85B4" w14:textId="445FD8CB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342A8DCB" w:rsidR="342A8DCB">
        <w:rPr>
          <w:b w:val="1"/>
          <w:bCs w:val="1"/>
          <w:sz w:val="32"/>
          <w:szCs w:val="32"/>
          <w:u w:val="single"/>
        </w:rPr>
        <w:t>Volkswagen AG</w:t>
      </w:r>
    </w:p>
    <w:p w:rsidR="342A8DCB" w:rsidP="342A8DCB" w:rsidRDefault="342A8DCB" w14:paraId="2DBC4C91" w14:textId="53D43C89">
      <w:pPr>
        <w:pStyle w:val="Normal"/>
      </w:pPr>
      <w:r w:rsidR="342A8DCB">
        <w:rPr/>
        <w:t>Multinationale allemande créée en 1937</w:t>
      </w:r>
      <w:r>
        <w:br/>
      </w:r>
      <w:r w:rsidR="342A8DCB">
        <w:rPr/>
        <w:t>Leader européen de la construction automobile en 2022</w:t>
      </w:r>
      <w:r>
        <w:br/>
      </w:r>
      <w:r w:rsidR="342A8DCB">
        <w:rPr/>
        <w:t xml:space="preserve">-&gt; 24,7% en 2022 (Statista : </w:t>
      </w:r>
      <w:hyperlink r:id="Rc2095e7c2421409d">
        <w:r w:rsidRPr="342A8DCB" w:rsidR="342A8DCB">
          <w:rPr>
            <w:rStyle w:val="Hyperlink"/>
          </w:rPr>
          <w:t>https://fr.statista.com/statistiques/565008/part-de-marche-selection-constructeurs-automobiles-europe/</w:t>
        </w:r>
      </w:hyperlink>
      <w:r w:rsidR="342A8DCB">
        <w:rPr/>
        <w:t>)</w:t>
      </w:r>
    </w:p>
    <w:p w:rsidR="342A8DCB" w:rsidP="342A8DCB" w:rsidRDefault="342A8DCB" w14:paraId="1EF99457" w14:textId="11E60A92">
      <w:pPr>
        <w:pStyle w:val="Normal"/>
      </w:pPr>
      <w:hyperlink r:id="Rfa175b7fa7fc4491">
        <w:r w:rsidRPr="342A8DCB" w:rsidR="342A8DCB">
          <w:rPr>
            <w:rStyle w:val="Hyperlink"/>
          </w:rPr>
          <w:t>https://fr.statista.com/statistiques/504304/producteur-voitures-ventes-des-vehicules-classement-mondial/</w:t>
        </w:r>
      </w:hyperlink>
    </w:p>
    <w:p w:rsidR="342A8DCB" w:rsidP="342A8DCB" w:rsidRDefault="342A8DCB" w14:paraId="60D4DE6C" w14:textId="7A549349">
      <w:pPr>
        <w:pStyle w:val="Normal"/>
      </w:pPr>
      <w:r w:rsidR="342A8DCB">
        <w:rPr/>
        <w:t xml:space="preserve">Principaux concurrents en Europe : </w:t>
      </w:r>
      <w:r w:rsidR="342A8DCB">
        <w:rPr/>
        <w:t>Stellantis</w:t>
      </w:r>
      <w:r w:rsidR="342A8DCB">
        <w:rPr/>
        <w:t>, Renault, Hyundai, BMW, Toyota</w:t>
      </w:r>
      <w:r>
        <w:br/>
      </w:r>
      <w:r w:rsidR="342A8DCB">
        <w:rPr/>
        <w:t>Implantée sur tous les continents</w:t>
      </w:r>
    </w:p>
    <w:p w:rsidR="342A8DCB" w:rsidP="342A8DCB" w:rsidRDefault="342A8DCB" w14:paraId="2361BC6D" w14:textId="37DE3CD1">
      <w:pPr>
        <w:pStyle w:val="Normal"/>
      </w:pPr>
      <w:r>
        <w:drawing>
          <wp:inline wp14:editId="04AA9068" wp14:anchorId="3B86229D">
            <wp:extent cx="5724524" cy="2905125"/>
            <wp:effectExtent l="0" t="0" r="0" b="0"/>
            <wp:docPr id="372254654" name="" descr="undefin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2406b9c37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8DCB" w:rsidP="342A8DCB" w:rsidRDefault="342A8DCB" w14:paraId="573FBE36" w14:textId="177B0F8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"/>
        </w:rPr>
      </w:pPr>
      <w:r w:rsidR="342A8DCB">
        <w:rPr/>
        <w:t xml:space="preserve">Détient les marques </w:t>
      </w:r>
      <w:r w:rsidRPr="342A8DCB" w:rsidR="342A8D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"/>
        </w:rPr>
        <w:t>Volkswagen, Audi, Seat, Cupra, Škoda, Porsche, Lamborghini, Bentley, Jetta, Bugatti les motos Ducati, et les camions Scania, MAN, Navistar</w:t>
      </w:r>
      <w:r>
        <w:br/>
      </w:r>
      <w:r w:rsidRPr="342A8DCB" w:rsidR="342A8D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"/>
        </w:rPr>
        <w:t>(Camions : groupe Traton)</w:t>
      </w:r>
    </w:p>
    <w:p w:rsidR="342A8DCB" w:rsidP="342A8DCB" w:rsidRDefault="342A8DCB" w14:paraId="15F3E2EE" w14:textId="78A0854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"/>
        </w:rPr>
      </w:pPr>
      <w:r w:rsidRPr="342A8DCB" w:rsidR="342A8D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"/>
        </w:rPr>
        <w:t>Chiffre d’affaires 2022 : 279,232 milliards €</w:t>
      </w:r>
      <w:r>
        <w:br/>
      </w:r>
      <w:r w:rsidRPr="342A8DCB" w:rsidR="342A8D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"/>
        </w:rPr>
        <w:t>Chiffre d’affaires 2021 : 250,200 milliards €</w:t>
      </w:r>
    </w:p>
    <w:p w:rsidR="342A8DCB" w:rsidP="342A8DCB" w:rsidRDefault="342A8DCB" w14:paraId="074FBA73" w14:textId="4B4BB94A">
      <w:pPr>
        <w:pStyle w:val="Normal"/>
      </w:pPr>
      <w:r>
        <w:drawing>
          <wp:inline wp14:editId="1BC0F70D" wp14:anchorId="51E1D78C">
            <wp:extent cx="4572000" cy="1666875"/>
            <wp:effectExtent l="0" t="0" r="0" b="0"/>
            <wp:docPr id="1591615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affd68ad7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8DCB" w:rsidP="342A8DCB" w:rsidRDefault="342A8DCB" w14:paraId="7D227D92" w14:textId="7698DAA7">
      <w:pPr>
        <w:pStyle w:val="Normal"/>
      </w:pPr>
    </w:p>
    <w:p w:rsidR="342A8DCB" w:rsidP="342A8DCB" w:rsidRDefault="342A8DCB" w14:paraId="64407D83" w14:textId="529EDA78">
      <w:pPr>
        <w:pStyle w:val="Normal"/>
      </w:pPr>
      <w:r>
        <w:drawing>
          <wp:inline wp14:editId="6C40629B" wp14:anchorId="675E0CC0">
            <wp:extent cx="3038475" cy="1514475"/>
            <wp:effectExtent l="0" t="0" r="0" b="0"/>
            <wp:docPr id="1454166444" name="" descr="Volkswaagen Group - Volkswagen AG, Founded year,Brands,Model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42e6132ec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8DCB" w:rsidP="342A8DCB" w:rsidRDefault="342A8DCB" w14:paraId="1F747567" w14:textId="461A1508">
      <w:pPr>
        <w:pStyle w:val="Normal"/>
      </w:pPr>
    </w:p>
    <w:p w:rsidR="342A8DCB" w:rsidP="342A8DCB" w:rsidRDefault="342A8DCB" w14:paraId="1223F1C7" w14:textId="02849DE8">
      <w:pPr>
        <w:pStyle w:val="Normal"/>
      </w:pPr>
      <w:r>
        <w:drawing>
          <wp:inline wp14:editId="41369D2C" wp14:anchorId="1D54FF08">
            <wp:extent cx="4572000" cy="2047875"/>
            <wp:effectExtent l="0" t="0" r="0" b="0"/>
            <wp:docPr id="194779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c646f38ac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8DCB" w:rsidP="342A8DCB" w:rsidRDefault="342A8DCB" w14:paraId="465DB56A" w14:textId="22382636">
      <w:pPr>
        <w:pStyle w:val="Normal"/>
      </w:pPr>
      <w:r w:rsidR="342A8DCB">
        <w:rPr/>
        <w:t xml:space="preserve">Les deux secteurs des véhicules passagers et commerciaux regroupent les activités de </w:t>
      </w:r>
      <w:r w:rsidR="342A8DCB">
        <w:rPr/>
        <w:t>développement</w:t>
      </w:r>
      <w:r w:rsidR="342A8DCB">
        <w:rPr/>
        <w:t xml:space="preserve"> et de commercialisation des véhicules, des moteurs et logiciels pour véhicules. Le secteur Power Engineering regroupe les activités de moteurs diesel, de turbomachines, de </w:t>
      </w:r>
      <w:r w:rsidR="342A8DCB">
        <w:rPr/>
        <w:t>réducteurs</w:t>
      </w:r>
      <w:r w:rsidR="342A8DCB">
        <w:rPr/>
        <w:t xml:space="preserve"> spéciaux et de composants de transmission.</w:t>
      </w:r>
    </w:p>
    <w:p w:rsidR="342A8DCB" w:rsidP="342A8DCB" w:rsidRDefault="342A8DCB" w14:paraId="4B7D03C6" w14:textId="47D8E40B">
      <w:pPr>
        <w:pStyle w:val="Normal"/>
      </w:pPr>
      <w:r w:rsidR="342A8DCB">
        <w:rPr/>
        <w:t>Caractéristiques des véhicules :</w:t>
      </w:r>
    </w:p>
    <w:p w:rsidR="342A8DCB" w:rsidP="342A8DCB" w:rsidRDefault="342A8DCB" w14:paraId="5386FDD9" w14:textId="742A42A8">
      <w:pPr>
        <w:pStyle w:val="ListParagraph"/>
        <w:numPr>
          <w:ilvl w:val="0"/>
          <w:numId w:val="1"/>
        </w:numPr>
        <w:rPr/>
      </w:pPr>
      <w:r w:rsidR="342A8DCB">
        <w:rPr/>
        <w:t>Types</w:t>
      </w:r>
      <w:r w:rsidR="342A8DCB">
        <w:rPr/>
        <w:t xml:space="preserve"> de moteurs (essence, électrique, </w:t>
      </w:r>
      <w:r w:rsidRPr="342A8DCB" w:rsidR="342A8DCB">
        <w:rPr>
          <w:noProof w:val="0"/>
          <w:lang w:val="fr-FR"/>
        </w:rPr>
        <w:t>diesel</w:t>
      </w:r>
      <w:r w:rsidRPr="342A8DCB" w:rsidR="342A8DCB">
        <w:rPr>
          <w:noProof w:val="0"/>
          <w:lang w:val="fr-FR"/>
        </w:rPr>
        <w:t>, gaz naturel, hybride non rechargeable et hybride rechargeable)</w:t>
      </w:r>
    </w:p>
    <w:p w:rsidR="342A8DCB" w:rsidP="342A8DCB" w:rsidRDefault="342A8DCB" w14:paraId="3BE41A13" w14:textId="29BA95F3">
      <w:pPr>
        <w:pStyle w:val="ListParagraph"/>
        <w:numPr>
          <w:ilvl w:val="0"/>
          <w:numId w:val="1"/>
        </w:numPr>
        <w:rPr/>
      </w:pPr>
      <w:r w:rsidR="342A8DCB">
        <w:rPr/>
        <w:t>Types</w:t>
      </w:r>
      <w:r w:rsidR="342A8DCB">
        <w:rPr/>
        <w:t xml:space="preserve"> de boites de </w:t>
      </w:r>
      <w:r w:rsidRPr="342A8DCB" w:rsidR="342A8DCB">
        <w:rPr>
          <w:noProof w:val="0"/>
          <w:lang w:val="fr-FR"/>
        </w:rPr>
        <w:t>vitesse</w:t>
      </w:r>
      <w:r w:rsidRPr="342A8DCB" w:rsidR="342A8DCB">
        <w:rPr>
          <w:noProof w:val="0"/>
          <w:lang w:val="fr-FR"/>
        </w:rPr>
        <w:t xml:space="preserve"> (manuelle, électrique et automatique)</w:t>
      </w:r>
    </w:p>
    <w:p w:rsidR="342A8DCB" w:rsidP="342A8DCB" w:rsidRDefault="342A8DCB" w14:paraId="70D34304" w14:textId="6CA089ED">
      <w:pPr>
        <w:pStyle w:val="ListParagraph"/>
        <w:numPr>
          <w:ilvl w:val="0"/>
          <w:numId w:val="1"/>
        </w:numPr>
        <w:rPr/>
      </w:pPr>
      <w:r w:rsidR="342A8DCB">
        <w:rPr/>
        <w:t>Largeur, longueur, hauteur</w:t>
      </w:r>
    </w:p>
    <w:p w:rsidR="342A8DCB" w:rsidP="342A8DCB" w:rsidRDefault="342A8DCB" w14:paraId="409FECD3" w14:textId="279ABADA">
      <w:pPr>
        <w:pStyle w:val="ListParagraph"/>
        <w:numPr>
          <w:ilvl w:val="0"/>
          <w:numId w:val="1"/>
        </w:numPr>
        <w:rPr/>
      </w:pPr>
      <w:r w:rsidR="342A8DCB">
        <w:rPr/>
        <w:t>Auto-radio</w:t>
      </w:r>
      <w:r w:rsidR="342A8DCB">
        <w:rPr/>
        <w:t>, ABS, direction assistée, climatisation</w:t>
      </w:r>
    </w:p>
    <w:p w:rsidR="342A8DCB" w:rsidP="342A8DCB" w:rsidRDefault="342A8DCB" w14:paraId="2865AD6D" w14:textId="47B9D0FF">
      <w:pPr>
        <w:pStyle w:val="ListParagraph"/>
        <w:numPr>
          <w:ilvl w:val="0"/>
          <w:numId w:val="1"/>
        </w:numPr>
        <w:rPr/>
      </w:pPr>
      <w:r>
        <w:br/>
      </w:r>
    </w:p>
    <w:p w:rsidR="342A8DCB" w:rsidP="342A8DCB" w:rsidRDefault="342A8DCB" w14:paraId="45FAD795" w14:textId="377ADE90">
      <w:pPr>
        <w:pStyle w:val="Normal"/>
      </w:pPr>
    </w:p>
    <w:p w:rsidR="342A8DCB" w:rsidP="342A8DCB" w:rsidRDefault="342A8DCB" w14:paraId="22FB607B" w14:textId="68E12774">
      <w:pPr>
        <w:pStyle w:val="Normal"/>
      </w:pPr>
    </w:p>
    <w:p w:rsidR="342A8DCB" w:rsidP="342A8DCB" w:rsidRDefault="342A8DCB" w14:paraId="10AB5C23" w14:textId="1701A5DD">
      <w:pPr>
        <w:pStyle w:val="Normal"/>
      </w:pPr>
      <w:r w:rsidR="342A8DCB">
        <w:rPr/>
        <w:t>Liens :</w:t>
      </w:r>
    </w:p>
    <w:p w:rsidR="342A8DCB" w:rsidP="342A8DCB" w:rsidRDefault="342A8DCB" w14:paraId="09AE1555" w14:textId="07D0C029">
      <w:pPr>
        <w:pStyle w:val="Normal"/>
      </w:pPr>
      <w:hyperlink r:id="R386504adb3454e6d">
        <w:r w:rsidRPr="342A8DCB" w:rsidR="342A8DCB">
          <w:rPr>
            <w:rStyle w:val="Hyperlink"/>
          </w:rPr>
          <w:t>https://annualreport2022.volkswagenag.com/_assets/downloads/entire-vw-ar22.pdf</w:t>
        </w:r>
      </w:hyperlink>
    </w:p>
    <w:p w:rsidR="342A8DCB" w:rsidP="342A8DCB" w:rsidRDefault="342A8DCB" w14:paraId="20825D1B" w14:textId="5285BF87">
      <w:pPr>
        <w:pStyle w:val="Normal"/>
      </w:pPr>
      <w:hyperlink r:id="Rf6161b3b8cfc4404">
        <w:r w:rsidRPr="342A8DCB" w:rsidR="342A8DCB">
          <w:rPr>
            <w:rStyle w:val="Hyperlink"/>
          </w:rPr>
          <w:t>https://annualreport2022.volkswagenag.com/divisions/brands-and-business-fields.html</w:t>
        </w:r>
      </w:hyperlink>
    </w:p>
    <w:p w:rsidR="342A8DCB" w:rsidP="342A8DCB" w:rsidRDefault="342A8DCB" w14:paraId="33DECB8C" w14:textId="5EF7A5F4">
      <w:pPr>
        <w:pStyle w:val="Normal"/>
      </w:pPr>
      <w:hyperlink r:id="R80f2350849db4f55">
        <w:r w:rsidRPr="6348D556" w:rsidR="6348D556">
          <w:rPr>
            <w:rStyle w:val="Hyperlink"/>
          </w:rPr>
          <w:t>https://annualreport2022.volkswagenag.com/services/downloads.html</w:t>
        </w:r>
      </w:hyperlink>
    </w:p>
    <w:p w:rsidR="6348D556" w:rsidP="6348D556" w:rsidRDefault="6348D556" w14:paraId="079E90A0" w14:textId="276FA197">
      <w:pPr>
        <w:pStyle w:val="Normal"/>
      </w:pPr>
    </w:p>
    <w:p w:rsidR="6348D556" w:rsidP="6348D556" w:rsidRDefault="6348D556" w14:paraId="475CDB95" w14:textId="3EF66D02">
      <w:pPr>
        <w:pStyle w:val="Normal"/>
      </w:pPr>
    </w:p>
    <w:p w:rsidR="6348D556" w:rsidP="6348D556" w:rsidRDefault="6348D556" w14:paraId="0593720C" w14:textId="1B44D227">
      <w:pPr>
        <w:pStyle w:val="Normal"/>
      </w:pPr>
      <w:r w:rsidRPr="6348D556" w:rsidR="6348D556">
        <w:rPr>
          <w:b w:val="1"/>
          <w:bCs w:val="1"/>
          <w:u w:val="single"/>
        </w:rPr>
        <w:t>Rapport :</w:t>
      </w:r>
    </w:p>
    <w:p w:rsidR="6348D556" w:rsidP="6348D556" w:rsidRDefault="6348D556" w14:paraId="32A3F073" w14:textId="43EC5ADF">
      <w:pPr>
        <w:pStyle w:val="Normal"/>
      </w:pPr>
      <w:r w:rsidR="6348D556">
        <w:rPr/>
        <w:t>Contexte métier et objectifs</w:t>
      </w:r>
      <w:r>
        <w:br/>
      </w:r>
      <w:r w:rsidR="6348D556">
        <w:rPr/>
        <w:t>Méthodologie : CRISP-DM...</w:t>
      </w:r>
      <w:r>
        <w:br/>
      </w:r>
      <w:r w:rsidR="6348D556">
        <w:rPr/>
        <w:t xml:space="preserve">Sources de données : </w:t>
      </w:r>
      <w:r w:rsidR="6348D556">
        <w:rPr/>
        <w:t>Annual</w:t>
      </w:r>
      <w:r w:rsidR="6348D556">
        <w:rPr/>
        <w:t xml:space="preserve"> reports, Argus...</w:t>
      </w:r>
      <w:r>
        <w:br/>
      </w:r>
      <w:r w:rsidR="6348D556">
        <w:rPr/>
        <w:t>Conception du DWH : Constellation par concurrent</w:t>
      </w:r>
      <w:r>
        <w:br/>
      </w:r>
      <w:r w:rsidR="6348D556">
        <w:rPr/>
        <w:t>Processus ETL : Python + Talend + Exemples</w:t>
      </w:r>
      <w:r>
        <w:br/>
      </w:r>
      <w:r w:rsidR="6348D556">
        <w:rPr/>
        <w:t>Dashboards avec Power BI</w:t>
      </w:r>
      <w:r>
        <w:br/>
      </w:r>
      <w:r w:rsidR="6348D556">
        <w:rPr/>
        <w:t>Conclusion = KPI répondant aux questions</w:t>
      </w:r>
      <w:r>
        <w:br/>
      </w:r>
      <w:r w:rsidR="6348D556">
        <w:rPr/>
        <w:t>Défis, acquis, pistes d’amélioration</w:t>
      </w:r>
    </w:p>
    <w:p w:rsidR="6348D556" w:rsidP="6348D556" w:rsidRDefault="6348D556" w14:paraId="68932536" w14:textId="3510D68E">
      <w:pPr>
        <w:pStyle w:val="Normal"/>
      </w:pPr>
      <w:r w:rsidRPr="6348D556" w:rsidR="6348D556">
        <w:rPr>
          <w:b w:val="1"/>
          <w:bCs w:val="1"/>
          <w:u w:val="single"/>
        </w:rPr>
        <w:t>Présentation :</w:t>
      </w:r>
    </w:p>
    <w:p w:rsidR="6348D556" w:rsidP="6348D556" w:rsidRDefault="6348D556" w14:paraId="10390E18" w14:textId="2A2CCF2B">
      <w:pPr>
        <w:pStyle w:val="Normal"/>
        <w:rPr>
          <w:b w:val="0"/>
          <w:bCs w:val="0"/>
          <w:u w:val="none"/>
        </w:rPr>
      </w:pPr>
      <w:r w:rsidR="6348D556">
        <w:rPr>
          <w:b w:val="0"/>
          <w:bCs w:val="0"/>
          <w:u w:val="none"/>
        </w:rPr>
        <w:t>Etapes 1, 3 et 4 (essentiellement)</w:t>
      </w:r>
      <w:r>
        <w:br/>
      </w:r>
      <w:r w:rsidR="6348D556">
        <w:rPr>
          <w:b w:val="0"/>
          <w:bCs w:val="0"/>
          <w:u w:val="none"/>
        </w:rPr>
        <w:t>-&gt; Suivre les étapes de CRISP-DM</w:t>
      </w:r>
      <w:r>
        <w:br/>
      </w:r>
      <w:r w:rsidR="6348D556">
        <w:rPr>
          <w:b w:val="0"/>
          <w:bCs w:val="0"/>
          <w:u w:val="none"/>
        </w:rPr>
        <w:t>-&gt; 1h au total, incluant discussions/échanges</w:t>
      </w:r>
    </w:p>
    <w:p w:rsidR="342A8DCB" w:rsidP="342A8DCB" w:rsidRDefault="342A8DCB" w14:paraId="46AC7342" w14:textId="5E248111">
      <w:pPr>
        <w:pStyle w:val="Normal"/>
        <w:rPr>
          <w:b w:val="0"/>
          <w:bCs w:val="0"/>
          <w:u w:val="none"/>
        </w:rPr>
      </w:pPr>
    </w:p>
    <w:p w:rsidR="342A8DCB" w:rsidP="342A8DCB" w:rsidRDefault="342A8DCB" w14:paraId="0B31CAF4" w14:textId="6C2C899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71b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7E2E1"/>
    <w:rsid w:val="342A8DCB"/>
    <w:rsid w:val="38A7E2E1"/>
    <w:rsid w:val="6348D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2E1"/>
  <w15:chartTrackingRefBased/>
  <w15:docId w15:val="{C391D3A3-7251-4E21-915A-7720DAC302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r.statista.com/statistiques/565008/part-de-marche-selection-constructeurs-automobiles-europe/" TargetMode="External" Id="Rc2095e7c2421409d" /><Relationship Type="http://schemas.openxmlformats.org/officeDocument/2006/relationships/hyperlink" Target="https://fr.statista.com/statistiques/504304/producteur-voitures-ventes-des-vehicules-classement-mondial/" TargetMode="External" Id="Rfa175b7fa7fc4491" /><Relationship Type="http://schemas.openxmlformats.org/officeDocument/2006/relationships/image" Target="/media/image.png" Id="Rad02406b9c374a2a" /><Relationship Type="http://schemas.openxmlformats.org/officeDocument/2006/relationships/image" Target="/media/image2.png" Id="Rea9affd68ad742bf" /><Relationship Type="http://schemas.openxmlformats.org/officeDocument/2006/relationships/image" Target="/media/image.jpg" Id="Rd3742e6132ec4f86" /><Relationship Type="http://schemas.openxmlformats.org/officeDocument/2006/relationships/image" Target="/media/image3.png" Id="R3f9c646f38ac4a5e" /><Relationship Type="http://schemas.openxmlformats.org/officeDocument/2006/relationships/hyperlink" Target="https://annualreport2022.volkswagenag.com/_assets/downloads/entire-vw-ar22.pdf" TargetMode="External" Id="R386504adb3454e6d" /><Relationship Type="http://schemas.openxmlformats.org/officeDocument/2006/relationships/hyperlink" Target="https://annualreport2022.volkswagenag.com/divisions/brands-and-business-fields.html" TargetMode="External" Id="Rf6161b3b8cfc4404" /><Relationship Type="http://schemas.openxmlformats.org/officeDocument/2006/relationships/numbering" Target="numbering.xml" Id="R707a76a2eaaa4e24" /><Relationship Type="http://schemas.openxmlformats.org/officeDocument/2006/relationships/hyperlink" Target="https://annualreport2022.volkswagenag.com/services/downloads.html" TargetMode="External" Id="R80f2350849db4f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2023-08-21T10:00:04.3623431Z</dcterms:created>
  <dcterms:modified xsi:type="dcterms:W3CDTF">2023-08-30T07:39:36.0055844Z</dcterms:modified>
  <dc:creator>Loup Theuret</dc:creator>
  <lastModifiedBy>Loup Theuret</lastModifiedBy>
</coreProperties>
</file>