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r>
        <w:drawing>
          <wp:inline distT="0" distB="0" distL="0" distR="0">
            <wp:extent cx="28575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COMMERCIAL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8957DA"/>
          <w:sz w:val="52"/>
          <w:szCs w:val="52"/>
        </w:rPr>
        <w:t xml:space="preserve">PROPOSAL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C5C5C"/>
          <w:sz w:val="20"/>
          <w:szCs w:val="20"/>
        </w:rPr>
        <w:t xml:space="preserve">FUELLINK &amp; BANKERS TANKERS MANAGEMENT PLATFORM</w:t>
      </w:r>
    </w:p>
    <w:p>
      <w:pPr>
        <w:pBdr>
          <w:bottom w:val="single" w:color="8957DA" w:sz="16" w:space="8"/>
        </w:pBdr>
        <w:spacing w:after="500" w:before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5C5C5C"/>
          <w:sz w:val="16"/>
          <w:szCs w:val="16"/>
        </w:rPr>
        <w:t xml:space="preserve">PROJECT</w:t>
      </w:r>
    </w:p>
    <w:p>
      <w:pPr>
        <w:spacing w:after="2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Evolution of the Fuellink / Bankers Tankers Management and Offset System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5C5C"/>
          <w:sz w:val="16"/>
          <w:szCs w:val="16"/>
        </w:rPr>
        <w:t xml:space="preserve">REFERENCE</w:t>
      </w:r>
    </w:p>
    <w:p>
      <w:pPr>
        <w:spacing w:after="90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PFB2607 · July 23, 2026</w:t>
      </w:r>
    </w:p>
    <w:p>
      <w:r>
        <w:rPr>
          <w:rFonts w:ascii="Arial" w:cs="Arial" w:eastAsia="Arial" w:hAnsi="Arial"/>
          <w:color w:val="5C5C5C"/>
          <w:sz w:val="14"/>
          <w:szCs w:val="14"/>
        </w:rPr>
        <w:t xml:space="preserve">LOMAVI INDUSTRIE  |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Bdr>
          <w:bottom w:val="single" w:color="8957DA" w:sz="8" w:space="6"/>
        </w:pBdr>
        <w:spacing w:after="140" w:before="380"/>
      </w:pPr>
      <w:r>
        <w:rPr>
          <w:rFonts w:ascii="Arial" w:cs="Arial" w:eastAsia="Arial" w:hAnsi="Arial"/>
          <w:b/>
          <w:bCs/>
          <w:color w:val="8957DA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EXECUTIVE SUMMARY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This proposal describes Lomavi Industrie's approach to evolving the existing management and financial offset system between Fuellink and Bankers Tankers (Pty) Ltd, turning the current functional prototype — an offset ledger between the two companies — into a complete management dashboard. The evolution preserves the core already built (authentication, append-only ledger, net position between companies) and incrementally adds operational tracking of trucks and drivers, delivery control and fuel-difference tracking, permission-based user management, and a financial module for issuing invoices, quotations, receipts and credit notes for both legal entities.</w:t>
      </w:r>
    </w:p>
    <w:p>
      <w:pPr>
        <w:pBdr>
          <w:bottom w:val="single" w:color="8957DA" w:sz="8" w:space="6"/>
        </w:pBdr>
        <w:spacing w:after="140" w:before="380"/>
      </w:pPr>
      <w:r>
        <w:rPr>
          <w:rFonts w:ascii="Arial" w:cs="Arial" w:eastAsia="Arial" w:hAnsi="Arial"/>
          <w:b/>
          <w:bCs/>
          <w:color w:val="8957DA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PROJECT OBJECTIVES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Specific goals this platform evolution aims to achieve: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Evolve the existing functional prototype (Fuellink/Bankers offset ledger) into a complete management system, without losing the work already done;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Implement user management with differentiated permissions — Admin (existing accounts) and User, with limited access defined by the Admin;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Digitize Fuellink's operational tracking: truck, driver, litres sold, sale value, haulage fee and fuel purchase cost, with documentary proof attached to each operation;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Extend tracking to the Bankers side, adding proof of delivery and automatic calculation of the difference between litres loaded and litres delivered;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Allow controlled editing of the supply value on the Bankers side, after the initial loading;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Automatically issue invoices, quotations, receipts and credit notes, with numbering, tax data and a digital stamp specific to each company (Fuellink and Bankers, distinct legal entities);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Maintain the integrity and auditability of all records — financial and operational — through the append-only principle already validated in the prototype.</w:t>
      </w:r>
    </w:p>
    <w:p>
      <w:pPr>
        <w:pBdr>
          <w:bottom w:val="single" w:color="8957DA" w:sz="8" w:space="6"/>
        </w:pBdr>
        <w:spacing w:after="140" w:before="380"/>
      </w:pPr>
      <w:r>
        <w:rPr>
          <w:rFonts w:ascii="Arial" w:cs="Arial" w:eastAsia="Arial" w:hAnsi="Arial"/>
          <w:b/>
          <w:bCs/>
          <w:color w:val="8957DA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PROPOSED SOLUTION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Lomavi Industrie proposes evolving the current platform (Supabase + per-company authentication) through the following modules: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Core retained: offset ledger between Fuellink and Bankers, with a real-time net position and a void/reversal mechanism — the technical foundation on which all following modules are built;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User management and permissions: the existing Admin credentials of each company are preserved, with a new limited-access User role, managed by the respective Admin;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Fuellink operational tracking: truck record (plate number), driver (full name), litres sold, sale value, truck haulage fee and fuel purchase cost, per individually trackable operation;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Attachments per operation: file upload (PNG, JPEG or PDF) as proof, stored privately and securely;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Bankers extension: inherits Fuellink's tracking, adding proof of delivery (file) and automatic calculation of the difference between litres loaded and litres delivered;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Editing of the supply value on the Bankers side, with a record of the change;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Financial and document module: generation of invoices, quotations, receipts and credit notes for both legal entities, each with its own numbering and tax data, plus a digital stamp (visual seal) overlaid on the PDF;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Infrastructure: management and configuration of the client's existing infrastructure (Supabase for authentication, database and file storage; GoDaddy for domain/DNS), with no need for additional servers.</w:t>
      </w:r>
    </w:p>
    <w:p>
      <w:pPr>
        <w:pBdr>
          <w:bottom w:val="single" w:color="8957DA" w:sz="8" w:space="6"/>
        </w:pBdr>
        <w:spacing w:after="140" w:before="380"/>
      </w:pPr>
      <w:r>
        <w:rPr>
          <w:rFonts w:ascii="Arial" w:cs="Arial" w:eastAsia="Arial" w:hAnsi="Arial"/>
          <w:b/>
          <w:bCs/>
          <w:color w:val="8957DA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SYSTEM REQUIREMENTS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Overview of the platform's main functional and non-functional requirements, aligned with the project objectives: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0"/>
      </w:tblGrid>
      <w:tr>
        <w:tc>
          <w:tcPr>
            <w:tcW w:type="dxa" w:w="18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83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system must keep the existing Admin credentials (Fuellink and Bankers) and allow creating User-role accounts with limited permissions defined by the respective Admin.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Each Fuellink operation must record the truck's plate number, the driver's full name, litres sold, sale value, truck haulage fee and fuel purchase cost.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Each operation (order) must be individually trackable, with visible status and history.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It must be possible to attach a file (PNG, JPEG or PDF) as proof to each Fuellink operation.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Bankers side must inherit all Fuellink-side functionality, adding proof-of-delivery file upload.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system must automatically calculate the difference between litres loaded and litres delivered, based on two manually entered values.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Bankers side must allow editing the supply value after the initial loading, keeping a record of the change.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system must generate invoices, quotations, receipts and credit notes for both Fuellink and Bankers, each with its own numbering and tax data as separate legal entities.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Generated documents must include a digital stamp (visual seal) overlaid on the PDF, with no need for a certified signature.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The financial offset ledger between the two companies must remain append-only, using a void/reversal mechanism instead of direct editing or deletion.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Strict file-type (MIME) validation and size limits at every upload point.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Files stored in a cloud storage service (Supabase Storage), with private access and signed URLs for download/viewing.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Mandatory HTTPS/TLS connection across all access points to the platform.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Responsive web application, accessible via browser on desktop and mobile — no dedicated mobile app required.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Infrastructure managed on the client's existing accounts (Supabase and GoDaddy), with no additional servers created.</w:t>
            </w:r>
          </w:p>
        </w:tc>
      </w:tr>
      <w:tr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78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Auditability principle (append-only) maintained across all modules, not only the financial ledger.</w:t>
            </w:r>
          </w:p>
        </w:tc>
      </w:tr>
    </w:tbl>
    <w:p>
      <w:pPr>
        <w:pBdr>
          <w:bottom w:val="single" w:color="8957DA" w:sz="8" w:space="6"/>
        </w:pBdr>
        <w:spacing w:after="140" w:before="380"/>
      </w:pPr>
      <w:r>
        <w:rPr>
          <w:rFonts w:ascii="Arial" w:cs="Arial" w:eastAsia="Arial" w:hAnsi="Arial"/>
          <w:b/>
          <w:bCs/>
          <w:color w:val="8957DA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FUNDING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Delivery Plan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Development follows an incremental approach on top of the existing base, delivering one module per month, in the priority order agreed with the client: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Monthly deliveries validated in a test environment before each production release;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Every delivered module remains compatible with the existing offset ledger;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Technical documentation and user training included in the final delivery.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Investment</w:t>
      </w:r>
    </w:p>
    <w:p>
      <w:pPr>
        <w:spacing w:after="160" w:line="30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The investment is structured as a fixed monthly fee, covering development, project management and configuration of the client's existing infrastructure. Values in Meticais (MT), VAT not included.</w:t>
      </w:r>
    </w:p>
    <w:tbl>
      <w:tblPr>
        <w:tblW w:type="dxa" w:w="98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2530"/>
        <w:gridCol w:w="1100"/>
      </w:tblGrid>
      <w:tr>
        <w:tc>
          <w:tcPr>
            <w:tcW w:type="dxa" w:w="11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1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delivered</w:t>
            </w:r>
          </w:p>
        </w:tc>
        <w:tc>
          <w:tcPr>
            <w:tcW w:type="dxa" w:w="253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100"/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value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1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User management and permissions (Admin / User)</w:t>
            </w:r>
          </w:p>
        </w:tc>
        <w:tc>
          <w:tcPr>
            <w:tcW w:type="dxa" w:w="25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2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Fuellink operational tracking (truck, driver, litres, values)</w:t>
            </w:r>
          </w:p>
        </w:tc>
        <w:tc>
          <w:tcPr>
            <w:tcW w:type="dxa" w:w="25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Fuellink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3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Proof-of-operation file upload and Fuellink module testing</w:t>
            </w:r>
          </w:p>
        </w:tc>
        <w:tc>
          <w:tcPr>
            <w:tcW w:type="dxa" w:w="25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Fuellink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4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Bankers extension (proof of delivery, loaded/delivered difference, supply editing)</w:t>
            </w:r>
          </w:p>
        </w:tc>
        <w:tc>
          <w:tcPr>
            <w:tcW w:type="dxa" w:w="25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Bankers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5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Financial/document module (invoices, quotations, receipts, credit notes, digital stamp)</w:t>
            </w:r>
          </w:p>
        </w:tc>
        <w:tc>
          <w:tcPr>
            <w:tcW w:type="dxa" w:w="25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Financial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Month 6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Integrated testing, final adjustments, documentation and training</w:t>
            </w:r>
          </w:p>
        </w:tc>
        <w:tc>
          <w:tcPr>
            <w:tcW w:type="dxa" w:w="253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Delivery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27,500 MT</w:t>
            </w:r>
          </w:p>
        </w:tc>
      </w:tr>
      <w:tr>
        <w:tc>
          <w:tcPr>
            <w:tcW w:type="dxa" w:w="8730"/>
            <w:gridSpan w:val="3"/>
            <w:shd w:fill="0A0A0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— DEVELOPMENT (6 MONTHS)</w:t>
            </w:r>
          </w:p>
        </w:tc>
        <w:tc>
          <w:tcPr>
            <w:tcW w:type="dxa" w:w="1100"/>
            <w:shd w:fill="8957D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165,000 MT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i w:val="false"/>
          <w:iCs w:val="false"/>
          <w:color w:val="2B2B2B"/>
          <w:sz w:val="19"/>
          <w:szCs w:val="19"/>
        </w:rPr>
        <w:t xml:space="preserve">After the 6-month development period, the service automatically transitions into an ongoing support and maintenance phase, keeping the same 27,500 MT/month value (VAT not included), renewable on a monthly basis.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Proposal validity: 30 days from the issue 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Payment terms: monthly fee of 27,500 MT, invoiced at the start of each working month.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Infrastructure: Supabase and GoDaddy subscription costs are the client's responsibility; Lomavi Industrie handles technical management and configuration.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Scope changes: any module beyond the 6-phase plan described here will be assessed and quoted separately.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2B2B2B"/>
          <w:sz w:val="19"/>
          <w:szCs w:val="19"/>
        </w:rPr>
        <w:t xml:space="preserve">Confidentiality: the information in this proposal is confidential and intended exclusively for the named recipient.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5C5C5C"/>
          <w:sz w:val="17"/>
          <w:szCs w:val="17"/>
        </w:rPr>
        <w:t xml:space="preserve">Note: code intellectual property and post-development warranty terms are intentionally left open in this version, to be defined jointly between Lomavi Industrie and the client before signing the contract.</w:t>
      </w:r>
    </w:p>
    <w:p>
      <w:pPr>
        <w:pBdr>
          <w:top w:val="single" w:color="D9D9D9" w:sz="4" w:space="8"/>
        </w:pBdr>
        <w:spacing w:before="500"/>
      </w:pPr>
    </w:p>
    <w:p>
      <w:pPr>
        <w:spacing w:after="20" w:before="26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Lourenço Vilanculo (CEO)</w:t>
      </w:r>
    </w:p>
    <w:p>
      <w:r>
        <w:rPr>
          <w:rFonts w:ascii="Arial" w:cs="Arial" w:eastAsia="Arial" w:hAnsi="Arial"/>
          <w:color w:val="5C5C5C"/>
          <w:sz w:val="18"/>
          <w:szCs w:val="18"/>
        </w:rPr>
        <w:t xml:space="preserve">Loureslm123@gmail.com</w:t>
      </w:r>
    </w:p>
    <w:p>
      <w:r>
        <w:rPr>
          <w:rFonts w:ascii="Arial" w:cs="Arial" w:eastAsia="Arial" w:hAnsi="Arial"/>
          <w:color w:val="5C5C5C"/>
          <w:sz w:val="18"/>
          <w:szCs w:val="18"/>
        </w:rPr>
        <w:t xml:space="preserve">+258 845408577</w:t>
      </w:r>
    </w:p>
    <w:sectPr>
      <w:headerReference w:type="default" r:id="rId7"/>
      <w:footerReference w:type="default" r:id="rId8"/>
      <w:pgSz w:w="11906" w:h="16838" w:orient="portrait"/>
      <w:pgMar w:top="14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after="60" w:before="120"/>
      <w:jc w:val="center"/>
    </w:pPr>
    <w:r>
      <w:drawing>
        <wp:inline distT="0" distB="0" distL="0" distR="0">
          <wp:extent cx="847725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Arial" w:cs="Arial" w:eastAsia="Arial" w:hAnsi="Arial"/>
        <w:color w:val="5C5C5C"/>
        <w:sz w:val="14"/>
        <w:szCs w:val="14"/>
      </w:rPr>
      <w:t xml:space="preserve">Commercial Proposal · Fuellink &amp; Bankers Tankers · Confidential · Page </w:t>
    </w:r>
    <w:r>
      <w:rPr>
        <w:rFonts w:ascii="Arial" w:cs="Arial" w:eastAsia="Arial" w:hAnsi="Arial"/>
        <w:sz w:val="14"/>
        <w:szCs w:val="14"/>
      </w:rPr>
      <w:t xml:space="preserve">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5C"/>
        <w:sz w:val="14"/>
        <w:szCs w:val="14"/>
      </w:rPr>
      <w:t xml:space="preserve"> of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957DA" w:sz="6" w:space="8"/>
      </w:pBdr>
      <w:spacing w:after="200"/>
    </w:pPr>
    <w:r>
      <w:drawing>
        <wp:inline distT="0" distB="0" distL="0" distR="0">
          <wp:extent cx="314325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❖"/>
      <w:lvlJc w:val="left"/>
      <w:pPr>
        <w:ind w:left="340" w:hanging="220"/>
      </w:pPr>
      <w:rPr>
        <w:rFonts w:ascii="Arial" w:cs="Arial" w:eastAsia="Arial" w:hAnsi="Arial"/>
        <w:color w:val="8957D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d9e26ab5952afb63788cbab3f8610b83ee66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8f19b96138cb7c340f815c41057fde18c4bd767e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44bfc61c3cfee32d38444c4ee1ed414faf6cd4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2026-07-23T12:02:16.990Z</dcterms:created>
  <dcterms:modified xsi:type="dcterms:W3CDTF">2026-07-23T12:02:16.990Z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