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19921" w14:textId="77777777" w:rsidR="001E0D74" w:rsidRPr="001E0D74" w:rsidRDefault="001E0D74" w:rsidP="001E0D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1E0D74">
        <w:rPr>
          <w:rFonts w:ascii="Segoe UI Emoji" w:eastAsia="Times New Roman" w:hAnsi="Segoe UI Emoji" w:cs="Segoe UI Emoji"/>
          <w:b/>
          <w:bCs/>
          <w:kern w:val="36"/>
          <w:sz w:val="48"/>
          <w:szCs w:val="48"/>
          <w:lang w:eastAsia="en-GB"/>
          <w14:ligatures w14:val="none"/>
        </w:rPr>
        <w:t>📄</w:t>
      </w:r>
      <w:r w:rsidRPr="001E0D74">
        <w:rPr>
          <w:rFonts w:ascii="Times New Roman" w:eastAsia="Times New Roman" w:hAnsi="Times New Roman" w:cs="Times New Roman"/>
          <w:b/>
          <w:bCs/>
          <w:kern w:val="36"/>
          <w:sz w:val="48"/>
          <w:szCs w:val="48"/>
          <w:lang w:eastAsia="en-GB"/>
          <w14:ligatures w14:val="none"/>
        </w:rPr>
        <w:t xml:space="preserve"> Diamond Reconciliation Control</w:t>
      </w:r>
    </w:p>
    <w:p w14:paraId="2F6C4B66" w14:textId="77777777" w:rsidR="001E0D74" w:rsidRPr="001E0D74" w:rsidRDefault="001E0D74" w:rsidP="001E0D7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b/>
          <w:bCs/>
          <w:kern w:val="0"/>
          <w:sz w:val="24"/>
          <w:szCs w:val="24"/>
          <w:lang w:eastAsia="en-GB"/>
          <w14:ligatures w14:val="none"/>
        </w:rPr>
        <w:t>Document Type:</w:t>
      </w:r>
      <w:r w:rsidRPr="001E0D74">
        <w:rPr>
          <w:rFonts w:ascii="Times New Roman" w:eastAsia="Times New Roman" w:hAnsi="Times New Roman" w:cs="Times New Roman"/>
          <w:kern w:val="0"/>
          <w:sz w:val="24"/>
          <w:szCs w:val="24"/>
          <w:lang w:eastAsia="en-GB"/>
          <w14:ligatures w14:val="none"/>
        </w:rPr>
        <w:t xml:space="preserve"> Guidance Document</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Domain:</w:t>
      </w:r>
      <w:r w:rsidRPr="001E0D74">
        <w:rPr>
          <w:rFonts w:ascii="Times New Roman" w:eastAsia="Times New Roman" w:hAnsi="Times New Roman" w:cs="Times New Roman"/>
          <w:kern w:val="0"/>
          <w:sz w:val="24"/>
          <w:szCs w:val="24"/>
          <w:lang w:eastAsia="en-GB"/>
          <w14:ligatures w14:val="none"/>
        </w:rPr>
        <w:t xml:space="preserve"> Process Integrity</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Visibility:</w:t>
      </w:r>
      <w:r w:rsidRPr="001E0D74">
        <w:rPr>
          <w:rFonts w:ascii="Times New Roman" w:eastAsia="Times New Roman" w:hAnsi="Times New Roman" w:cs="Times New Roman"/>
          <w:kern w:val="0"/>
          <w:sz w:val="24"/>
          <w:szCs w:val="24"/>
          <w:lang w:eastAsia="en-GB"/>
          <w14:ligatures w14:val="none"/>
        </w:rPr>
        <w:t xml:space="preserve"> All Users</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Tags:</w:t>
      </w:r>
      <w:r w:rsidRPr="001E0D74">
        <w:rPr>
          <w:rFonts w:ascii="Times New Roman" w:eastAsia="Times New Roman" w:hAnsi="Times New Roman" w:cs="Times New Roman"/>
          <w:kern w:val="0"/>
          <w:sz w:val="24"/>
          <w:szCs w:val="24"/>
          <w:lang w:eastAsia="en-GB"/>
          <w14:ligatures w14:val="none"/>
        </w:rPr>
        <w:t xml:space="preserve"> diamond-specific, reconciliation, variance detection, accountability, industry-priority</w:t>
      </w:r>
    </w:p>
    <w:p w14:paraId="68955BAC" w14:textId="77777777" w:rsidR="001E0D74" w:rsidRPr="001E0D74" w:rsidRDefault="001E0D74" w:rsidP="001E0D74">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b/>
          <w:bCs/>
          <w:kern w:val="0"/>
          <w:sz w:val="24"/>
          <w:szCs w:val="24"/>
          <w:lang w:eastAsia="en-GB"/>
          <w14:ligatures w14:val="none"/>
        </w:rPr>
        <w:t>AI Backoffice Description:</w:t>
      </w:r>
      <w:r w:rsidRPr="001E0D74">
        <w:rPr>
          <w:rFonts w:ascii="Times New Roman" w:eastAsia="Times New Roman" w:hAnsi="Times New Roman" w:cs="Times New Roman"/>
          <w:kern w:val="0"/>
          <w:sz w:val="24"/>
          <w:szCs w:val="24"/>
          <w:lang w:eastAsia="en-GB"/>
          <w14:ligatures w14:val="none"/>
        </w:rPr>
        <w:br/>
        <w:t>This is an industry-specific Diamond Reconciliation model. It overrides generic reconciliation or variance detection models when applied in diamond mining. It ensures that diamond inputs and outputs are continuously balanced across mining, recovery, sorting, valuation, and dispatch, with formal variance investigation and governance oversight.</w:t>
      </w:r>
    </w:p>
    <w:p w14:paraId="44EACA99" w14:textId="77777777" w:rsidR="001E0D74" w:rsidRPr="001E0D74" w:rsidRDefault="001E0D74" w:rsidP="001E0D74">
      <w:pPr>
        <w:spacing w:after="0"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kern w:val="0"/>
          <w:sz w:val="24"/>
          <w:szCs w:val="24"/>
          <w:lang w:eastAsia="en-GB"/>
          <w14:ligatures w14:val="none"/>
        </w:rPr>
        <w:pict w14:anchorId="78CE6DA7">
          <v:rect id="_x0000_i1025" style="width:0;height:1.5pt" o:hralign="center" o:hrstd="t" o:hr="t" fillcolor="#a0a0a0" stroked="f"/>
        </w:pict>
      </w:r>
    </w:p>
    <w:p w14:paraId="7E6B25BF" w14:textId="77777777" w:rsidR="001E0D74" w:rsidRPr="001E0D74" w:rsidRDefault="001E0D74" w:rsidP="001E0D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E0D74">
        <w:rPr>
          <w:rFonts w:ascii="Segoe UI Emoji" w:eastAsia="Times New Roman" w:hAnsi="Segoe UI Emoji" w:cs="Segoe UI Emoji"/>
          <w:b/>
          <w:bCs/>
          <w:kern w:val="0"/>
          <w:sz w:val="36"/>
          <w:szCs w:val="36"/>
          <w:lang w:eastAsia="en-GB"/>
          <w14:ligatures w14:val="none"/>
        </w:rPr>
        <w:t>🔹</w:t>
      </w:r>
      <w:r w:rsidRPr="001E0D74">
        <w:rPr>
          <w:rFonts w:ascii="Times New Roman" w:eastAsia="Times New Roman" w:hAnsi="Times New Roman" w:cs="Times New Roman"/>
          <w:b/>
          <w:bCs/>
          <w:kern w:val="0"/>
          <w:sz w:val="36"/>
          <w:szCs w:val="36"/>
          <w:lang w:eastAsia="en-GB"/>
          <w14:ligatures w14:val="none"/>
        </w:rPr>
        <w:t xml:space="preserve"> Assessment Criteria (Structured)</w:t>
      </w:r>
    </w:p>
    <w:p w14:paraId="6F940C3E" w14:textId="77777777" w:rsidR="001E0D74" w:rsidRPr="001E0D74" w:rsidRDefault="001E0D74" w:rsidP="001E0D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b/>
          <w:bCs/>
          <w:kern w:val="0"/>
          <w:sz w:val="24"/>
          <w:szCs w:val="24"/>
          <w:lang w:eastAsia="en-GB"/>
          <w14:ligatures w14:val="none"/>
        </w:rPr>
        <w:t>Requirement:</w:t>
      </w:r>
      <w:r w:rsidRPr="001E0D74">
        <w:rPr>
          <w:rFonts w:ascii="Times New Roman" w:eastAsia="Times New Roman" w:hAnsi="Times New Roman" w:cs="Times New Roman"/>
          <w:kern w:val="0"/>
          <w:sz w:val="24"/>
          <w:szCs w:val="24"/>
          <w:lang w:eastAsia="en-GB"/>
          <w14:ligatures w14:val="none"/>
        </w:rPr>
        <w:t xml:space="preserve"> A documented </w:t>
      </w:r>
      <w:r w:rsidRPr="001E0D74">
        <w:rPr>
          <w:rFonts w:ascii="Times New Roman" w:eastAsia="Times New Roman" w:hAnsi="Times New Roman" w:cs="Times New Roman"/>
          <w:b/>
          <w:bCs/>
          <w:kern w:val="0"/>
          <w:sz w:val="24"/>
          <w:szCs w:val="24"/>
          <w:lang w:eastAsia="en-GB"/>
          <w14:ligatures w14:val="none"/>
        </w:rPr>
        <w:t>Diamond Reconciliation Framework</w:t>
      </w:r>
      <w:r w:rsidRPr="001E0D74">
        <w:rPr>
          <w:rFonts w:ascii="Times New Roman" w:eastAsia="Times New Roman" w:hAnsi="Times New Roman" w:cs="Times New Roman"/>
          <w:kern w:val="0"/>
          <w:sz w:val="24"/>
          <w:szCs w:val="24"/>
          <w:lang w:eastAsia="en-GB"/>
          <w14:ligatures w14:val="none"/>
        </w:rPr>
        <w:t xml:space="preserve"> must exist, covering all key custody stages (extraction, recovery, sorting, valuation, dispatch).</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Evidence:</w:t>
      </w:r>
      <w:r w:rsidRPr="001E0D74">
        <w:rPr>
          <w:rFonts w:ascii="Times New Roman" w:eastAsia="Times New Roman" w:hAnsi="Times New Roman" w:cs="Times New Roman"/>
          <w:kern w:val="0"/>
          <w:sz w:val="24"/>
          <w:szCs w:val="24"/>
          <w:lang w:eastAsia="en-GB"/>
          <w14:ligatures w14:val="none"/>
        </w:rPr>
        <w:t xml:space="preserve"> Approved reconciliation framework with flow diagrams and process owners identified.</w:t>
      </w:r>
    </w:p>
    <w:p w14:paraId="1DA68A1B" w14:textId="77777777" w:rsidR="001E0D74" w:rsidRPr="001E0D74" w:rsidRDefault="001E0D74" w:rsidP="001E0D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b/>
          <w:bCs/>
          <w:kern w:val="0"/>
          <w:sz w:val="24"/>
          <w:szCs w:val="24"/>
          <w:lang w:eastAsia="en-GB"/>
          <w14:ligatures w14:val="none"/>
        </w:rPr>
        <w:t>Requirement:</w:t>
      </w:r>
      <w:r w:rsidRPr="001E0D74">
        <w:rPr>
          <w:rFonts w:ascii="Times New Roman" w:eastAsia="Times New Roman" w:hAnsi="Times New Roman" w:cs="Times New Roman"/>
          <w:kern w:val="0"/>
          <w:sz w:val="24"/>
          <w:szCs w:val="24"/>
          <w:lang w:eastAsia="en-GB"/>
          <w14:ligatures w14:val="none"/>
        </w:rPr>
        <w:t xml:space="preserve"> </w:t>
      </w:r>
      <w:r w:rsidRPr="001E0D74">
        <w:rPr>
          <w:rFonts w:ascii="Times New Roman" w:eastAsia="Times New Roman" w:hAnsi="Times New Roman" w:cs="Times New Roman"/>
          <w:b/>
          <w:bCs/>
          <w:kern w:val="0"/>
          <w:sz w:val="24"/>
          <w:szCs w:val="24"/>
          <w:lang w:eastAsia="en-GB"/>
          <w14:ligatures w14:val="none"/>
        </w:rPr>
        <w:t>Daily reconciliations</w:t>
      </w:r>
      <w:r w:rsidRPr="001E0D74">
        <w:rPr>
          <w:rFonts w:ascii="Times New Roman" w:eastAsia="Times New Roman" w:hAnsi="Times New Roman" w:cs="Times New Roman"/>
          <w:kern w:val="0"/>
          <w:sz w:val="24"/>
          <w:szCs w:val="24"/>
          <w:lang w:eastAsia="en-GB"/>
          <w14:ligatures w14:val="none"/>
        </w:rPr>
        <w:t xml:space="preserve"> must be conducted at recovery plants and sorting facilities, signed off by both Security and Operations.</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Evidence:</w:t>
      </w:r>
      <w:r w:rsidRPr="001E0D74">
        <w:rPr>
          <w:rFonts w:ascii="Times New Roman" w:eastAsia="Times New Roman" w:hAnsi="Times New Roman" w:cs="Times New Roman"/>
          <w:kern w:val="0"/>
          <w:sz w:val="24"/>
          <w:szCs w:val="24"/>
          <w:lang w:eastAsia="en-GB"/>
          <w14:ligatures w14:val="none"/>
        </w:rPr>
        <w:t xml:space="preserve"> Daily reconciliation sheets with dual sign-off records.</w:t>
      </w:r>
    </w:p>
    <w:p w14:paraId="190CF0B9" w14:textId="77777777" w:rsidR="001E0D74" w:rsidRPr="001E0D74" w:rsidRDefault="001E0D74" w:rsidP="001E0D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b/>
          <w:bCs/>
          <w:kern w:val="0"/>
          <w:sz w:val="24"/>
          <w:szCs w:val="24"/>
          <w:lang w:eastAsia="en-GB"/>
          <w14:ligatures w14:val="none"/>
        </w:rPr>
        <w:t>Requirement:</w:t>
      </w:r>
      <w:r w:rsidRPr="001E0D74">
        <w:rPr>
          <w:rFonts w:ascii="Times New Roman" w:eastAsia="Times New Roman" w:hAnsi="Times New Roman" w:cs="Times New Roman"/>
          <w:kern w:val="0"/>
          <w:sz w:val="24"/>
          <w:szCs w:val="24"/>
          <w:lang w:eastAsia="en-GB"/>
          <w14:ligatures w14:val="none"/>
        </w:rPr>
        <w:t xml:space="preserve"> </w:t>
      </w:r>
      <w:r w:rsidRPr="001E0D74">
        <w:rPr>
          <w:rFonts w:ascii="Times New Roman" w:eastAsia="Times New Roman" w:hAnsi="Times New Roman" w:cs="Times New Roman"/>
          <w:b/>
          <w:bCs/>
          <w:kern w:val="0"/>
          <w:sz w:val="24"/>
          <w:szCs w:val="24"/>
          <w:lang w:eastAsia="en-GB"/>
          <w14:ligatures w14:val="none"/>
        </w:rPr>
        <w:t>Weekly variance reports</w:t>
      </w:r>
      <w:r w:rsidRPr="001E0D74">
        <w:rPr>
          <w:rFonts w:ascii="Times New Roman" w:eastAsia="Times New Roman" w:hAnsi="Times New Roman" w:cs="Times New Roman"/>
          <w:kern w:val="0"/>
          <w:sz w:val="24"/>
          <w:szCs w:val="24"/>
          <w:lang w:eastAsia="en-GB"/>
          <w14:ligatures w14:val="none"/>
        </w:rPr>
        <w:t xml:space="preserve"> must be submitted to the Diamond Security Control Committee, highlighting trends, anomalies, and corrective actions.</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Evidence:</w:t>
      </w:r>
      <w:r w:rsidRPr="001E0D74">
        <w:rPr>
          <w:rFonts w:ascii="Times New Roman" w:eastAsia="Times New Roman" w:hAnsi="Times New Roman" w:cs="Times New Roman"/>
          <w:kern w:val="0"/>
          <w:sz w:val="24"/>
          <w:szCs w:val="24"/>
          <w:lang w:eastAsia="en-GB"/>
          <w14:ligatures w14:val="none"/>
        </w:rPr>
        <w:t xml:space="preserve"> Consolidated variance reports with committee review minutes.</w:t>
      </w:r>
    </w:p>
    <w:p w14:paraId="207BA48D" w14:textId="77777777" w:rsidR="001E0D74" w:rsidRPr="001E0D74" w:rsidRDefault="001E0D74" w:rsidP="001E0D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b/>
          <w:bCs/>
          <w:kern w:val="0"/>
          <w:sz w:val="24"/>
          <w:szCs w:val="24"/>
          <w:lang w:eastAsia="en-GB"/>
          <w14:ligatures w14:val="none"/>
        </w:rPr>
        <w:t>Requirement:</w:t>
      </w:r>
      <w:r w:rsidRPr="001E0D74">
        <w:rPr>
          <w:rFonts w:ascii="Times New Roman" w:eastAsia="Times New Roman" w:hAnsi="Times New Roman" w:cs="Times New Roman"/>
          <w:kern w:val="0"/>
          <w:sz w:val="24"/>
          <w:szCs w:val="24"/>
          <w:lang w:eastAsia="en-GB"/>
          <w14:ligatures w14:val="none"/>
        </w:rPr>
        <w:t xml:space="preserve"> Any </w:t>
      </w:r>
      <w:r w:rsidRPr="001E0D74">
        <w:rPr>
          <w:rFonts w:ascii="Times New Roman" w:eastAsia="Times New Roman" w:hAnsi="Times New Roman" w:cs="Times New Roman"/>
          <w:b/>
          <w:bCs/>
          <w:kern w:val="0"/>
          <w:sz w:val="24"/>
          <w:szCs w:val="24"/>
          <w:lang w:eastAsia="en-GB"/>
          <w14:ligatures w14:val="none"/>
        </w:rPr>
        <w:t>variance above tolerance thresholds</w:t>
      </w:r>
      <w:r w:rsidRPr="001E0D74">
        <w:rPr>
          <w:rFonts w:ascii="Times New Roman" w:eastAsia="Times New Roman" w:hAnsi="Times New Roman" w:cs="Times New Roman"/>
          <w:kern w:val="0"/>
          <w:sz w:val="24"/>
          <w:szCs w:val="24"/>
          <w:lang w:eastAsia="en-GB"/>
          <w14:ligatures w14:val="none"/>
        </w:rPr>
        <w:t xml:space="preserve"> (e.g., ±0.05 carats or 0.1%) must trigger immediate investigation and escalation.</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Evidence:</w:t>
      </w:r>
      <w:r w:rsidRPr="001E0D74">
        <w:rPr>
          <w:rFonts w:ascii="Times New Roman" w:eastAsia="Times New Roman" w:hAnsi="Times New Roman" w:cs="Times New Roman"/>
          <w:kern w:val="0"/>
          <w:sz w:val="24"/>
          <w:szCs w:val="24"/>
          <w:lang w:eastAsia="en-GB"/>
          <w14:ligatures w14:val="none"/>
        </w:rPr>
        <w:t xml:space="preserve"> Variance logbook with threshold references and investigation outcomes.</w:t>
      </w:r>
    </w:p>
    <w:p w14:paraId="426489AB" w14:textId="77777777" w:rsidR="001E0D74" w:rsidRPr="001E0D74" w:rsidRDefault="001E0D74" w:rsidP="001E0D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b/>
          <w:bCs/>
          <w:kern w:val="0"/>
          <w:sz w:val="24"/>
          <w:szCs w:val="24"/>
          <w:lang w:eastAsia="en-GB"/>
          <w14:ligatures w14:val="none"/>
        </w:rPr>
        <w:t>Requirement:</w:t>
      </w:r>
      <w:r w:rsidRPr="001E0D74">
        <w:rPr>
          <w:rFonts w:ascii="Times New Roman" w:eastAsia="Times New Roman" w:hAnsi="Times New Roman" w:cs="Times New Roman"/>
          <w:kern w:val="0"/>
          <w:sz w:val="24"/>
          <w:szCs w:val="24"/>
          <w:lang w:eastAsia="en-GB"/>
          <w14:ligatures w14:val="none"/>
        </w:rPr>
        <w:t xml:space="preserve"> Reconciliation must integrate with </w:t>
      </w:r>
      <w:r w:rsidRPr="001E0D74">
        <w:rPr>
          <w:rFonts w:ascii="Times New Roman" w:eastAsia="Times New Roman" w:hAnsi="Times New Roman" w:cs="Times New Roman"/>
          <w:b/>
          <w:bCs/>
          <w:kern w:val="0"/>
          <w:sz w:val="24"/>
          <w:szCs w:val="24"/>
          <w:lang w:eastAsia="en-GB"/>
          <w14:ligatures w14:val="none"/>
        </w:rPr>
        <w:t>Chain of Custody records</w:t>
      </w:r>
      <w:r w:rsidRPr="001E0D74">
        <w:rPr>
          <w:rFonts w:ascii="Times New Roman" w:eastAsia="Times New Roman" w:hAnsi="Times New Roman" w:cs="Times New Roman"/>
          <w:kern w:val="0"/>
          <w:sz w:val="24"/>
          <w:szCs w:val="24"/>
          <w:lang w:eastAsia="en-GB"/>
          <w14:ligatures w14:val="none"/>
        </w:rPr>
        <w:t xml:space="preserve"> to ensure end-to-end traceability.</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Evidence:</w:t>
      </w:r>
      <w:r w:rsidRPr="001E0D74">
        <w:rPr>
          <w:rFonts w:ascii="Times New Roman" w:eastAsia="Times New Roman" w:hAnsi="Times New Roman" w:cs="Times New Roman"/>
          <w:kern w:val="0"/>
          <w:sz w:val="24"/>
          <w:szCs w:val="24"/>
          <w:lang w:eastAsia="en-GB"/>
          <w14:ligatures w14:val="none"/>
        </w:rPr>
        <w:t xml:space="preserve"> Cross-referenced reports showing custody </w:t>
      </w:r>
      <w:proofErr w:type="gramStart"/>
      <w:r w:rsidRPr="001E0D74">
        <w:rPr>
          <w:rFonts w:ascii="Times New Roman" w:eastAsia="Times New Roman" w:hAnsi="Times New Roman" w:cs="Times New Roman"/>
          <w:kern w:val="0"/>
          <w:sz w:val="24"/>
          <w:szCs w:val="24"/>
          <w:lang w:eastAsia="en-GB"/>
          <w14:ligatures w14:val="none"/>
        </w:rPr>
        <w:t>sign-offs</w:t>
      </w:r>
      <w:proofErr w:type="gramEnd"/>
      <w:r w:rsidRPr="001E0D74">
        <w:rPr>
          <w:rFonts w:ascii="Times New Roman" w:eastAsia="Times New Roman" w:hAnsi="Times New Roman" w:cs="Times New Roman"/>
          <w:kern w:val="0"/>
          <w:sz w:val="24"/>
          <w:szCs w:val="24"/>
          <w:lang w:eastAsia="en-GB"/>
          <w14:ligatures w14:val="none"/>
        </w:rPr>
        <w:t xml:space="preserve"> linked to reconciliation logs.</w:t>
      </w:r>
    </w:p>
    <w:p w14:paraId="260233CC" w14:textId="77777777" w:rsidR="001E0D74" w:rsidRPr="001E0D74" w:rsidRDefault="001E0D74" w:rsidP="001E0D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b/>
          <w:bCs/>
          <w:kern w:val="0"/>
          <w:sz w:val="24"/>
          <w:szCs w:val="24"/>
          <w:lang w:eastAsia="en-GB"/>
          <w14:ligatures w14:val="none"/>
        </w:rPr>
        <w:t>Requirement:</w:t>
      </w:r>
      <w:r w:rsidRPr="001E0D74">
        <w:rPr>
          <w:rFonts w:ascii="Times New Roman" w:eastAsia="Times New Roman" w:hAnsi="Times New Roman" w:cs="Times New Roman"/>
          <w:kern w:val="0"/>
          <w:sz w:val="24"/>
          <w:szCs w:val="24"/>
          <w:lang w:eastAsia="en-GB"/>
          <w14:ligatures w14:val="none"/>
        </w:rPr>
        <w:t xml:space="preserve"> </w:t>
      </w:r>
      <w:r w:rsidRPr="001E0D74">
        <w:rPr>
          <w:rFonts w:ascii="Times New Roman" w:eastAsia="Times New Roman" w:hAnsi="Times New Roman" w:cs="Times New Roman"/>
          <w:b/>
          <w:bCs/>
          <w:kern w:val="0"/>
          <w:sz w:val="24"/>
          <w:szCs w:val="24"/>
          <w:lang w:eastAsia="en-GB"/>
          <w14:ligatures w14:val="none"/>
        </w:rPr>
        <w:t>Independent audits</w:t>
      </w:r>
      <w:r w:rsidRPr="001E0D74">
        <w:rPr>
          <w:rFonts w:ascii="Times New Roman" w:eastAsia="Times New Roman" w:hAnsi="Times New Roman" w:cs="Times New Roman"/>
          <w:kern w:val="0"/>
          <w:sz w:val="24"/>
          <w:szCs w:val="24"/>
          <w:lang w:eastAsia="en-GB"/>
          <w14:ligatures w14:val="none"/>
        </w:rPr>
        <w:t xml:space="preserve"> of reconciliation processes must occur quarterly, with findings reported to senior management.</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Evidence:</w:t>
      </w:r>
      <w:r w:rsidRPr="001E0D74">
        <w:rPr>
          <w:rFonts w:ascii="Times New Roman" w:eastAsia="Times New Roman" w:hAnsi="Times New Roman" w:cs="Times New Roman"/>
          <w:kern w:val="0"/>
          <w:sz w:val="24"/>
          <w:szCs w:val="24"/>
          <w:lang w:eastAsia="en-GB"/>
          <w14:ligatures w14:val="none"/>
        </w:rPr>
        <w:t xml:space="preserve"> Audit reports, findings log, and corrective action tracking.</w:t>
      </w:r>
    </w:p>
    <w:p w14:paraId="3D89E84F" w14:textId="77777777" w:rsidR="001E0D74" w:rsidRPr="001E0D74" w:rsidRDefault="001E0D74" w:rsidP="001E0D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b/>
          <w:bCs/>
          <w:kern w:val="0"/>
          <w:sz w:val="24"/>
          <w:szCs w:val="24"/>
          <w:lang w:eastAsia="en-GB"/>
          <w14:ligatures w14:val="none"/>
        </w:rPr>
        <w:t>Requirement:</w:t>
      </w:r>
      <w:r w:rsidRPr="001E0D74">
        <w:rPr>
          <w:rFonts w:ascii="Times New Roman" w:eastAsia="Times New Roman" w:hAnsi="Times New Roman" w:cs="Times New Roman"/>
          <w:kern w:val="0"/>
          <w:sz w:val="24"/>
          <w:szCs w:val="24"/>
          <w:lang w:eastAsia="en-GB"/>
          <w14:ligatures w14:val="none"/>
        </w:rPr>
        <w:t xml:space="preserve"> Variance investigations must include </w:t>
      </w:r>
      <w:r w:rsidRPr="001E0D74">
        <w:rPr>
          <w:rFonts w:ascii="Times New Roman" w:eastAsia="Times New Roman" w:hAnsi="Times New Roman" w:cs="Times New Roman"/>
          <w:b/>
          <w:bCs/>
          <w:kern w:val="0"/>
          <w:sz w:val="24"/>
          <w:szCs w:val="24"/>
          <w:lang w:eastAsia="en-GB"/>
          <w14:ligatures w14:val="none"/>
        </w:rPr>
        <w:t>root cause analysis</w:t>
      </w:r>
      <w:r w:rsidRPr="001E0D74">
        <w:rPr>
          <w:rFonts w:ascii="Times New Roman" w:eastAsia="Times New Roman" w:hAnsi="Times New Roman" w:cs="Times New Roman"/>
          <w:kern w:val="0"/>
          <w:sz w:val="24"/>
          <w:szCs w:val="24"/>
          <w:lang w:eastAsia="en-GB"/>
          <w14:ligatures w14:val="none"/>
        </w:rPr>
        <w:t xml:space="preserve"> (RCA), focusing on human error, process gaps, or potential insider threat.</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Evidence:</w:t>
      </w:r>
      <w:r w:rsidRPr="001E0D74">
        <w:rPr>
          <w:rFonts w:ascii="Times New Roman" w:eastAsia="Times New Roman" w:hAnsi="Times New Roman" w:cs="Times New Roman"/>
          <w:kern w:val="0"/>
          <w:sz w:val="24"/>
          <w:szCs w:val="24"/>
          <w:lang w:eastAsia="en-GB"/>
          <w14:ligatures w14:val="none"/>
        </w:rPr>
        <w:t xml:space="preserve"> RCA documentation and committee-approved remediation plans.</w:t>
      </w:r>
    </w:p>
    <w:p w14:paraId="6EA1F850" w14:textId="77777777" w:rsidR="001E0D74" w:rsidRPr="001E0D74" w:rsidRDefault="001E0D74" w:rsidP="001E0D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b/>
          <w:bCs/>
          <w:kern w:val="0"/>
          <w:sz w:val="24"/>
          <w:szCs w:val="24"/>
          <w:lang w:eastAsia="en-GB"/>
          <w14:ligatures w14:val="none"/>
        </w:rPr>
        <w:t>Requirement:</w:t>
      </w:r>
      <w:r w:rsidRPr="001E0D74">
        <w:rPr>
          <w:rFonts w:ascii="Times New Roman" w:eastAsia="Times New Roman" w:hAnsi="Times New Roman" w:cs="Times New Roman"/>
          <w:kern w:val="0"/>
          <w:sz w:val="24"/>
          <w:szCs w:val="24"/>
          <w:lang w:eastAsia="en-GB"/>
          <w14:ligatures w14:val="none"/>
        </w:rPr>
        <w:t xml:space="preserve"> Automated reconciliation tools (e.g., </w:t>
      </w:r>
      <w:r w:rsidRPr="001E0D74">
        <w:rPr>
          <w:rFonts w:ascii="Times New Roman" w:eastAsia="Times New Roman" w:hAnsi="Times New Roman" w:cs="Times New Roman"/>
          <w:b/>
          <w:bCs/>
          <w:kern w:val="0"/>
          <w:sz w:val="24"/>
          <w:szCs w:val="24"/>
          <w:lang w:eastAsia="en-GB"/>
          <w14:ligatures w14:val="none"/>
        </w:rPr>
        <w:t>weighing systems, sorter counters, scanner logs</w:t>
      </w:r>
      <w:r w:rsidRPr="001E0D74">
        <w:rPr>
          <w:rFonts w:ascii="Times New Roman" w:eastAsia="Times New Roman" w:hAnsi="Times New Roman" w:cs="Times New Roman"/>
          <w:kern w:val="0"/>
          <w:sz w:val="24"/>
          <w:szCs w:val="24"/>
          <w:lang w:eastAsia="en-GB"/>
          <w14:ligatures w14:val="none"/>
        </w:rPr>
        <w:t>) must be deployed where feasible.</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Evidence:</w:t>
      </w:r>
      <w:r w:rsidRPr="001E0D74">
        <w:rPr>
          <w:rFonts w:ascii="Times New Roman" w:eastAsia="Times New Roman" w:hAnsi="Times New Roman" w:cs="Times New Roman"/>
          <w:kern w:val="0"/>
          <w:sz w:val="24"/>
          <w:szCs w:val="24"/>
          <w:lang w:eastAsia="en-GB"/>
          <w14:ligatures w14:val="none"/>
        </w:rPr>
        <w:t xml:space="preserve"> System integration logs, calibration records, and variance detection reports.</w:t>
      </w:r>
    </w:p>
    <w:p w14:paraId="56BFF831" w14:textId="77777777" w:rsidR="001E0D74" w:rsidRPr="001E0D74" w:rsidRDefault="001E0D74" w:rsidP="001E0D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b/>
          <w:bCs/>
          <w:kern w:val="0"/>
          <w:sz w:val="24"/>
          <w:szCs w:val="24"/>
          <w:lang w:eastAsia="en-GB"/>
          <w14:ligatures w14:val="none"/>
        </w:rPr>
        <w:t>Requirement:</w:t>
      </w:r>
      <w:r w:rsidRPr="001E0D74">
        <w:rPr>
          <w:rFonts w:ascii="Times New Roman" w:eastAsia="Times New Roman" w:hAnsi="Times New Roman" w:cs="Times New Roman"/>
          <w:kern w:val="0"/>
          <w:sz w:val="24"/>
          <w:szCs w:val="24"/>
          <w:lang w:eastAsia="en-GB"/>
          <w14:ligatures w14:val="none"/>
        </w:rPr>
        <w:t xml:space="preserve"> A </w:t>
      </w:r>
      <w:r w:rsidRPr="001E0D74">
        <w:rPr>
          <w:rFonts w:ascii="Times New Roman" w:eastAsia="Times New Roman" w:hAnsi="Times New Roman" w:cs="Times New Roman"/>
          <w:b/>
          <w:bCs/>
          <w:kern w:val="0"/>
          <w:sz w:val="24"/>
          <w:szCs w:val="24"/>
          <w:lang w:eastAsia="en-GB"/>
          <w14:ligatures w14:val="none"/>
        </w:rPr>
        <w:t xml:space="preserve">reconciliation variance </w:t>
      </w:r>
      <w:proofErr w:type="spellStart"/>
      <w:r w:rsidRPr="001E0D74">
        <w:rPr>
          <w:rFonts w:ascii="Times New Roman" w:eastAsia="Times New Roman" w:hAnsi="Times New Roman" w:cs="Times New Roman"/>
          <w:b/>
          <w:bCs/>
          <w:kern w:val="0"/>
          <w:sz w:val="24"/>
          <w:szCs w:val="24"/>
          <w:lang w:eastAsia="en-GB"/>
          <w14:ligatures w14:val="none"/>
        </w:rPr>
        <w:t>KPI</w:t>
      </w:r>
      <w:proofErr w:type="spellEnd"/>
      <w:r w:rsidRPr="001E0D74">
        <w:rPr>
          <w:rFonts w:ascii="Times New Roman" w:eastAsia="Times New Roman" w:hAnsi="Times New Roman" w:cs="Times New Roman"/>
          <w:b/>
          <w:bCs/>
          <w:kern w:val="0"/>
          <w:sz w:val="24"/>
          <w:szCs w:val="24"/>
          <w:lang w:eastAsia="en-GB"/>
          <w14:ligatures w14:val="none"/>
        </w:rPr>
        <w:t xml:space="preserve"> dashboard</w:t>
      </w:r>
      <w:r w:rsidRPr="001E0D74">
        <w:rPr>
          <w:rFonts w:ascii="Times New Roman" w:eastAsia="Times New Roman" w:hAnsi="Times New Roman" w:cs="Times New Roman"/>
          <w:kern w:val="0"/>
          <w:sz w:val="24"/>
          <w:szCs w:val="24"/>
          <w:lang w:eastAsia="en-GB"/>
          <w14:ligatures w14:val="none"/>
        </w:rPr>
        <w:t xml:space="preserve"> must be maintained, showing variance percentages, investigation closure times, and trend analysis.</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Evidence:</w:t>
      </w:r>
      <w:r w:rsidRPr="001E0D74">
        <w:rPr>
          <w:rFonts w:ascii="Times New Roman" w:eastAsia="Times New Roman" w:hAnsi="Times New Roman" w:cs="Times New Roman"/>
          <w:kern w:val="0"/>
          <w:sz w:val="24"/>
          <w:szCs w:val="24"/>
          <w:lang w:eastAsia="en-GB"/>
          <w14:ligatures w14:val="none"/>
        </w:rPr>
        <w:t xml:space="preserve"> Updated dashboard screenshots, variance trend graphs, and </w:t>
      </w:r>
      <w:proofErr w:type="spellStart"/>
      <w:r w:rsidRPr="001E0D74">
        <w:rPr>
          <w:rFonts w:ascii="Times New Roman" w:eastAsia="Times New Roman" w:hAnsi="Times New Roman" w:cs="Times New Roman"/>
          <w:kern w:val="0"/>
          <w:sz w:val="24"/>
          <w:szCs w:val="24"/>
          <w:lang w:eastAsia="en-GB"/>
          <w14:ligatures w14:val="none"/>
        </w:rPr>
        <w:t>KPI</w:t>
      </w:r>
      <w:proofErr w:type="spellEnd"/>
      <w:r w:rsidRPr="001E0D74">
        <w:rPr>
          <w:rFonts w:ascii="Times New Roman" w:eastAsia="Times New Roman" w:hAnsi="Times New Roman" w:cs="Times New Roman"/>
          <w:kern w:val="0"/>
          <w:sz w:val="24"/>
          <w:szCs w:val="24"/>
          <w:lang w:eastAsia="en-GB"/>
          <w14:ligatures w14:val="none"/>
        </w:rPr>
        <w:t xml:space="preserve"> reports.</w:t>
      </w:r>
    </w:p>
    <w:p w14:paraId="1DA155A1" w14:textId="77777777" w:rsidR="001E0D74" w:rsidRPr="001E0D74" w:rsidRDefault="001E0D74" w:rsidP="001E0D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1E0D74">
        <w:rPr>
          <w:rFonts w:ascii="Times New Roman" w:eastAsia="Times New Roman" w:hAnsi="Times New Roman" w:cs="Times New Roman"/>
          <w:b/>
          <w:bCs/>
          <w:kern w:val="0"/>
          <w:sz w:val="24"/>
          <w:szCs w:val="24"/>
          <w:lang w:eastAsia="en-GB"/>
          <w14:ligatures w14:val="none"/>
        </w:rPr>
        <w:lastRenderedPageBreak/>
        <w:t>Requirement:</w:t>
      </w:r>
      <w:r w:rsidRPr="001E0D74">
        <w:rPr>
          <w:rFonts w:ascii="Times New Roman" w:eastAsia="Times New Roman" w:hAnsi="Times New Roman" w:cs="Times New Roman"/>
          <w:kern w:val="0"/>
          <w:sz w:val="24"/>
          <w:szCs w:val="24"/>
          <w:lang w:eastAsia="en-GB"/>
          <w14:ligatures w14:val="none"/>
        </w:rPr>
        <w:t xml:space="preserve"> All reconciliation procedures must be included in </w:t>
      </w:r>
      <w:r w:rsidRPr="001E0D74">
        <w:rPr>
          <w:rFonts w:ascii="Times New Roman" w:eastAsia="Times New Roman" w:hAnsi="Times New Roman" w:cs="Times New Roman"/>
          <w:b/>
          <w:bCs/>
          <w:kern w:val="0"/>
          <w:sz w:val="24"/>
          <w:szCs w:val="24"/>
          <w:lang w:eastAsia="en-GB"/>
          <w14:ligatures w14:val="none"/>
        </w:rPr>
        <w:t>standard operating procedures (SOPs)</w:t>
      </w:r>
      <w:r w:rsidRPr="001E0D74">
        <w:rPr>
          <w:rFonts w:ascii="Times New Roman" w:eastAsia="Times New Roman" w:hAnsi="Times New Roman" w:cs="Times New Roman"/>
          <w:kern w:val="0"/>
          <w:sz w:val="24"/>
          <w:szCs w:val="24"/>
          <w:lang w:eastAsia="en-GB"/>
          <w14:ligatures w14:val="none"/>
        </w:rPr>
        <w:t xml:space="preserve"> and reviewed annually.</w:t>
      </w:r>
      <w:r w:rsidRPr="001E0D74">
        <w:rPr>
          <w:rFonts w:ascii="Times New Roman" w:eastAsia="Times New Roman" w:hAnsi="Times New Roman" w:cs="Times New Roman"/>
          <w:kern w:val="0"/>
          <w:sz w:val="24"/>
          <w:szCs w:val="24"/>
          <w:lang w:eastAsia="en-GB"/>
          <w14:ligatures w14:val="none"/>
        </w:rPr>
        <w:br/>
      </w:r>
      <w:r w:rsidRPr="001E0D74">
        <w:rPr>
          <w:rFonts w:ascii="Times New Roman" w:eastAsia="Times New Roman" w:hAnsi="Times New Roman" w:cs="Times New Roman"/>
          <w:b/>
          <w:bCs/>
          <w:kern w:val="0"/>
          <w:sz w:val="24"/>
          <w:szCs w:val="24"/>
          <w:lang w:eastAsia="en-GB"/>
          <w14:ligatures w14:val="none"/>
        </w:rPr>
        <w:t>Evidence:</w:t>
      </w:r>
      <w:r w:rsidRPr="001E0D74">
        <w:rPr>
          <w:rFonts w:ascii="Times New Roman" w:eastAsia="Times New Roman" w:hAnsi="Times New Roman" w:cs="Times New Roman"/>
          <w:kern w:val="0"/>
          <w:sz w:val="24"/>
          <w:szCs w:val="24"/>
          <w:lang w:eastAsia="en-GB"/>
          <w14:ligatures w14:val="none"/>
        </w:rPr>
        <w:t xml:space="preserve"> Updated SOPs with reconciliation references and version history.</w:t>
      </w:r>
    </w:p>
    <w:p w14:paraId="2C810D36" w14:textId="77777777" w:rsidR="00804C4E" w:rsidRDefault="00804C4E"/>
    <w:sectPr w:rsidR="00804C4E" w:rsidSect="002F7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B010B"/>
    <w:multiLevelType w:val="multilevel"/>
    <w:tmpl w:val="68F0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224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D74"/>
    <w:rsid w:val="00040260"/>
    <w:rsid w:val="001E0D74"/>
    <w:rsid w:val="002F7011"/>
    <w:rsid w:val="00387B90"/>
    <w:rsid w:val="004C72C5"/>
    <w:rsid w:val="00804C4E"/>
    <w:rsid w:val="00E2402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2F64C"/>
  <w15:chartTrackingRefBased/>
  <w15:docId w15:val="{F7319EF7-6049-480B-901A-9F5584E01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D74"/>
    <w:rPr>
      <w:rFonts w:eastAsiaTheme="majorEastAsia" w:cstheme="majorBidi"/>
      <w:color w:val="272727" w:themeColor="text1" w:themeTint="D8"/>
    </w:rPr>
  </w:style>
  <w:style w:type="paragraph" w:styleId="Title">
    <w:name w:val="Title"/>
    <w:basedOn w:val="Normal"/>
    <w:next w:val="Normal"/>
    <w:link w:val="TitleChar"/>
    <w:uiPriority w:val="10"/>
    <w:qFormat/>
    <w:rsid w:val="001E0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D74"/>
    <w:pPr>
      <w:spacing w:before="160"/>
      <w:jc w:val="center"/>
    </w:pPr>
    <w:rPr>
      <w:i/>
      <w:iCs/>
      <w:color w:val="404040" w:themeColor="text1" w:themeTint="BF"/>
    </w:rPr>
  </w:style>
  <w:style w:type="character" w:customStyle="1" w:styleId="QuoteChar">
    <w:name w:val="Quote Char"/>
    <w:basedOn w:val="DefaultParagraphFont"/>
    <w:link w:val="Quote"/>
    <w:uiPriority w:val="29"/>
    <w:rsid w:val="001E0D74"/>
    <w:rPr>
      <w:i/>
      <w:iCs/>
      <w:color w:val="404040" w:themeColor="text1" w:themeTint="BF"/>
    </w:rPr>
  </w:style>
  <w:style w:type="paragraph" w:styleId="ListParagraph">
    <w:name w:val="List Paragraph"/>
    <w:basedOn w:val="Normal"/>
    <w:uiPriority w:val="34"/>
    <w:qFormat/>
    <w:rsid w:val="001E0D74"/>
    <w:pPr>
      <w:ind w:left="720"/>
      <w:contextualSpacing/>
    </w:pPr>
  </w:style>
  <w:style w:type="character" w:styleId="IntenseEmphasis">
    <w:name w:val="Intense Emphasis"/>
    <w:basedOn w:val="DefaultParagraphFont"/>
    <w:uiPriority w:val="21"/>
    <w:qFormat/>
    <w:rsid w:val="001E0D74"/>
    <w:rPr>
      <w:i/>
      <w:iCs/>
      <w:color w:val="0F4761" w:themeColor="accent1" w:themeShade="BF"/>
    </w:rPr>
  </w:style>
  <w:style w:type="paragraph" w:styleId="IntenseQuote">
    <w:name w:val="Intense Quote"/>
    <w:basedOn w:val="Normal"/>
    <w:next w:val="Normal"/>
    <w:link w:val="IntenseQuoteChar"/>
    <w:uiPriority w:val="30"/>
    <w:qFormat/>
    <w:rsid w:val="001E0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D74"/>
    <w:rPr>
      <w:i/>
      <w:iCs/>
      <w:color w:val="0F4761" w:themeColor="accent1" w:themeShade="BF"/>
    </w:rPr>
  </w:style>
  <w:style w:type="character" w:styleId="IntenseReference">
    <w:name w:val="Intense Reference"/>
    <w:basedOn w:val="DefaultParagraphFont"/>
    <w:uiPriority w:val="32"/>
    <w:qFormat/>
    <w:rsid w:val="001E0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Ras</dc:creator>
  <cp:keywords/>
  <dc:description/>
  <cp:lastModifiedBy>Johan Ras</cp:lastModifiedBy>
  <cp:revision>1</cp:revision>
  <dcterms:created xsi:type="dcterms:W3CDTF">2025-09-12T10:30:00Z</dcterms:created>
  <dcterms:modified xsi:type="dcterms:W3CDTF">2025-09-12T10:31:00Z</dcterms:modified>
</cp:coreProperties>
</file>