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2323C" w14:textId="77777777" w:rsidR="00C53072" w:rsidRDefault="00546CDE">
      <w:pPr>
        <w:pStyle w:val="Heading1"/>
      </w:pPr>
      <w:r>
        <w:t>Threat Environment Module – Mining Sector (v1)</w:t>
      </w:r>
    </w:p>
    <w:p w14:paraId="0ACE0071" w14:textId="77777777" w:rsidR="00C53072" w:rsidRDefault="00546CDE">
      <w:r>
        <w:t>This document defines threat environment logic for AI use within Maturion, specifically for applications in the mining sector. This module is referenced by Maturion when generating criteria, evidence suggestions, audit expectations, and maturity scoring in contexts where sector-specific threats must be considered.</w:t>
      </w:r>
    </w:p>
    <w:p w14:paraId="1BF39DF5" w14:textId="77777777" w:rsidR="00C53072" w:rsidRDefault="00546CDE">
      <w:pPr>
        <w:pStyle w:val="Heading2"/>
      </w:pPr>
      <w:r>
        <w:t>1. Sector Profile</w:t>
      </w:r>
    </w:p>
    <w:p w14:paraId="6BFF8E9A" w14:textId="77777777" w:rsidR="00C53072" w:rsidRDefault="00546CDE">
      <w:r>
        <w:t>The mining sector is characterized by high-value materials, remote operations, complex logistics, and a blend of human and automated processes. Security and operational risks span across physical intrusion, internal collusion, material misclassification, and non-compliant handling.</w:t>
      </w:r>
    </w:p>
    <w:p w14:paraId="460E988A" w14:textId="77777777" w:rsidR="00C53072" w:rsidRDefault="00546CDE">
      <w:pPr>
        <w:pStyle w:val="Heading2"/>
      </w:pPr>
      <w:r>
        <w:t>2. Key Threat Vectors</w:t>
      </w:r>
    </w:p>
    <w:p w14:paraId="38FEC3DE" w14:textId="77777777" w:rsidR="00C53072" w:rsidRDefault="00546CDE">
      <w:r>
        <w:t>- Insider threat and collusion (plant floor, recovery, transport)</w:t>
      </w:r>
      <w:r>
        <w:br/>
        <w:t>- Unauthorized access to controlled zones</w:t>
      </w:r>
      <w:r>
        <w:br/>
        <w:t>- Material dilution, switching, or misrouting</w:t>
      </w:r>
      <w:r>
        <w:br/>
        <w:t>- Weak process segregation (e.g., blending vs recovery)</w:t>
      </w:r>
      <w:r>
        <w:br/>
        <w:t>- Record falsification (logs, handovers, inspections)</w:t>
      </w:r>
      <w:r>
        <w:br/>
        <w:t>- Surveillance evasion</w:t>
      </w:r>
      <w:r>
        <w:br/>
        <w:t>- Sabotage or tampering</w:t>
      </w:r>
      <w:r>
        <w:br/>
        <w:t>- Asset misappropriation (tools, spares, containers)</w:t>
      </w:r>
      <w:r>
        <w:br/>
        <w:t>- Third-party risk (contractors, cleaning, transit services)</w:t>
      </w:r>
    </w:p>
    <w:p w14:paraId="20ACFE68" w14:textId="77777777" w:rsidR="00C53072" w:rsidRDefault="00546CDE">
      <w:pPr>
        <w:pStyle w:val="Heading2"/>
      </w:pPr>
      <w:r>
        <w:t>3. Evidence Expectations for Controls</w:t>
      </w:r>
    </w:p>
    <w:p w14:paraId="1A274292" w14:textId="6F3192C8" w:rsidR="00546CDE" w:rsidRDefault="00546CDE">
      <w:r>
        <w:t>- Access control logs with biometric trails or audit logs</w:t>
      </w:r>
      <w:r>
        <w:br/>
        <w:t>- Chain of custody forms with sequential verification</w:t>
      </w:r>
      <w:r>
        <w:br/>
        <w:t>- Material movement and recovery yield reconciliations</w:t>
      </w:r>
      <w:r>
        <w:br/>
        <w:t>- Control room video retention + anomaly flagging</w:t>
      </w:r>
      <w:r>
        <w:br/>
        <w:t>- Personnel screening records (pre-employment + rotation)</w:t>
      </w:r>
      <w:r>
        <w:br/>
        <w:t>- Asset registers with tamper-evident packaging logs</w:t>
      </w:r>
      <w:r>
        <w:br/>
        <w:t>- Reports of failed/delayed access or tamper alerts</w:t>
      </w:r>
      <w:r>
        <w:br/>
        <w:t>- Visitor/contractor check-in validation and escort records</w:t>
      </w:r>
      <w:r>
        <w:br/>
        <w:t>- Evidence of exception escalation and follow-up</w:t>
      </w:r>
    </w:p>
    <w:p w14:paraId="0ADCCE03" w14:textId="77777777" w:rsidR="00C53072" w:rsidRDefault="00546CDE">
      <w:pPr>
        <w:pStyle w:val="Heading2"/>
      </w:pPr>
      <w:r>
        <w:t>4. AI Alignment Guidance</w:t>
      </w:r>
    </w:p>
    <w:p w14:paraId="53D7F72B" w14:textId="77777777" w:rsidR="00C53072" w:rsidRDefault="00546CDE">
      <w:r>
        <w:t>- Maturion should reference this document when:</w:t>
      </w:r>
      <w:r>
        <w:br/>
        <w:t xml:space="preserve">  • Proposing new criteria in the mining sector</w:t>
      </w:r>
      <w:r>
        <w:br/>
        <w:t xml:space="preserve">  • Evaluating if evidence is valid for a mining-site control</w:t>
      </w:r>
      <w:r>
        <w:br/>
        <w:t xml:space="preserve">  • Generating threat narratives for audit trails</w:t>
      </w:r>
      <w:r>
        <w:br/>
        <w:t xml:space="preserve">  • Prioritizing severity in maturity scoring gaps</w:t>
      </w:r>
      <w:r>
        <w:br/>
        <w:t>- Threats in this module override generic assumptions if sector is flagged as mining.</w:t>
      </w:r>
    </w:p>
    <w:p w14:paraId="1F3221A9" w14:textId="77777777" w:rsidR="00C53072" w:rsidRDefault="00546CDE">
      <w:pPr>
        <w:pStyle w:val="Heading2"/>
      </w:pPr>
      <w:r>
        <w:lastRenderedPageBreak/>
        <w:t>5. Risk Interpretation Priority</w:t>
      </w:r>
    </w:p>
    <w:p w14:paraId="61421F98" w14:textId="77777777" w:rsidR="00C53072" w:rsidRDefault="00546CDE">
      <w:r>
        <w:t>If multiple sectors apply, Maturion will:</w:t>
      </w:r>
      <w:r>
        <w:br/>
        <w:t>1. Prioritize the mining profile if the operational site handles raw extraction or recovery.</w:t>
      </w:r>
      <w:r>
        <w:br/>
        <w:t>2. Fall back to generic security controls only if no threat module exists.</w:t>
      </w:r>
      <w:r>
        <w:br/>
        <w:t>3. Escalate any scoring deviation where a threat is relevant but undocumented.</w:t>
      </w:r>
    </w:p>
    <w:sectPr w:rsidR="00C530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7535563">
    <w:abstractNumId w:val="8"/>
  </w:num>
  <w:num w:numId="2" w16cid:durableId="1514956431">
    <w:abstractNumId w:val="6"/>
  </w:num>
  <w:num w:numId="3" w16cid:durableId="1642072676">
    <w:abstractNumId w:val="5"/>
  </w:num>
  <w:num w:numId="4" w16cid:durableId="1856577860">
    <w:abstractNumId w:val="4"/>
  </w:num>
  <w:num w:numId="5" w16cid:durableId="361517857">
    <w:abstractNumId w:val="7"/>
  </w:num>
  <w:num w:numId="6" w16cid:durableId="214004717">
    <w:abstractNumId w:val="3"/>
  </w:num>
  <w:num w:numId="7" w16cid:durableId="1286932426">
    <w:abstractNumId w:val="2"/>
  </w:num>
  <w:num w:numId="8" w16cid:durableId="1844707519">
    <w:abstractNumId w:val="1"/>
  </w:num>
  <w:num w:numId="9" w16cid:durableId="1222788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6CDE"/>
    <w:rsid w:val="00987237"/>
    <w:rsid w:val="00AA1D8D"/>
    <w:rsid w:val="00B47730"/>
    <w:rsid w:val="00C5307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F7748"/>
  <w14:defaultImageDpi w14:val="300"/>
  <w15:docId w15:val="{F3EE6E11-CF48-43A5-BCE5-FC3A50488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 Ras</cp:lastModifiedBy>
  <cp:revision>2</cp:revision>
  <dcterms:created xsi:type="dcterms:W3CDTF">2025-07-25T14:31:00Z</dcterms:created>
  <dcterms:modified xsi:type="dcterms:W3CDTF">2025-07-25T14:31:00Z</dcterms:modified>
  <cp:category/>
</cp:coreProperties>
</file>