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2DF9E" w14:textId="77777777" w:rsidR="0046051B" w:rsidRDefault="00371AC1" w:rsidP="0046051B">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2A02DF9F" w14:textId="77B4A120" w:rsidR="00371AC1" w:rsidRPr="00371AC1" w:rsidRDefault="00D7507A" w:rsidP="00371AC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Massive</w:t>
      </w:r>
      <w:r w:rsidR="00371AC1" w:rsidRPr="00371AC1">
        <w:rPr>
          <w:rFonts w:ascii="Times New Roman" w:hAnsi="Times New Roman" w:cs="Times New Roman"/>
          <w:sz w:val="28"/>
          <w:szCs w:val="28"/>
        </w:rPr>
        <w:t xml:space="preserve"> amounts of graph data are generated every day from a variety of sources including social networks, ecommerce, semantic web (RDF data) and biochemical networks [1], [2]. Even relational databases can be modeled as graphs in which nodes correspond to tuples and edges correspond to primary key – foreign key relationships. As a result, query processing over graphs has become an important problem.</w:t>
      </w:r>
    </w:p>
    <w:p w14:paraId="2A02DFA0" w14:textId="77777777" w:rsidR="00371AC1" w:rsidRPr="00371AC1" w:rsidRDefault="00371AC1" w:rsidP="00371AC1">
      <w:pPr>
        <w:spacing w:after="0" w:line="360" w:lineRule="auto"/>
        <w:jc w:val="both"/>
        <w:rPr>
          <w:rFonts w:ascii="Times New Roman" w:hAnsi="Times New Roman" w:cs="Times New Roman"/>
          <w:sz w:val="28"/>
          <w:szCs w:val="28"/>
        </w:rPr>
      </w:pPr>
      <w:r w:rsidRPr="00371AC1">
        <w:rPr>
          <w:rFonts w:ascii="Times New Roman" w:hAnsi="Times New Roman" w:cs="Times New Roman"/>
          <w:sz w:val="28"/>
          <w:szCs w:val="28"/>
        </w:rPr>
        <w:t>Keyword search in graphs, in particular, is a popular and intuitive approach that does not require mastery of a new query language such as SPARQL or knowledge of the graph database schema; in fact, some graph datasets do not have a well-defined schema and therefore cannot be explored using structured query languages [3]. Given a node-labeled graph in which nodes contain a set of keywords/terms (e.g., names of people, products or chemical compounds), and a query consisting of a set of input keywords, keyword search over graphs aims to find relevant subgraphs whose nodes contain the query keywords</w:t>
      </w:r>
    </w:p>
    <w:p w14:paraId="2A02DFA1" w14:textId="77777777" w:rsidR="00371AC1" w:rsidRPr="00371AC1" w:rsidRDefault="00371AC1" w:rsidP="00371AC1">
      <w:pPr>
        <w:spacing w:after="0" w:line="360" w:lineRule="auto"/>
        <w:jc w:val="both"/>
        <w:rPr>
          <w:rFonts w:ascii="Times New Roman" w:hAnsi="Times New Roman" w:cs="Times New Roman"/>
          <w:sz w:val="28"/>
          <w:szCs w:val="28"/>
        </w:rPr>
      </w:pPr>
      <w:r w:rsidRPr="00371AC1">
        <w:rPr>
          <w:rFonts w:ascii="Times New Roman" w:hAnsi="Times New Roman" w:cs="Times New Roman"/>
          <w:sz w:val="28"/>
          <w:szCs w:val="28"/>
        </w:rPr>
        <w:t>An answer to a keyword query is a subgraph, some of whose nodes, referred to as content nodes or keyword holders, contain the input keywords, and other nodes, referred to as middle nodes, connect the content nodes. We study the problem of ranking answers over weighted graphs, where weights may correspond to cost, penalty, distance, heterogeneity/homogeneity or uncertainty. We study the optimization (specifically, minimization) of three objectives: edge weights, node weights, and a bi-objective combination of both edge and node weights. To measure the proximity of the query keywords in an answer subgraph, we use the sum of distances among keyword holders, as it provides a number</w:t>
      </w:r>
    </w:p>
    <w:p w14:paraId="2A02DFA2" w14:textId="77777777" w:rsidR="00371AC1" w:rsidRPr="00371AC1" w:rsidRDefault="00371AC1" w:rsidP="00371AC1">
      <w:pPr>
        <w:spacing w:after="0" w:line="360" w:lineRule="auto"/>
        <w:jc w:val="both"/>
        <w:rPr>
          <w:rFonts w:ascii="Times New Roman" w:hAnsi="Times New Roman" w:cs="Times New Roman"/>
          <w:sz w:val="28"/>
          <w:szCs w:val="28"/>
        </w:rPr>
      </w:pPr>
      <w:r w:rsidRPr="00371AC1">
        <w:rPr>
          <w:rFonts w:ascii="Times New Roman" w:hAnsi="Times New Roman" w:cs="Times New Roman"/>
          <w:sz w:val="28"/>
          <w:szCs w:val="28"/>
        </w:rPr>
        <w:t xml:space="preserve">of benefits compared to other metrics such as the diameter of the subgraph (details in Section 2). To motivate our approach, we present examples from two domains: </w:t>
      </w:r>
      <w:r w:rsidRPr="00371AC1">
        <w:rPr>
          <w:rFonts w:ascii="Times New Roman" w:hAnsi="Times New Roman" w:cs="Times New Roman"/>
          <w:sz w:val="28"/>
          <w:szCs w:val="28"/>
        </w:rPr>
        <w:lastRenderedPageBreak/>
        <w:t>keyword search over the TPC-E benchmark data, and biological protein-protein interaction (PPI) networks with the associated genes</w:t>
      </w:r>
    </w:p>
    <w:p w14:paraId="2A02DFA3" w14:textId="77777777" w:rsidR="00371AC1" w:rsidRPr="00371AC1" w:rsidRDefault="00371AC1" w:rsidP="00371AC1">
      <w:pPr>
        <w:spacing w:after="0" w:line="360" w:lineRule="auto"/>
        <w:jc w:val="both"/>
        <w:rPr>
          <w:rFonts w:ascii="Times New Roman" w:hAnsi="Times New Roman" w:cs="Times New Roman"/>
          <w:sz w:val="28"/>
          <w:szCs w:val="28"/>
        </w:rPr>
      </w:pPr>
      <w:r w:rsidRPr="00371AC1">
        <w:rPr>
          <w:rFonts w:ascii="Times New Roman" w:hAnsi="Times New Roman" w:cs="Times New Roman"/>
          <w:sz w:val="28"/>
          <w:szCs w:val="28"/>
        </w:rPr>
        <w:t>Example: Keyword Search over TPC-E Benchmark Data. Suppose we want to find relationships between tuples in a relational database. One way to do this is to convert the relational database into a graph (as was done in BANKS [5]). Tuples are converted to nodes and foreign keys become the edges of the graph connecting the associated nodes. Our running example is based on the TPC-E1 benchmark, which models and stores the online transaction processing (OLTP) data of a brokerage firm. The database contains 33 tables with financial information such as fees of brokers, customer accounts, and traded companies</w:t>
      </w:r>
    </w:p>
    <w:p w14:paraId="2A02DFA4" w14:textId="77777777" w:rsidR="00371AC1" w:rsidRDefault="00371AC1" w:rsidP="00371AC1">
      <w:pPr>
        <w:spacing w:after="0" w:line="360" w:lineRule="auto"/>
        <w:jc w:val="both"/>
        <w:rPr>
          <w:rFonts w:ascii="Times New Roman" w:hAnsi="Times New Roman" w:cs="Times New Roman"/>
          <w:sz w:val="28"/>
          <w:szCs w:val="28"/>
        </w:rPr>
      </w:pPr>
      <w:r w:rsidRPr="00371AC1">
        <w:rPr>
          <w:rFonts w:ascii="Times New Roman" w:hAnsi="Times New Roman" w:cs="Times New Roman"/>
          <w:sz w:val="28"/>
          <w:szCs w:val="28"/>
        </w:rPr>
        <w:t>Consider a small portion of the TPC-E database in Fig. 1, containing nodes from six tables. For example, node ”Aetna Inc.” comes from the table Company. For each node in the graph, we also show its cost, which is inversely proportional to the importance of its table in the database. To find the importance of each table, we use a method proposed in [4] that defines the importance of tables in a relational schema. The definition is based on statistical models and includes the content of the table and the relationships of the table in the entire schema. For example, in the TPC-E database, table Customer is significantly more important than table Status Type. This is expected as Status Type has only five rows and simply states the status of different entities. On the other hand, table Customer stores different features of thousands of customers and is a vital part of the database. Therefore, the cost of the Status Type node in Fig. 1 is significantly higher than the cost of the Customer node. In general, different applications and scenarios might have different node weight or cost. For example, the node weight could be the social credibility/incredibility of people in a social network, the authority of a professional in an expert network, or compound interaction uncertainty in biological networks.</w:t>
      </w:r>
    </w:p>
    <w:p w14:paraId="2A02DFA5" w14:textId="77777777" w:rsidR="00694660" w:rsidRPr="00694660" w:rsidRDefault="00694660" w:rsidP="00371AC1">
      <w:pPr>
        <w:spacing w:after="0" w:line="360" w:lineRule="auto"/>
        <w:jc w:val="both"/>
        <w:rPr>
          <w:rFonts w:ascii="Times New Roman" w:hAnsi="Times New Roman" w:cs="Times New Roman"/>
          <w:sz w:val="28"/>
        </w:rPr>
      </w:pPr>
      <w:r w:rsidRPr="00694660">
        <w:rPr>
          <w:rFonts w:ascii="Times New Roman" w:hAnsi="Times New Roman" w:cs="Times New Roman"/>
          <w:sz w:val="28"/>
        </w:rPr>
        <w:lastRenderedPageBreak/>
        <w:t>Consider the query ”Rolanda Aetna” over the TPC-E database. In Fig. 1, Rolanda is the name of a customer and Aetna is the name of a company. Thus, the user wishes to find the relationship between customer Rolanda and company Aetna. Three answers are shown on the right side of Fig. 1. Answer (a) shows that both customer Rolanda and company Aetna have ”Active” status (i.e., connected through the Status Type node). However, looking at the TPC-E schema description, this is not a strong relationship between a customer and a company. Status Type is a dimension table, is connected to six other tables, and stores the status values (e.g., active or cancelled). Looking at the TPC-E database, it turns out that all companies and all customers have active status. Thus, any company and any customer are connected through the active status. This indicates that answer (a) is not relevant. Answer (b) also does not present a strong relationship between Rolanda and Aetna. It indicates that the security traded on Aetna Inc. has the same status as the customer Rolanda and is similar to answer (a). However, answer (c) indicates that the stock of Aetna Inc. was traded by Rolanda in January 2018. This is clearly an interesting and strong relationship between a company and a customer. Also, few companies and customers might have this particular relation as each customer only trades the stock of a few companies. Using the weight and cost of the nodes of the graph, answer (c) is ranked ahead of answers (a) and (b). This motivates the need to consider node weights.</w:t>
      </w:r>
    </w:p>
    <w:p w14:paraId="2A02DFA6" w14:textId="77777777" w:rsidR="00694660" w:rsidRPr="00694660" w:rsidRDefault="00694660" w:rsidP="00371AC1">
      <w:pPr>
        <w:spacing w:after="0" w:line="360" w:lineRule="auto"/>
        <w:jc w:val="both"/>
        <w:rPr>
          <w:rFonts w:ascii="Times New Roman" w:hAnsi="Times New Roman" w:cs="Times New Roman"/>
          <w:sz w:val="28"/>
        </w:rPr>
      </w:pPr>
      <w:r w:rsidRPr="00694660">
        <w:rPr>
          <w:rFonts w:ascii="Times New Roman" w:hAnsi="Times New Roman" w:cs="Times New Roman"/>
          <w:sz w:val="28"/>
        </w:rPr>
        <w:t xml:space="preserve">are one of the most important components of every cell in the body. Their interactions control various mechanisms [6]. These interactions form a protein-protein interaction (PPI) network (i.e., graph). Fig. 2 shows a fragment of a PPI network, in which each node is a protein. If protein p1 interacts with protein p2, there is an edge between them in the PPI network. An interaction between p1 and p2 means that if they come in physical contact with each other, a bond or reaction occurs between them. Different proteins interact with each other with different </w:t>
      </w:r>
      <w:r w:rsidRPr="00694660">
        <w:rPr>
          <w:rFonts w:ascii="Times New Roman" w:hAnsi="Times New Roman" w:cs="Times New Roman"/>
          <w:sz w:val="28"/>
        </w:rPr>
        <w:lastRenderedPageBreak/>
        <w:t>probabilities. This biological behaviour is modeled by assigning uncertainty weights to the edges of a PPI network [7]. For example, in Fig. 2, p2 and p3 have the highest chance of interaction since the edge between them has the lowest uncertainty value. Furthermore, different proteins have different chances of formation [7]. Protein formation is directly related to its length and structure [7], and we use this to assign a cost to each protein. For example, in the PPI network illustrated in Fig. 2, p1 has the highest chance of formation since it has the lowest cost. In biology, proteins that have a higher chance of formation are more interesting as they are considered more effective in drug discovery [7]. Finally, different proteins are encoded by different genes. Thus, genes can be considered as attributes (i.e., keywords) of the proteins. In Fig. 2, p1 encodes two genes: G1 and G2.</w:t>
      </w:r>
    </w:p>
    <w:p w14:paraId="2A02DFA7" w14:textId="77777777" w:rsidR="00694660" w:rsidRPr="00694660" w:rsidRDefault="00694660" w:rsidP="00371AC1">
      <w:pPr>
        <w:spacing w:after="0" w:line="360" w:lineRule="auto"/>
        <w:jc w:val="both"/>
        <w:rPr>
          <w:rFonts w:ascii="Times New Roman" w:hAnsi="Times New Roman" w:cs="Times New Roman"/>
          <w:sz w:val="28"/>
        </w:rPr>
      </w:pPr>
      <w:r w:rsidRPr="00694660">
        <w:rPr>
          <w:rFonts w:ascii="Times New Roman" w:hAnsi="Times New Roman" w:cs="Times New Roman"/>
          <w:sz w:val="28"/>
        </w:rPr>
        <w:t>Some genes are known to be associated with certain diseases [7]. In Fig. 2, gene G2 is associated with Lung Carcinoma. Given a set of genes, each responsible for a particular disease, we want to find a set of interconnected proteins that are encoded by these genes. The goal is to see the effect of silencing these proteins on the progress of the disease [8]. The genes are keywords to our search system, and the output is a subgraph of the PPI network. We prefer to silence a group of relevant proteins that interact with high confidence (i.e., smaller edge weights). We also want proteins with higher expression (i.e., smaller node cost), as they have a higher chance of formation, and silencing them is more likely to control the disease.</w:t>
      </w:r>
    </w:p>
    <w:p w14:paraId="2A02DFA8" w14:textId="77777777" w:rsidR="00694660" w:rsidRPr="00694660" w:rsidRDefault="00694660" w:rsidP="00371AC1">
      <w:pPr>
        <w:spacing w:after="0" w:line="360" w:lineRule="auto"/>
        <w:jc w:val="both"/>
        <w:rPr>
          <w:rFonts w:ascii="Times New Roman" w:hAnsi="Times New Roman" w:cs="Times New Roman"/>
          <w:b/>
          <w:bCs/>
          <w:sz w:val="36"/>
          <w:szCs w:val="28"/>
        </w:rPr>
      </w:pPr>
      <w:r w:rsidRPr="00694660">
        <w:rPr>
          <w:rFonts w:ascii="Times New Roman" w:hAnsi="Times New Roman" w:cs="Times New Roman"/>
          <w:sz w:val="28"/>
        </w:rPr>
        <w:t xml:space="preserve">Fig. 3 presents two subgraphs from a PPI network, which are answers to a query consisting of three genes: {ARF1, KATNA1, CCT8}. Each gene is associated with a different type of Carcinoma, which is a type of cancer. Node costs and edge weights are also shown. Edge-based methods choose the left subgraph while node-based and combined methods choose the right subgraph. Both answers are almost equally certain/uncertain (the left answer is slightly better). However, the answer </w:t>
      </w:r>
      <w:r w:rsidRPr="00694660">
        <w:rPr>
          <w:rFonts w:ascii="Times New Roman" w:hAnsi="Times New Roman" w:cs="Times New Roman"/>
          <w:sz w:val="28"/>
        </w:rPr>
        <w:lastRenderedPageBreak/>
        <w:t>on the right has a higher expression and its proteins appear in more organs than those of the left answer. This is another indicator of a higher chance of formation. Without taking node weights into account, the answer on the right would not be chosen.</w:t>
      </w:r>
    </w:p>
    <w:p w14:paraId="2A02DFA9" w14:textId="77777777" w:rsidR="00115C5D" w:rsidRPr="0046051B" w:rsidRDefault="00115C5D" w:rsidP="0046051B">
      <w:pPr>
        <w:rPr>
          <w:szCs w:val="28"/>
        </w:rPr>
      </w:pPr>
    </w:p>
    <w:sectPr w:rsidR="00115C5D" w:rsidRPr="0046051B" w:rsidSect="0038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139A"/>
    <w:multiLevelType w:val="multilevel"/>
    <w:tmpl w:val="3CB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576D5"/>
    <w:multiLevelType w:val="hybridMultilevel"/>
    <w:tmpl w:val="135AB78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684FC6"/>
    <w:multiLevelType w:val="multilevel"/>
    <w:tmpl w:val="4BA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A67BE"/>
    <w:multiLevelType w:val="multilevel"/>
    <w:tmpl w:val="4FA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E5D5C"/>
    <w:multiLevelType w:val="multilevel"/>
    <w:tmpl w:val="B294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8C0134"/>
    <w:multiLevelType w:val="multilevel"/>
    <w:tmpl w:val="C3C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12222"/>
    <w:multiLevelType w:val="multilevel"/>
    <w:tmpl w:val="4A16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778F0"/>
    <w:multiLevelType w:val="multilevel"/>
    <w:tmpl w:val="C73AAA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60970"/>
    <w:multiLevelType w:val="multilevel"/>
    <w:tmpl w:val="638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63123"/>
    <w:multiLevelType w:val="multilevel"/>
    <w:tmpl w:val="B08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37E53"/>
    <w:multiLevelType w:val="multilevel"/>
    <w:tmpl w:val="2C10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01AC5"/>
    <w:multiLevelType w:val="multilevel"/>
    <w:tmpl w:val="793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B72A7"/>
    <w:multiLevelType w:val="multilevel"/>
    <w:tmpl w:val="7D4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222C2"/>
    <w:multiLevelType w:val="multilevel"/>
    <w:tmpl w:val="3E9A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C60DB"/>
    <w:multiLevelType w:val="hybridMultilevel"/>
    <w:tmpl w:val="94864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5A0692"/>
    <w:multiLevelType w:val="hybridMultilevel"/>
    <w:tmpl w:val="DFE01E9C"/>
    <w:lvl w:ilvl="0" w:tplc="01E28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184E88"/>
    <w:multiLevelType w:val="multilevel"/>
    <w:tmpl w:val="EA8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689249">
    <w:abstractNumId w:val="4"/>
  </w:num>
  <w:num w:numId="2" w16cid:durableId="1333995877">
    <w:abstractNumId w:val="14"/>
  </w:num>
  <w:num w:numId="3" w16cid:durableId="1069304415">
    <w:abstractNumId w:val="2"/>
  </w:num>
  <w:num w:numId="4" w16cid:durableId="94328686">
    <w:abstractNumId w:val="0"/>
  </w:num>
  <w:num w:numId="5" w16cid:durableId="1936591393">
    <w:abstractNumId w:val="12"/>
  </w:num>
  <w:num w:numId="6" w16cid:durableId="1341005226">
    <w:abstractNumId w:val="3"/>
  </w:num>
  <w:num w:numId="7" w16cid:durableId="1204907394">
    <w:abstractNumId w:val="10"/>
  </w:num>
  <w:num w:numId="8" w16cid:durableId="1257901386">
    <w:abstractNumId w:val="11"/>
  </w:num>
  <w:num w:numId="9" w16cid:durableId="1411778408">
    <w:abstractNumId w:val="16"/>
  </w:num>
  <w:num w:numId="10" w16cid:durableId="1986154769">
    <w:abstractNumId w:val="6"/>
  </w:num>
  <w:num w:numId="11" w16cid:durableId="1232888511">
    <w:abstractNumId w:val="9"/>
  </w:num>
  <w:num w:numId="12" w16cid:durableId="269633465">
    <w:abstractNumId w:val="8"/>
  </w:num>
  <w:num w:numId="13" w16cid:durableId="2036996851">
    <w:abstractNumId w:val="5"/>
  </w:num>
  <w:num w:numId="14" w16cid:durableId="1074354152">
    <w:abstractNumId w:val="1"/>
  </w:num>
  <w:num w:numId="15" w16cid:durableId="1932203918">
    <w:abstractNumId w:val="13"/>
  </w:num>
  <w:num w:numId="16" w16cid:durableId="110629747">
    <w:abstractNumId w:val="7"/>
  </w:num>
  <w:num w:numId="17" w16cid:durableId="1151092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15C5D"/>
    <w:rsid w:val="00115C5D"/>
    <w:rsid w:val="00320FD3"/>
    <w:rsid w:val="00371AC1"/>
    <w:rsid w:val="003871D5"/>
    <w:rsid w:val="0046051B"/>
    <w:rsid w:val="004A3F89"/>
    <w:rsid w:val="005C2A20"/>
    <w:rsid w:val="006226F0"/>
    <w:rsid w:val="00694660"/>
    <w:rsid w:val="00A67698"/>
    <w:rsid w:val="00C34BF1"/>
    <w:rsid w:val="00D7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DF9E"/>
  <w15:docId w15:val="{058644E6-CC6C-4774-8512-E26253F5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D5"/>
  </w:style>
  <w:style w:type="paragraph" w:styleId="Heading3">
    <w:name w:val="heading 3"/>
    <w:basedOn w:val="Normal"/>
    <w:next w:val="Normal"/>
    <w:link w:val="Heading3Char"/>
    <w:uiPriority w:val="9"/>
    <w:semiHidden/>
    <w:unhideWhenUsed/>
    <w:qFormat/>
    <w:rsid w:val="004605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FD3"/>
    <w:pPr>
      <w:spacing w:before="100" w:beforeAutospacing="1" w:after="100" w:afterAutospacing="1" w:line="240" w:lineRule="auto"/>
    </w:pPr>
    <w:rPr>
      <w:rFonts w:ascii="Times New Roman" w:eastAsia="Times New Roman" w:hAnsi="Times New Roman" w:cs="Times New Roman"/>
      <w:i/>
      <w:iCs/>
      <w:sz w:val="24"/>
      <w:szCs w:val="24"/>
      <w:lang w:bidi="en-US"/>
    </w:rPr>
  </w:style>
  <w:style w:type="paragraph" w:styleId="ListParagraph">
    <w:name w:val="List Paragraph"/>
    <w:basedOn w:val="Normal"/>
    <w:uiPriority w:val="34"/>
    <w:qFormat/>
    <w:rsid w:val="00320FD3"/>
    <w:pPr>
      <w:ind w:left="720"/>
      <w:contextualSpacing/>
    </w:pPr>
  </w:style>
  <w:style w:type="paragraph" w:styleId="BalloonText">
    <w:name w:val="Balloon Text"/>
    <w:basedOn w:val="Normal"/>
    <w:link w:val="BalloonTextChar"/>
    <w:uiPriority w:val="99"/>
    <w:semiHidden/>
    <w:unhideWhenUsed/>
    <w:rsid w:val="00320F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FD3"/>
    <w:rPr>
      <w:rFonts w:ascii="Tahoma" w:hAnsi="Tahoma" w:cs="Tahoma"/>
      <w:sz w:val="16"/>
      <w:szCs w:val="16"/>
    </w:rPr>
  </w:style>
  <w:style w:type="character" w:customStyle="1" w:styleId="Heading3Char">
    <w:name w:val="Heading 3 Char"/>
    <w:basedOn w:val="DefaultParagraphFont"/>
    <w:link w:val="Heading3"/>
    <w:uiPriority w:val="9"/>
    <w:semiHidden/>
    <w:rsid w:val="0046051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1255</Words>
  <Characters>7160</Characters>
  <Application>Microsoft Office Word</Application>
  <DocSecurity>0</DocSecurity>
  <Lines>59</Lines>
  <Paragraphs>16</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penke.lovaraju1999@gmail.com</cp:lastModifiedBy>
  <cp:revision>9</cp:revision>
  <dcterms:created xsi:type="dcterms:W3CDTF">2012-10-10T14:06:00Z</dcterms:created>
  <dcterms:modified xsi:type="dcterms:W3CDTF">2023-08-28T17:40:00Z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