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商业化 AI BI 智能数据分析平台</w:t>
      </w:r>
    </w:p>
    <w:p>
      <w:r>
        <w:t>完整系统需求规格说明书 V1.0</w:t>
      </w:r>
    </w:p>
    <w:p>
      <w:r>
        <w:t>需求基线草案  2026年10月9日</w:t>
      </w:r>
    </w:p>
    <w:p>
      <w:r>
        <w:t>适用对象：产品负责人、Java与Python开发人员、前端开发人员、测试、运维和客户实施团队。</w:t>
      </w:r>
    </w:p>
    <w:p>
      <w:r>
        <w:t>本说明书定义面向企业的多租户 SaaS 数据分析产品，采用 Vue3、Spring Boot、Python FastAPI、LangGraph、MySQL 和 ClickHouse。覆盖从企业开通、数据接入、指标建模、可视化分析到 AI 问答、订阅计费和运维交付的完整业务闭环。所有性能、容量、配额和保留期限均为建议基线，需要在技术设计与试点压测后形成正式发布承诺。本文件不宣称已完成开发、验证或合规认证。</w:t>
      </w:r>
    </w:p>
    <w:p>
      <w:pPr>
        <w:pStyle w:val="Heading1"/>
      </w:pPr>
      <w:r>
        <w:t>1 文档约定与产品边界</w:t>
      </w:r>
    </w:p>
    <w:p>
      <w:pPr>
        <w:pStyle w:val="Heading2"/>
      </w:pPr>
      <w:r>
        <w:t>1.1 需求等级与管理</w:t>
      </w:r>
    </w:p>
    <w:p>
      <w:r>
        <w:t>P0：首个可试用版本必须具备。P1：付费商业试运营必须具备。P2：增强版本，独立验收。功能编号 FR 用于需求追踪；安全与质量编号 NFR 用于非功能验收。每项需求必须关联接口、页面、测试用例和发布版本。涉及数据隔离、计算正确性和只读执行的要求不得因阶段划分而降级。</w:t>
      </w:r>
    </w:p>
    <w:p>
      <w:r>
        <w:t>需求变更须记录变更编号、原因、影响模块、数据迁移影响、验收变化与负责人；产品、技术和测试评审通过后更新版本。未确认事项按文末建议默认值开发可配置实现，不视为客户合同条款。</w:t>
      </w:r>
    </w:p>
    <w:p>
      <w:pPr>
        <w:pStyle w:val="Heading2"/>
      </w:pPr>
      <w:r>
        <w:t>1.2 产品定位与业务目标</w:t>
      </w:r>
    </w:p>
    <w:p>
      <w:r>
        <w:t>服务具有多个业务系统、需要统一指标和经营分析的中小型及成长型企业。首批业务场景为销售、客户、商品、库存和经营收入分析。通过企业授权的数据库与文件接入，建立统一指标口径，让管理者查看看板，让分析师维护语义模型，让员工在权限内使用自然语言查询。</w:t>
      </w:r>
    </w:p>
    <w:p>
      <w:r>
        <w:t>产品成功度量建议：试点企业首个有效看板交付时间不超过两个工作日；受支持标准问题集的执行与结果正确率不低于95%；每个答案能追溯到指标版本和数据时间；跨租户数据泄漏测试必须零失败。正确率必须基于人工标注集和独立计算结果，而非模型自评。</w:t>
      </w:r>
    </w:p>
    <w:p>
      <w:pPr>
        <w:pStyle w:val="Heading2"/>
      </w:pPr>
      <w:r>
        <w:t>1.3 范围及排除项</w:t>
      </w:r>
    </w:p>
    <w:p>
      <w:r>
        <w:t>范围包含租户组织权限、连接器、同步、文件导入、数据集、指标、权限策略、查询、图表、看板、AI、报告、告警、订阅、用量、审计和运维。首版支持企业内受控共享，不提供匿名公开数据看板。</w:t>
      </w:r>
    </w:p>
    <w:p>
      <w:r>
        <w:t>平台不承担 ERP 业务写入、财务记账、源系统事务修改，也不自动执行经营决策。首版不承诺任意数据库兼容、任意跨源实时联邦查询或精确因果归因。无数据、无权限、口径不明时必须说明限制或追问。</w:t>
      </w:r>
    </w:p>
    <w:p>
      <w:pPr>
        <w:pStyle w:val="Heading2"/>
      </w:pPr>
      <w:r>
        <w:t>1.4 术语</w:t>
      </w:r>
    </w:p>
    <w:p>
      <w:r>
        <w:t>租户：具备独立组织、权限、数据空间和订阅的企业。工作空间：租户内按项目或部门组织资产的边界。数据集：对物理表或受控查询进行字段、关联与权限封装。指标：包含公式、单位、时间规则和适用维度的业务定义。语义层：数据集、指标、业务术语和受批准关联构成的模型。快照：一次查询或报告引用的数据批次与版本。</w:t>
      </w:r>
    </w:p>
    <w:p>
      <w:pPr>
        <w:pStyle w:val="Heading1"/>
      </w:pPr>
      <w:r>
        <w:t>2 系统架构约束与职责</w:t>
      </w:r>
    </w:p>
    <w:p>
      <w:pPr>
        <w:pStyle w:val="Heading2"/>
      </w:pPr>
      <w:r>
        <w:t>2.1 前后端分离</w:t>
      </w:r>
    </w:p>
    <w:p>
      <w:r>
        <w:t>Vue3 负责页面、交互、图表展示、路由和状态管理，不存放数据源密钥，不直接连接企业数据库。所有业务访问通过 Spring Boot；浏览器不直接调用具备查询权限的 AI 内部服务。前端展示权限仅用于体验，最终鉴权在后端。</w:t>
      </w:r>
    </w:p>
    <w:p>
      <w:r>
        <w:t>Spring Boot 作为模块化业务服务负责身份、多租户、权限、数据资产、指标、受控查询、订阅和审计。分层采用 Controller、Service 接口、ServiceImpl、Manager、Entity、Mapper；Controller 不直接实现数据权限或调用模型。Manager 封装查询执行与外部连接协调，事务边界由业务服务明确管理。</w:t>
      </w:r>
    </w:p>
    <w:p>
      <w:r>
        <w:t>FastAPI 负责 AI 请求协议、模型适配和 LangGraph 工作流。LangGraph 执行意图解析、语义检索、查询计划、工具调用与答案组织。AI 不具备数据库管理员凭据；SQL 生成不等于执行授权。查询工具由 Java 查询服务最终鉴权、编译与执行。</w:t>
      </w:r>
    </w:p>
    <w:p>
      <w:pPr>
        <w:pStyle w:val="Heading2"/>
      </w:pPr>
      <w:r>
        <w:t>2.2 数据与基础设施</w:t>
      </w:r>
    </w:p>
    <w:p>
      <w:r>
        <w:t>MySQL 保存用户、组织、配置、指标版本、看板、会话元数据、任务状态和计费事务。ClickHouse 保存经同步或导入的分析事实、维度及必要聚合。两者不得依赖跨数据库事务保证一致性，采用任务记录、幂等写入、校验和补偿恢复。</w:t>
      </w:r>
    </w:p>
    <w:p>
      <w:r>
        <w:t>商业版配套能力包括受控连接器 Worker、异步任务与消息机制、对象存储、缓存、密钥管理、日志监控与备份。具体组件在技术架构阶段选择；不能把全部导出文件、模型结果或大规模明细长期保存在 MySQL。</w:t>
      </w:r>
    </w:p>
    <w:p>
      <w:r>
        <w:t>默认采用同步至 ClickHouse 的分析模式。允许租户启用批准的源数据库只读直查；页面必须标注查询模式与数据新鲜度。跨源分析先同步至同一分析空间，并明确键映射与数据刷新差异。</w:t>
      </w:r>
    </w:p>
    <w:p>
      <w:pPr>
        <w:pStyle w:val="Heading2"/>
      </w:pPr>
      <w:r>
        <w:t>2.3 服务间信任边界</w:t>
      </w:r>
    </w:p>
    <w:p>
      <w:r>
        <w:t>Java 到 Python 传递签名且短时有效的任务上下文，包含租户、用户、工作空间、权限版本、会话和 trace_id。Python 工具调用必须携带该上下文；执行前 Java 重新核验身份和权限，拒绝过期任务。业务调用不得信任模型输出中的 tenant_id、角色或权限条件。</w:t>
      </w:r>
    </w:p>
    <w:p>
      <w:pPr>
        <w:pStyle w:val="Heading1"/>
      </w:pPr>
      <w:r>
        <w:t>3 用户角色与权限模型</w:t>
      </w:r>
    </w:p>
    <w:p>
      <w:pPr>
        <w:pStyle w:val="Heading2"/>
      </w:pPr>
      <w:r>
        <w:t>3.1 角色定义</w:t>
      </w:r>
    </w:p>
    <w:p>
      <w:r>
        <w:t>平台管理员管理租户状态、套餐和平台健康，默认无权读取企业明细。平台运维人员查看脱敏日志和任务健康，不能导出业务数据。租户所有者管理订阅、企业设置、管理员与数据退出。租户管理员管理成员、工作空间和授权。数据管理员管理数据源、同步与数据质量。分析师管理数据集、指标、图表和看板。业务查看者查看已授权资产并提问。审计员只读访问授权范围内的审计记录。</w:t>
      </w:r>
    </w:p>
    <w:p>
      <w:r>
        <w:t>系统内置角色作为模板，支持租户自定义角色。菜单权限、操作权限、资产权限、行级权限和列级权限必须同时成立。企业管理员也不得自动绕过明确设置的敏感数据限制；所有者可调整授权但必须留痕。</w:t>
      </w:r>
    </w:p>
    <w:p>
      <w:pPr>
        <w:pStyle w:val="Heading2"/>
      </w:pPr>
      <w:r>
        <w:t>3.2 授权规则</w:t>
      </w:r>
    </w:p>
    <w:p>
      <w:r>
        <w:t>权限采用租户隔离加 RBAC 与属性策略；资产具备查看、查询、编辑、发布、共享、导出、管理等独立权限。用户拥有多个角色时，允许权限取并集，显式拒绝优先；行级策略采用批准的组合规则，同一策略授权分组内 OR，不同约束组间 AND。没有行级策略授权的数据默认拒绝，不允许空策略自动变为全部数据。</w:t>
      </w:r>
    </w:p>
    <w:p>
      <w:r>
        <w:t>列级权限包括可见、脱敏和禁止访问。禁止访问列不得出现在明细、筛选、排序、聚合、AI 提示词或图表标签中；脱敏列若允许聚合须单独授权。字段改名不改变字段身份或权限绑定。</w:t>
      </w:r>
    </w:p>
    <w:p>
      <w:pPr>
        <w:pStyle w:val="Heading2"/>
      </w:pPr>
      <w:r>
        <w:t>3.3 共享和执行身份</w:t>
      </w:r>
    </w:p>
    <w:p>
      <w:r>
        <w:t>共享资产不授予底层数据的新增权限。看板和 AI 查询以查看者权限执行。订阅报告以创建者当前权限执行，发送给每位接收者前重新检查其资产与数据权限；权限不等价时分别生成，不能发送创建者的完整结果给低权限成员。</w:t>
      </w:r>
    </w:p>
    <w:p>
      <w:r>
        <w:t>管理员停用成员或撤销权限后，新请求立即拒绝；已排队任务重新鉴权，运行任务取消或在返回前阻断结果。缓存、下载链接与 AI 历史也受最新权限约束。</w:t>
      </w:r>
    </w:p>
    <w:p>
      <w:pPr>
        <w:pStyle w:val="Heading1"/>
      </w:pPr>
      <w:r>
        <w:t>4 主业务流程与状态模型</w:t>
      </w:r>
    </w:p>
    <w:p>
      <w:pPr>
        <w:pStyle w:val="Heading2"/>
      </w:pPr>
      <w:r>
        <w:t>4.1 企业开通与首个看板</w:t>
      </w:r>
    </w:p>
    <w:p>
      <w:r>
        <w:t>注册或受邀登录→创建企业→选择试用套餐→完善时区和币种→邀请成员→创建工作空间→配置数据源→测试连接→选择表与字段→首次同步→核对数据质量→创建数据集→定义指标→创建图表→发布看板→按成员权限查看或提问。每一步提供状态、错误原因与可恢复操作，失败不能显示为已完成。</w:t>
      </w:r>
    </w:p>
    <w:p>
      <w:pPr>
        <w:pStyle w:val="Heading2"/>
      </w:pPr>
      <w:r>
        <w:t>4.2 资产发布</w:t>
      </w:r>
    </w:p>
    <w:p>
      <w:r>
        <w:t>数据集、指标、图表和看板遵循草稿→校验通过→已发布→已归档。编辑已发布资产生成新版本，发布前展示影响分析；历史版本引用保持可追溯。存在非法字段、依赖缺失、权限策略缺失或公式错误时不得发布。归档阻止新建引用，已有引用显示可迁移提示。</w:t>
      </w:r>
    </w:p>
    <w:p>
      <w:pPr>
        <w:pStyle w:val="Heading2"/>
      </w:pPr>
      <w:r>
        <w:t>4.3 任务状态</w:t>
      </w:r>
    </w:p>
    <w:p>
      <w:r>
        <w:t>导入、同步、查询、AI 和导出任务使用待执行、运行中、成功、部分成功、失败、取消、超时状态。状态转换通过条件更新防止重复完成；取消为请求，只有工作进程确认或查询终止后才显示已取消。部分成功必须标记影响范围，不能用于宣称完整数据。</w:t>
      </w:r>
    </w:p>
    <w:p>
      <w:pPr>
        <w:pStyle w:val="Heading2"/>
      </w:pPr>
      <w:r>
        <w:t>4.4 订阅生命周期</w:t>
      </w:r>
    </w:p>
    <w:p>
      <w:r>
        <w:t>试用→生效→到期宽限→只读受限→停用。支付成功由已验签服务端事件确定，不以浏览器跳转判定。退款、续期、升级和降级为可审计事件，历史账单不可覆盖。数据删除有独立确认和延迟执行窗口，不随套餐到期立即删除。</w:t>
      </w:r>
    </w:p>
    <w:p>
      <w:pPr>
        <w:pStyle w:val="Heading1"/>
      </w:pPr>
      <w:r>
        <w:t>5 多租户与企业组织模块</w:t>
      </w:r>
    </w:p>
    <w:p>
      <w:pPr>
        <w:pStyle w:val="Heading2"/>
      </w:pPr>
      <w:r>
        <w:t>5.1 FR TEN 001 企业生命周期 P0</w:t>
      </w:r>
    </w:p>
    <w:p>
      <w:r>
        <w:t>支持创建、编辑、冻结、解冻和注销企业。字段包含企业名称、租户编码、所有者、联系人、时区、默认币种、状态、套餐和创建时间。编码唯一且不可随意修改；用户可加入多个企业，切换企业必须重建权限上下文并清空前端数据缓存。</w:t>
      </w:r>
    </w:p>
    <w:p>
      <w:r>
        <w:t>企业冻结后禁止业务写入和分析查询，只允许所有者处理续费与退出。注销展示保留期限和影响，要求所有者重新认证；生成后台清理任务，涵盖 MySQL、ClickHouse、对象文件、索引、缓存和模型会话状态。备份中的记录按保留周期自然淘汰，恢复时执行删除标记，避免复活已注销数据。</w:t>
      </w:r>
    </w:p>
    <w:p>
      <w:r>
        <w:t>验收：同一账号切换两个租户，看板列表、搜索、AI 历史和导出均无混入；篡改请求租户标识不能读取另一企业。冻结期间排队同步与 AI 任务也被阻止。</w:t>
      </w:r>
    </w:p>
    <w:p>
      <w:pPr>
        <w:pStyle w:val="Heading2"/>
      </w:pPr>
      <w:r>
        <w:t>5.2 FR TEN 002 部门成员与工作空间 P0</w:t>
      </w:r>
    </w:p>
    <w:p>
      <w:r>
        <w:t>部门支持层级与负责人，禁止循环和孤儿节点。成员支持邀请、加入、停用、移除与角色分配；邀请绑定企业、邮箱或手机号、有效期和一次性令牌，默认72小时有效。移除成员保留历史审计身份并转交其资产，不直接删除企业资产。</w:t>
      </w:r>
    </w:p>
    <w:p>
      <w:r>
        <w:t>工作空间支持名称、描述、成员和资产目录。删除前列出依赖与资产数量，非空时先转移或归档。企业所有者转移必须由接收者确认，租户始终至少保留一名有效所有者。</w:t>
      </w:r>
    </w:p>
    <w:p>
      <w:r>
        <w:t>验收：重复邀请不重复占用席位；被停用用户无法利用旧令牌、历史分享或下载链接继续访问。</w:t>
      </w:r>
    </w:p>
    <w:p>
      <w:pPr>
        <w:pStyle w:val="Heading1"/>
      </w:pPr>
      <w:r>
        <w:t>6 身份认证与授权模块</w:t>
      </w:r>
    </w:p>
    <w:p>
      <w:pPr>
        <w:pStyle w:val="Heading2"/>
      </w:pPr>
      <w:r>
        <w:t>6.1 FR IAM 001 登录与会话 P0</w:t>
      </w:r>
    </w:p>
    <w:p>
      <w:r>
        <w:t>支持账号密码、邀请注册、密码找回、退出和会话撤销。密码采用不可逆安全哈希存储；登录失败进行限速和风险控制。建议连续5次失败触发15分钟限制，可由风险策略调整。错误信息不得暴露账号是否存在。</w:t>
      </w:r>
    </w:p>
    <w:p>
      <w:r>
        <w:t>支持短时访问令牌和可撤销刷新会话，默认访问令牌15分钟、刷新会话7天；租户敏感操作要求重新认证。登出、修改密码、停用账户后撤销相关会话。P1 支持 MFA 和 OIDC 企业单点登录，企业可强制管理员开启 MFA。</w:t>
      </w:r>
    </w:p>
    <w:p>
      <w:r>
        <w:t>验收：刷新令牌轮换后旧令牌不能重放；失效会话不能调用导出与 AI 工具；登录限速不影响其他租户正常登录。</w:t>
      </w:r>
    </w:p>
    <w:p>
      <w:pPr>
        <w:pStyle w:val="Heading2"/>
      </w:pPr>
      <w:r>
        <w:t>6.2 FR IAM 002 授权管理 P0</w:t>
      </w:r>
    </w:p>
    <w:p>
      <w:r>
        <w:t>角色与资源授权支持成员、部门、工作空间范围；授权界面展示来源、显式拒绝和有效权限预览。新增或调整数据策略需校验字段、值类型、操作符与引用，不接受客户端提供的任意 SQL 作为权限条件。</w:t>
      </w:r>
    </w:p>
    <w:p>
      <w:r>
        <w:t>所有访问均检查租户、对象归属、操作权限及行列策略。不存在与无权访问的对象采用一致外部错误，详细原因保留内部审计。批量接口必须逐个鉴权，不允许只验证首个对象。</w:t>
      </w:r>
    </w:p>
    <w:p>
      <w:r>
        <w:t>验收：权限撤销后60秒内所有缓存失效且无新结果可见；异步任务在执行与交付阶段重新鉴权。越权用例覆盖 ID 猜测、批量查询、嵌入图表、文件链接、AI 检索和报表订阅。</w:t>
      </w:r>
    </w:p>
    <w:p>
      <w:pPr>
        <w:pStyle w:val="Heading1"/>
      </w:pPr>
      <w:r>
        <w:t>7 数据源与连接器模块</w:t>
      </w:r>
    </w:p>
    <w:p>
      <w:pPr>
        <w:pStyle w:val="Heading2"/>
      </w:pPr>
      <w:r>
        <w:t>7.1 FR SRC 001 连接管理 P0</w:t>
      </w:r>
    </w:p>
    <w:p>
      <w:r>
        <w:t>首版提供 MySQL、PostgreSQL 只读连接和 CSV、Excel 文件导入；ClickHouse 作为内部分析引擎，P1 可增加外部 ClickHouse 连接。连接配置包含名称、类型、地址、端口、库名、凭据引用、TLS、网络路径、超时和负责人。</w:t>
      </w:r>
    </w:p>
    <w:p>
      <w:r>
        <w:t>创建后执行可达性、认证、只读权限与样例读取检查，返回分类错误而非原始敏感连接串。凭据加密保存于密钥管理边界，前端只显示是否已配置和最后更新时间，编辑空密码表示保留，不得回显。更新凭据触发新连接测试和旧连接排空。</w:t>
      </w:r>
    </w:p>
    <w:p>
      <w:r>
        <w:t>数据源地址只能访问批准网段与端口，防止 SSRF、云元数据地址访问和任意内部网络探测。企业内网采用客户侧受控 Agent 出站连接或批准专线，不要求客户数据库暴露公网。</w:t>
      </w:r>
    </w:p>
    <w:p>
      <w:r>
        <w:t>验收：源账号不能执行写入；恶意地址与重定向不能绕过网络限制；删除仍被数据集引用的数据源时提示依赖并拒绝直接删除。</w:t>
      </w:r>
    </w:p>
    <w:p>
      <w:pPr>
        <w:pStyle w:val="Heading2"/>
      </w:pPr>
      <w:r>
        <w:t>7.2 FR SRC 002 元数据采集 P0</w:t>
      </w:r>
    </w:p>
    <w:p>
      <w:r>
        <w:t>采集授权表、字段、类型、主键、注释和必要统计，不默认采集业务明细。允许选择白名单和人工补充业务名称；记录采集版本和时间。自动识别仅提供候选关系，必须人工批准才能进入语义层。</w:t>
      </w:r>
    </w:p>
    <w:p>
      <w:r>
        <w:t>结构变更产生新增、删除、改名和类型变化差异。删除或变型字段使相关数据集进入需修复状态，暂停受影响指标与 AI 查询；不得静默更换口径。源端注释视为不可信内容，不得成为模型系统指令。</w:t>
      </w:r>
    </w:p>
    <w:p>
      <w:pPr>
        <w:pStyle w:val="Heading1"/>
      </w:pPr>
      <w:r>
        <w:t>8 文件导入与数据同步模块</w:t>
      </w:r>
    </w:p>
    <w:p>
      <w:pPr>
        <w:pStyle w:val="Heading2"/>
      </w:pPr>
      <w:r>
        <w:t>8.1 FR ING 001 文件导入 P0</w:t>
      </w:r>
    </w:p>
    <w:p>
      <w:r>
        <w:t>支持 UTF 8 CSV 和不含宏执行的 XLSX，默认单文件100MB、单批100万行，套餐可更低。上传先检查格式、大小、压缩膨胀、恶意内容，再预览字段和抽样行。用户确认字段类型、日期格式、空值、唯一键、时区及目标数据集后提交异步导入。</w:t>
      </w:r>
    </w:p>
    <w:p>
      <w:r>
        <w:t>类型推断必须可修改，身份证号、商品编码等不可被自动转为数值损失前导零。失败行提供行号、错误列与可下载错误报告；默认严格模式整批不发布，宽松模式允许隔离坏行但显示部分成功和排除数量。</w:t>
      </w:r>
    </w:p>
    <w:p>
      <w:r>
        <w:t>验收：重复导入通过幂等键识别；包含公式的单元格不得执行；CSV 导出须防止电子表格公式注入。错误数量、有效数量与原始数量一致。</w:t>
      </w:r>
    </w:p>
    <w:p>
      <w:pPr>
        <w:pStyle w:val="Heading2"/>
      </w:pPr>
      <w:r>
        <w:t>8.2 FR ING 002 同步任务 P0</w:t>
      </w:r>
    </w:p>
    <w:p>
      <w:r>
        <w:t>支持手动、定时全量和基于更新时间加稳定主键的增量同步；P1 支持经批准的 CDC 连接器。任务字段包含源表、映射、目标、调度、时区、分页键、增量水位、回看窗口、删除策略、重试和告警。</w:t>
      </w:r>
    </w:p>
    <w:p>
      <w:r>
        <w:t>首次全量写入隔离批次，校验后原子切换逻辑可见版本。增量采用复合水位，处理同时间多行、迟到更新和重放；成功写入并完成校验后才推进水位。没有源端删除信号时不能宣称支持硬删除同步，必须用定期全量对账或明确软删除字段。</w:t>
      </w:r>
    </w:p>
    <w:p>
      <w:r>
        <w:t>同一目标任务默认互斥，分布式锁具备租约与隔离令牌；重试沿用批次标识。ClickHouse 重放须通过业务键加版本的查询视图或批次可见性消重，不能只依赖后台合并保证即时准确。P0 最大3次指数退避重试，永久性错误停止重试并通知负责人。</w:t>
      </w:r>
    </w:p>
    <w:p>
      <w:r>
        <w:t>验收：在写入后、推进水位前模拟宕机，恢复后无漏数且业务结果不重复；任务重跑不重复累计销售额；删除和迟到更新用独立测试验证。</w:t>
      </w:r>
    </w:p>
    <w:p>
      <w:pPr>
        <w:pStyle w:val="Heading2"/>
      </w:pPr>
      <w:r>
        <w:t>8.3 FR ING 003 数据质量 P0</w:t>
      </w:r>
    </w:p>
    <w:p>
      <w:r>
        <w:t>检查行数、必填、唯一键、类型、范围、关系完整性、时间新鲜度和对账指标。规则包含阈值、严重级别和发布阻断条件。严重失败阻止新批次发布并保留上一有效版本；普通告警可发布但必须显示质量状态。</w:t>
      </w:r>
    </w:p>
    <w:p>
      <w:r>
        <w:t>对账按相同时间边界、筛选与精度比较源端和分析端的行数、金额与业务键。默认金额按最小货币单位核对，允许误差必须按指标配置，不能使用统一模糊阈值覆盖所有数据。</w:t>
      </w:r>
    </w:p>
    <w:p>
      <w:pPr>
        <w:pStyle w:val="Heading1"/>
      </w:pPr>
      <w:r>
        <w:t>9 数据集与语义层模块</w:t>
      </w:r>
    </w:p>
    <w:p>
      <w:pPr>
        <w:pStyle w:val="Heading2"/>
      </w:pPr>
      <w:r>
        <w:t>9.1 FR SET 001 数据集建模 P0</w:t>
      </w:r>
    </w:p>
    <w:p>
      <w:r>
        <w:t>支持单表和同分析空间内批准关联的数据集。字段定义包含稳定标识、物理映射、业务名称、类型、维度或度量、单位、敏感等级、允许聚合、描述、空值规则和显示格式。提供样例预览，预览仍受行列权限限制。</w:t>
      </w:r>
    </w:p>
    <w:p>
      <w:r>
        <w:t>关联配置必须指定键、基数、一对多风险与时间有效性。检测重复键，提示重复累计；禁止未经批准的多对多自动关联。对销售事实与商品维度连接时，商品维度键重复必须阻止发布或明确去重策略。</w:t>
      </w:r>
    </w:p>
    <w:p>
      <w:r>
        <w:t>支持计算字段但限于批准函数和参数，不接受任意脚本。数据集发布生成版本，依赖指标、图表与 AI 使用发布版本；不允许未发布变更直接影响生产看板。</w:t>
      </w:r>
    </w:p>
    <w:p>
      <w:r>
        <w:t>验收：一对多连接测试不出现重复销售额；字段删除展示全部依赖；低权限用户不能通过预览与聚合推断禁止字段。</w:t>
      </w:r>
    </w:p>
    <w:p>
      <w:pPr>
        <w:pStyle w:val="Heading2"/>
      </w:pPr>
      <w:r>
        <w:t>9.2 FR SET 002 业务术语与语义检索 P0</w:t>
      </w:r>
    </w:p>
    <w:p>
      <w:r>
        <w:t>管理术语、同义词、指标说明、适用范围、示例问法和批准查询模板。语义检索按当前租户、工作空间与权限过滤；命中内容附版本、来源和有效期。首版允许结构化与关键词检索，不强制引入向量数据库；增强检索可通过批准索引服务实现。</w:t>
      </w:r>
    </w:p>
    <w:p>
      <w:r>
        <w:t>知识发布须审核，冲突同义词给出候选，不自动选择。过期索引不能覆盖已撤销授权；索引重建具备版本切换和失败回滚。业务文档中的指令不得修改模型权限或工具执行策略。</w:t>
      </w:r>
    </w:p>
    <w:p>
      <w:pPr>
        <w:pStyle w:val="Heading1"/>
      </w:pPr>
      <w:r>
        <w:t>10 指标管理模块</w:t>
      </w:r>
    </w:p>
    <w:p>
      <w:pPr>
        <w:pStyle w:val="Heading2"/>
      </w:pPr>
      <w:r>
        <w:t>10.1 FR MET 001 指标定义 P0</w:t>
      </w:r>
    </w:p>
    <w:p>
      <w:r>
        <w:t>指标包含编码、名称、所属数据集、公式、聚合、单位、精度、时间字段、时区、默认筛选、可用维度、负责人、业务解释和版本。支持原子指标、派生指标、同比、环比和累计，依赖图不得循环。</w:t>
      </w:r>
    </w:p>
    <w:p>
      <w:r>
        <w:t>销售额示例为已支付且未取消订单的净支付金额之和，退款按约定发生日或订单日计入，必须明确口径。利润率采用汇总利润除以汇总收入，不对明细利润率直接求平均。除零显示未定义并解释，不能默认返回0误导经营分析。</w:t>
      </w:r>
    </w:p>
    <w:p>
      <w:r>
        <w:t>金额计算采用定点或 Decimal，按指标定义在展示层舍入；不以二进制浮点作为财务金额基准。多币种指标未配置汇率来源与日期规则时拒绝直接求和，显示币种分组。</w:t>
      </w:r>
    </w:p>
    <w:p>
      <w:pPr>
        <w:pStyle w:val="Heading2"/>
      </w:pPr>
      <w:r>
        <w:t>10.2 FR MET 002 时间和版本 P0</w:t>
      </w:r>
    </w:p>
    <w:p>
      <w:r>
        <w:t>采用租户业务时区解释今日、近30天和月度区间，查询用左闭右开边界。近30天默认包含今日，今日数据不完整时标注；可由用户选择最近30个完整自然日。同比与环比使用明确日历规则，对闰日、缺失期和零基期作说明。</w:t>
      </w:r>
    </w:p>
    <w:p>
      <w:r>
        <w:t>口径修改创建新版本，发布时展示受影响看板与报告。历史报告固定保存当时指标版本和数据快照；重新运行需说明采用历史口径还是最新口径。禁止同名不同版本结果被缓存混用。</w:t>
      </w:r>
    </w:p>
    <w:p>
      <w:r>
        <w:t>验收：指定样例覆盖退款、取消、跨日、闰年、零分母、空值与重复订单；结果与独立计算一致。同比绝对变化与增长率区分呈现。</w:t>
      </w:r>
    </w:p>
    <w:p>
      <w:pPr>
        <w:pStyle w:val="Heading1"/>
      </w:pPr>
      <w:r>
        <w:t>11 受控查询与资源管理模块</w:t>
      </w:r>
    </w:p>
    <w:p>
      <w:pPr>
        <w:pStyle w:val="Heading2"/>
      </w:pPr>
      <w:r>
        <w:t>11.1 FR QRY 001 查询计划执行 P0</w:t>
      </w:r>
    </w:p>
    <w:p>
      <w:r>
        <w:t>统一接收指标、维度、筛选、时间、排序、分页及语义版本。编译器根据授权模型生成查询；模型 SQL 仅作为候选，必须转为受约束计划或通过完整 AST 与授权重写验证。拒绝多语句、DDL、DML、未批准表、外部函数、文件访问、系统表和不可解析语法。</w:t>
      </w:r>
    </w:p>
    <w:p>
      <w:r>
        <w:t>行级过滤必须作用到全部事实扫描、关联、子查询与 CTE，列级约束覆盖 SELECT、WHERE、GROUP BY 和 ORDER BY。仅在 SQL 尾部拼接租户条件或只加 LIMIT 不满足安全要求。首版不支持的 SQL 结构直接拒绝。</w:t>
      </w:r>
    </w:p>
    <w:p>
      <w:r>
        <w:t>源端使用只读账号，ClickHouse 通过查询服务限定租户空间、表白名单、资源设置和超时。查询计划包含参数绑定，禁止通过字符串拼接用户输入。用户取消、超时或服务中断时终止实际数据库查询，不只关闭前端请求。</w:t>
      </w:r>
    </w:p>
    <w:p>
      <w:pPr>
        <w:pStyle w:val="Heading2"/>
      </w:pPr>
      <w:r>
        <w:t>11.2 FR QRY 002 配额缓存与错误 P0</w:t>
      </w:r>
    </w:p>
    <w:p>
      <w:r>
        <w:t>默认交互查询30秒超时、返回上限1万行；大规模导出走独立任务，默认100万行上限。每租户默认5个活跃查询、20个排队任务；平台总量依容量配置。超限返回明确配额或排队提示，不以无限排队消耗连接。</w:t>
      </w:r>
    </w:p>
    <w:p>
      <w:r>
        <w:t>缓存键包含租户、用户或等价权限指纹、权限版本、指标版本、数据版本、参数和时区。权限撤销立即失效，短 TTL 不能替代隔离。缓存结果显示来源和数据更新时间；未确认数据完整时禁止返回成功标识。</w:t>
      </w:r>
    </w:p>
    <w:p>
      <w:r>
        <w:t>错误分类包含权限不足、口径歧义、资源超限、数据未就绪、源不可达、超时与内部异常，界面展示下一步动作和追踪编号。重试只针对可恢复故障，不能重复计费或重复发布结果。</w:t>
      </w:r>
    </w:p>
    <w:p>
      <w:r>
        <w:t>验收：20个租户同时查询时单租户不能独占池；SQL 注入、嵌套绕过与跨租户表引用全部拒绝；取消后服务器端查询确实停止。</w:t>
      </w:r>
    </w:p>
    <w:p>
      <w:pPr>
        <w:pStyle w:val="Heading1"/>
      </w:pPr>
      <w:r>
        <w:t>12 图表与看板模块</w:t>
      </w:r>
    </w:p>
    <w:p>
      <w:pPr>
        <w:pStyle w:val="Heading2"/>
      </w:pPr>
      <w:r>
        <w:t>12.1 FR VIS 001 图表设计器 P0</w:t>
      </w:r>
    </w:p>
    <w:p>
      <w:r>
        <w:t>支持指标卡、折线、柱状、堆叠、饼图、明细表和透视表。图表配置包含数据集、指标、维度、筛选、排序、聚合、颜色、单位、轴与空值展示。类型选择受字段类型校验，时间趋势必须有时间维度，比例图必须可解释总量和负数处理。</w:t>
      </w:r>
    </w:p>
    <w:p>
      <w:r>
        <w:t>空值显示无数据，零值显示0；缺失日期按指标规则补空或补零，不默认连线伪造趋势。图表展示口径入口、筛选条件、单位、数据时间和质量标识。大数据按服务端聚合与采样绘制，明确采样说明。</w:t>
      </w:r>
    </w:p>
    <w:p>
      <w:pPr>
        <w:pStyle w:val="Heading2"/>
      </w:pPr>
      <w:r>
        <w:t>12.2 FR VIS 002 看板编排 P0</w:t>
      </w:r>
    </w:p>
    <w:p>
      <w:r>
        <w:t>支持网格拖拽、尺寸、页签、全局筛选、组件筛选、联动、下钻、预览、保存和发布。全局筛选必须按字段稳定映射应用于目标图表，不兼容图表明确提示未应用。下钻链路预定义并继续执行权限过滤。</w:t>
      </w:r>
    </w:p>
    <w:p>
      <w:r>
        <w:t>编辑保存采用乐观版本控制，发生冲突提示差异和重新加载，不静默覆盖。发布生成固定版本，查看页只加载已发布版本。刷新支持手动和默认不少于60秒的自动刷新，可见页面优先、后台页面暂停；同一看板图表请求合并和并发限制。</w:t>
      </w:r>
    </w:p>
    <w:p>
      <w:r>
        <w:t>验收：不同权限成员查看同一看板得到各自数据；单图表失败不导致整页白屏；筛选后指标卡与趋势图时间口径一致。</w:t>
      </w:r>
    </w:p>
    <w:p>
      <w:pPr>
        <w:pStyle w:val="Heading2"/>
      </w:pPr>
      <w:r>
        <w:t>12.3 FR VIS 003 共享与嵌入 P1</w:t>
      </w:r>
    </w:p>
    <w:p>
      <w:r>
        <w:t>支持企业内成员和工作空间共享，有效期、撤销与访问记录。嵌入采用短时签名会话，绑定租户、目标资产、用户、来源与权限；不得使用永久管理员 Token。默认关闭匿名公开，若增强版本启用，只允许单独审核的脱敏数据产品。</w:t>
      </w:r>
    </w:p>
    <w:p>
      <w:pPr>
        <w:pStyle w:val="Heading1"/>
      </w:pPr>
      <w:r>
        <w:t>13 AI 智能数据分析模块</w:t>
      </w:r>
    </w:p>
    <w:p>
      <w:pPr>
        <w:pStyle w:val="Heading2"/>
      </w:pPr>
      <w:r>
        <w:t>13.1 FR AI 001 对话与问题澄清 P0</w:t>
      </w:r>
    </w:p>
    <w:p>
      <w:r>
        <w:t>对话包含用户问题、选定工作空间、可选数据集、消息时间、结果状态和关联查询。支持流式状态、停止、重试、反馈和历史查询。多轮只继承经确认的指标、时间和维度，用户切换数据集或租户时重置业务上下文。</w:t>
      </w:r>
    </w:p>
    <w:p>
      <w:r>
        <w:t>缺少唯一指标、时间范围、单位或业务口径时追问，提供候选项；默认时间必须显式显示。问题涉及无授权信息时不给出泄漏候选。没有相关数据时回答无法计算及所需数据，不编造数值。</w:t>
      </w:r>
    </w:p>
    <w:p>
      <w:pPr>
        <w:pStyle w:val="Heading2"/>
      </w:pPr>
      <w:r>
        <w:t>13.2 FR AI 002 LangGraph 工作流 P0</w:t>
      </w:r>
    </w:p>
    <w:p>
      <w:r>
        <w:t>标准流程为接收与限额检查→意图识别→语义检索→歧义澄清→结构化分析计划→安全校验→受控查询→结果校验→图表规范→答案组织→审计与用量结算。节点状态记录 request_id、租户、用户、权限版本、数据集与指标版本、计划、query_id、结果引用、错误分类和计数。</w:t>
      </w:r>
    </w:p>
    <w:p>
      <w:r>
        <w:t>工作流 checkpoint 持久化并按租户隔离，不以单进程内存保存生产状态。恢复前重新鉴权，已撤销权限的任务不得继续。查询工具幂等，节点重放不得重复消费额度或重复发送通知。建议单请求最多8次工具调用、2次 SQL 修正和60秒总时限；每一步设定独立超时。</w:t>
      </w:r>
    </w:p>
    <w:p>
      <w:r>
        <w:t>禁止把模型内部推理链作为产品日志或交付内容；保留可审核的计划摘要、工具输入输出引用与执行证据。工具名称、可用字段和模型配置均由服务端确定，不能由用户内容扩展。</w:t>
      </w:r>
    </w:p>
    <w:p>
      <w:pPr>
        <w:pStyle w:val="Heading2"/>
      </w:pPr>
      <w:r>
        <w:t>13.3 FR AI 003 自然语言查询 P0</w:t>
      </w:r>
    </w:p>
    <w:p>
      <w:r>
        <w:t>将问题映射为指标、维度、时间、筛选和排序，生成结构化结果；用户可展开查看业务计划、受控 SQL 和结果表，SQL 展示根据角色权限决定。工具执行前再次验证当前权限，模型不能自行指定越权表、列或租户。</w:t>
      </w:r>
    </w:p>
    <w:p>
      <w:r>
        <w:t>支持总量、分组、排名、趋势、同比环比、条件筛选与多轮细化。复杂窗口、跨源联合和自由 SQL 不属于首版自动执行范围，提供受支持替代建议。SQL 修复只能在同一授权范围内，不能通过扩大权限或删除筛选使查询成功。</w:t>
      </w:r>
    </w:p>
    <w:p>
      <w:r>
        <w:t>验收：建立至少200条人工标注问题，覆盖中文同义词、歧义、时间、退款、无权限、空数据及提示词攻击。成功且正确的问题比例达到95%，安全越权为0；同时报告拒答率和澄清率，避免用大量拒答虚增正确率。</w:t>
      </w:r>
    </w:p>
    <w:p>
      <w:pPr>
        <w:pStyle w:val="Heading2"/>
      </w:pPr>
      <w:r>
        <w:t>13.4 FR AI 004 图表与答案 P0</w:t>
      </w:r>
    </w:p>
    <w:p>
      <w:r>
        <w:t>返回结构化 answer、facts、hypotheses、recommendations、chart_spec、data_freshness 和 evidence。图表只能使用查询结果字段，前端验证 schema，不执行模型生成的 JavaScript 或 HTML。所有数值事实从实际结果提取，显示单位、时间、筛选、指标版本和查询追踪标识。</w:t>
      </w:r>
    </w:p>
    <w:p>
      <w:r>
        <w:t>销售额下降分析先计算当前与比较期，再按地区、商品、渠道等批准维度分解变化。因素贡献需说明分解方法和残差，维度可能重叠时禁止直接累加贡献。仅观察到相关变化时使用相关因素或待验证假设，不宣称因果。</w:t>
      </w:r>
    </w:p>
    <w:p>
      <w:r>
        <w:t>示例：最近30天销售额比前30天下降12%，展示本期与基期金额、两段日期、退款口径和各渠道变化；模型建议与数值事实分栏或分段呈现。数据只覆盖20天时不得声称完成30天对比。</w:t>
      </w:r>
    </w:p>
    <w:p>
      <w:pPr>
        <w:pStyle w:val="Heading2"/>
      </w:pPr>
      <w:r>
        <w:t>13.5 FR AI 005 模型网关与成本 P1</w:t>
      </w:r>
    </w:p>
    <w:p>
      <w:r>
        <w:t>模型网关支持供应商配置、密钥引用、可用模型、租户授权、超时和故障回退。租户可配置不发送敏感明细、只发送聚合或禁用外部模型；发送前剔除禁止列并记录数据策略版本。未选择允许的数据处理区域与策略时不得默认发送企业数据给外部模型。</w:t>
      </w:r>
    </w:p>
    <w:p>
      <w:r>
        <w:t>用量记录请求数、供应商实际 Token、估算状态、成本与配额，金额与真实账单区分。一次用户请求定义为可计费 AI 任务，后台修正和内部重试不重复扣次数。Token 可按实际供应商调用累计，试用限制与展示须清楚。</w:t>
      </w:r>
    </w:p>
    <w:p>
      <w:r>
        <w:t>失败仅释放未发生的预留额度，实际已消耗 Token 仍进入成本账。回退模型重新执行全部安全验证，不能绕过禁用供应商策略。模型不可用时保留传统看板与查询能力。</w:t>
      </w:r>
    </w:p>
    <w:p>
      <w:pPr>
        <w:pStyle w:val="Heading2"/>
      </w:pPr>
      <w:r>
        <w:t>13.6 FR AI 006 异常与预测 P2</w:t>
      </w:r>
    </w:p>
    <w:p>
      <w:r>
        <w:t>异常检测支持阈值、同比偏离与统计基线，要求最小样本和缺失值策略，展示基准与置信信息。预测支持批准的时间序列指标、训练窗口、回测、预测区间和误差，禁止只展示单点确定结论。数据不足或节假日结构变化时提示限制，并保留普通趋势图。</w:t>
      </w:r>
    </w:p>
    <w:p>
      <w:pPr>
        <w:pStyle w:val="Heading1"/>
      </w:pPr>
      <w:r>
        <w:t>14 报表导出与定时订阅模块</w:t>
      </w:r>
    </w:p>
    <w:p>
      <w:pPr>
        <w:pStyle w:val="Heading2"/>
      </w:pPr>
      <w:r>
        <w:t>14.1 FR REP 001 保存与导出 P1</w:t>
      </w:r>
    </w:p>
    <w:p>
      <w:r>
        <w:t>支持保存查询、AI 分析报告与看板引用，报告包含标题、作者、时间、口径、快照、图表、事实、建议和证据。支持 CSV、XLSX、PDF，权限区分查看与导出。生成结果存入租户隔离对象空间，默认下载有效期15分钟，鉴权网关每次核验权限；撤销后已签发链接也必须不可用。</w:t>
      </w:r>
    </w:p>
    <w:p>
      <w:r>
        <w:t>大文件异步生成并显示进度、失败原因和重新提交入口。导出字段与明细不能超过当前权限。已下载到用户设备的文件无法远程收回，界面提示其企业数据使用责任，但不能把该限制作为服务端失效机制的替代。</w:t>
      </w:r>
    </w:p>
    <w:p>
      <w:pPr>
        <w:pStyle w:val="Heading2"/>
      </w:pPr>
      <w:r>
        <w:t>14.2 FR REP 002 定时报告 P1</w:t>
      </w:r>
    </w:p>
    <w:p>
      <w:r>
        <w:t>配置名称、报告模板、调度时区、接收成员、渠道、条件和暂停状态。执行前校验创建者仍有效、指标存在、数据质量和权限；接收者必须为授权成员。调度按任务窗口幂等，重复消息不能重复发送同一报告。</w:t>
      </w:r>
    </w:p>
    <w:p>
      <w:r>
        <w:t>默认发送需登录访问的报告链接；外发附件需租户管理员显式启用及敏感级别校验。邮件或企业消息连接器由租户配置，失败支持有限重试并留下发送记录。任务因权限撤销暂停时通知负责人，不静默使用旧快照继续发送。</w:t>
      </w:r>
    </w:p>
    <w:p>
      <w:pPr>
        <w:pStyle w:val="Heading1"/>
      </w:pPr>
      <w:r>
        <w:t>15 告警与通知模块</w:t>
      </w:r>
    </w:p>
    <w:p>
      <w:pPr>
        <w:pStyle w:val="Heading2"/>
      </w:pPr>
      <w:r>
        <w:t>15.1 FR ALT 001 业务告警 P1</w:t>
      </w:r>
    </w:p>
    <w:p>
      <w:r>
        <w:t>支持指标阈值、同比环比变化、同步失败和数据过期告警。字段包含规则、指标版本、筛选、时间窗口、触发条件、连续次数、恢复条件、抑制期、级别与接收组。告警使用创建者的有效权限，接收者交付时重新鉴权。</w:t>
      </w:r>
    </w:p>
    <w:p>
      <w:r>
        <w:t>状态为正常、待确认异常、触发、已确认、恢复和静默。默认重复异常30分钟抑制，可按规则修改；抑制仅去重通知，不丢弃事件。数据未到齐、查询失败与真实业务低值必须分开，不因数据缺失触发销售额为零。</w:t>
      </w:r>
    </w:p>
    <w:p>
      <w:r>
        <w:t>验收：连续异常只按策略通知；恢复产生独立事件；同一规则重跑不重复发送；无权成员看不到指标金额和敏感维度。</w:t>
      </w:r>
    </w:p>
    <w:p>
      <w:pPr>
        <w:pStyle w:val="Heading1"/>
      </w:pPr>
      <w:r>
        <w:t>16 SaaS 套餐与计费模块</w:t>
      </w:r>
    </w:p>
    <w:p>
      <w:pPr>
        <w:pStyle w:val="Heading2"/>
      </w:pPr>
      <w:r>
        <w:t>16.1 FR BIL 001 套餐配额 P1</w:t>
      </w:r>
    </w:p>
    <w:p>
      <w:r>
        <w:t>套餐包含成员席位、数据源、工作空间、存储、同步频率、AI 请求或 Token、并发、导出和保留期。试用版、标准版、专业版和企业版作为配置模板，不在代码中硬编码价格。每个套餐配置版本、有效期、币种与是否含税，价格由后续商业方案确认。</w:t>
      </w:r>
    </w:p>
    <w:p>
      <w:r>
        <w:t>额度通过预留、实际确认和释放三阶段控制，扣费事件有唯一键。席位邀请默认不计入已用席位，接受邀请时原子检查额度；停用席位是否释放按套餐政策显示。存储配额达到上限停止新增写入，保留读取与清理功能，不删历史数据以腾空间。</w:t>
      </w:r>
    </w:p>
    <w:p>
      <w:pPr>
        <w:pStyle w:val="Heading2"/>
      </w:pPr>
      <w:r>
        <w:t>16.2 FR BIL 002 订单与订阅 P1</w:t>
      </w:r>
    </w:p>
    <w:p>
      <w:r>
        <w:t>支持订阅购买、续期、升级、降级、订单查询、发票申请信息与退款流程。订单保存租户、套餐版本、金额、折扣、币种、支付渠道、支付流水和状态。回调验签、校验金额币种及订单归属，重复回调幂等，退款单独记账。</w:t>
      </w:r>
    </w:p>
    <w:p>
      <w:r>
        <w:t>升级建议支付确认后立即生效，降级在下个周期生效；超过新套餐资源须在生效前告知并提供整改，不自动删除。欠费建议7天宽限、随后只读30天、再进入保留期，具体以合同配置为准。税务开票与支付服务需后续选择，不在本说明书中承诺特定税法处理。</w:t>
      </w:r>
    </w:p>
    <w:p>
      <w:r>
        <w:t>验收：并发 AI 请求不使配额变负；支付回调重放不会重复延长订阅；模型任务失败与实际消耗的扣费规则可对账。</w:t>
      </w:r>
    </w:p>
    <w:p>
      <w:pPr>
        <w:pStyle w:val="Heading1"/>
      </w:pPr>
      <w:r>
        <w:t>17 平台运营与审计模块</w:t>
      </w:r>
    </w:p>
    <w:p>
      <w:pPr>
        <w:pStyle w:val="Heading2"/>
      </w:pPr>
      <w:r>
        <w:t>17.1 FR OPS 001 平台控制台 P1</w:t>
      </w:r>
    </w:p>
    <w:p>
      <w:r>
        <w:t>提供租户状态、订阅、资源用量、连接健康、任务失败率、服务健康和成本趋势。平台统计默认仅含运营元数据，不展示企业 SQL 结果或敏感业务字段。支持异常租户限流与人工解冻，所有操作留痕。</w:t>
      </w:r>
    </w:p>
    <w:p>
      <w:r>
        <w:t>客户支持访问企业数据需租户明确授权，绑定范围、工单、人员与失效时间，建议最长2小时。临时支持身份不得共享账号，操作全程审计；无授权时只查看脱敏诊断。</w:t>
      </w:r>
    </w:p>
    <w:p>
      <w:pPr>
        <w:pStyle w:val="Heading2"/>
      </w:pPr>
      <w:r>
        <w:t>17.2 FR AUD 001 审计记录 P0</w:t>
      </w:r>
    </w:p>
    <w:p>
      <w:r>
        <w:t>记录登录、租户切换、权限修改、凭据更新、同步发布、指标版本、查询、导出、共享、AI 工具调用和计费。字段包括事件ID、租户、操作者、对象、动作、时间、IP、结果、trace_id、权限版本与必要摘要。不得记录密钥、完整密码或默认记录敏感明细。</w:t>
      </w:r>
    </w:p>
    <w:p>
      <w:r>
        <w:t>审计追加写入，企业用户不能修改或删除；查询服务操作日志与计费流水分离。P1 支持完整性校验、按授权导出和审计存储保护。建议在线保留180天、归档365天，可由合同修改；删除请求与保留义务冲突需通过明确企业政策处理。</w:t>
      </w:r>
    </w:p>
    <w:p>
      <w:pPr>
        <w:pStyle w:val="Heading1"/>
      </w:pPr>
      <w:r>
        <w:t>18 逻辑数据模型与一致性要求</w:t>
      </w:r>
    </w:p>
    <w:p>
      <w:pPr>
        <w:pStyle w:val="Heading2"/>
      </w:pPr>
      <w:r>
        <w:t>18.1 MySQL 核心实体</w:t>
      </w:r>
    </w:p>
    <w:p>
      <w:r>
        <w:t>全局实体：用户账号、权限字典、套餐版本、模型配置模板。租户实体：企业、成员、部门、角色、角色授权、工作空间、资产授权、数据策略、数据源、连接凭据引用、数据集及版本、字段、关联、指标及版本、图表、看板及版本、任务、运行批次、质量规则、AI 会话消息、查询记录、报告、告警、订阅、订单、用量流水和审计。</w:t>
      </w:r>
    </w:p>
    <w:p>
      <w:r>
        <w:t>建议表名前缀 sys、bi、ai、saas；租户级记录必须有 tenant_id，唯一约束和关联完整性包含租户归属。账号为全局身份，sys_tenant_member 建立企业成员关系，不能仅在 sys_user 中固定单个租户。角色、授权、查询与会话均以成员身份为边界。</w:t>
      </w:r>
    </w:p>
    <w:p>
      <w:r>
        <w:t>所有关键实体具备 ID、创建人、创建时间、更新人、更新时间和乐观版本；软删除与保留期限须明确。公开对象ID应不可预测，但不可预测ID不能替代鉴权。凭据仅保存密文或密钥引用，禁止明文。</w:t>
      </w:r>
    </w:p>
    <w:p>
      <w:pPr>
        <w:pStyle w:val="Heading2"/>
      </w:pPr>
      <w:r>
        <w:t>18.2 关系与版本约束</w:t>
      </w:r>
    </w:p>
    <w:p>
      <w:r>
        <w:t>企业一对多成员、工作空间和数据源；成员多对多角色；工作空间一对多数据集、指标和看板；数据集一对多字段与版本；指标依赖数据集版本和其他指标版本；图表引用指标与数据集；看板版本引用图表配置快照；AI 会话一对多消息，每次执行关联查询记录和用量事件。</w:t>
      </w:r>
    </w:p>
    <w:p>
      <w:r>
        <w:t>订阅引用套餐版本，订单引用价格快照，用量流水引用唯一执行标识；审计通过对象ID引用历史对象，即使对象归档仍可追踪。业务版本不得通过覆盖原行造成历史口径失踪。</w:t>
      </w:r>
    </w:p>
    <w:p>
      <w:pPr>
        <w:pStyle w:val="Heading2"/>
      </w:pPr>
      <w:r>
        <w:t>18.3 ClickHouse 数据要求</w:t>
      </w:r>
    </w:p>
    <w:p>
      <w:r>
        <w:t>分析事实包含租户标识、业务键、源标识、业务时间、版本或变更时间、批次与删除标记。所有查询包含强制租户空间选择和行级过滤；物理分库或独立实例可为企业套餐增强隔离，逻辑隔离仍须执行授权。</w:t>
      </w:r>
    </w:p>
    <w:p>
      <w:r>
        <w:t>分区、排序、聚合与保留策略由数据规模和查询模式决定，不默认按每个租户建立分区。维度更新需明确使用当前属性还是历史属性，历史经营报告若采用缓慢变化维度，必须指定生效区间与关联规则。</w:t>
      </w:r>
    </w:p>
    <w:p>
      <w:r>
        <w:t>P0 通过发布批次可见性保证报表只读取有效数据。同步过程原始行数、有效行数、去重行数与丢弃行数可对账。跨 MySQL 与 ClickHouse 状态不一致由补偿任务修复，不把写入成功日志等同数据可用。</w:t>
      </w:r>
    </w:p>
    <w:p>
      <w:pPr>
        <w:pStyle w:val="Heading1"/>
      </w:pPr>
      <w:r>
        <w:t>19 API 与服务交互规范</w:t>
      </w:r>
    </w:p>
    <w:p>
      <w:pPr>
        <w:pStyle w:val="Heading2"/>
      </w:pPr>
      <w:r>
        <w:t>19.1 对外接口</w:t>
      </w:r>
    </w:p>
    <w:p>
      <w:r>
        <w:t>使用版本化 REST API，例如 /api/v1/tenants、members、datasources、datasets、metrics、dashboards、queries、ai/conversations、reports、subscriptions。列表统一支持分页、排序和范围限制，批量操作限制条数。编辑请求携带版本号，异步任务返回202与 task_id，并提供状态和取消接口。</w:t>
      </w:r>
    </w:p>
    <w:p>
      <w:r>
        <w:t>统一结果包含业务码、说明、data 与 trace_id；时间采用带时区的标准格式，金额与高精度数值避免前端精度损失。HTTP 状态区分认证失败、无权、冲突、限流与服务错误；外部响应不泄漏连接串或堆栈。</w:t>
      </w:r>
    </w:p>
    <w:p>
      <w:r>
        <w:t>创建订单、触发同步、发起导出和 AI 请求支持 Idempotency Key，绑定租户、用户、接口与请求摘要；同键不同参数返回冲突。内部事件支持至少一次投递，消费者以事件唯一ID消重。</w:t>
      </w:r>
    </w:p>
    <w:p>
      <w:pPr>
        <w:pStyle w:val="Heading2"/>
      </w:pPr>
      <w:r>
        <w:t>19.2 AI 与流式协议</w:t>
      </w:r>
    </w:p>
    <w:p>
      <w:r>
        <w:t>AI 发起返回 request_id、conversation_id 和任务标识；流式事件包括 accepted、progress、clarification、result、error、done，包含单调序号。断线后通过任务ID恢复状态，不自动新建付费请求。结果事件只在执行后鉴权通过时发送。</w:t>
      </w:r>
    </w:p>
    <w:p>
      <w:r>
        <w:t>内部 AI 请求只携带授权语义与最小必要内容，结果数据可存受控临时引用，避免重复跨服务传输大量明细。trace_id 贯穿 Java、Python、查询引擎、同步和用量流水。</w:t>
      </w:r>
    </w:p>
    <w:p>
      <w:pPr>
        <w:pStyle w:val="Heading2"/>
      </w:pPr>
      <w:r>
        <w:t>19.3 外部集成 P1</w:t>
      </w:r>
    </w:p>
    <w:p>
      <w:r>
        <w:t>提供租户级 API 凭证、资源范围、到期、撤销和速率限制。Webhook 包含签名、时间戳、事件ID和重试上限，接收端可防重放。API 凭证不是超级管理员凭证；外部查询仍执行租户与行列策略。</w:t>
      </w:r>
    </w:p>
    <w:p>
      <w:pPr>
        <w:pStyle w:val="Heading1"/>
      </w:pPr>
      <w:r>
        <w:t>20 前端页面与交互要求</w:t>
      </w:r>
    </w:p>
    <w:p>
      <w:pPr>
        <w:pStyle w:val="Heading2"/>
      </w:pPr>
      <w:r>
        <w:t>20.1 页面清单</w:t>
      </w:r>
    </w:p>
    <w:p>
      <w:r>
        <w:t>企业工作台展示最近看板、任务和数据健康；数据源页提供连接测试与元数据；同步页展示批次、水位和失败详情；数据集页提供字段、关系、预览和质量；指标页提供公式、口径和版本；看板页提供编辑与查看；AI 页提供数据范围、对话、计划与结果；报告页提供导出与订阅；告警页提供事件和确认；企业设置页提供成员角色、数据策略和套餐；平台运营页只向平台身份开放。</w:t>
      </w:r>
    </w:p>
    <w:p>
      <w:r>
        <w:t>页面统一包含加载、空数据、无权限、服务错误、部分失败、超额与过期状态。危险操作显示对象、影响和恢复方式。异步提交后按钮防重复，刷新页面可继续查看任务，不依赖浏览器内存保存进度。</w:t>
      </w:r>
    </w:p>
    <w:p>
      <w:pPr>
        <w:pStyle w:val="Heading2"/>
      </w:pPr>
      <w:r>
        <w:t>20.2 易用性与稳定性</w:t>
      </w:r>
    </w:p>
    <w:p>
      <w:r>
        <w:t>默认支持中文、人民币和企业业务时区，但允许配置币种与日期格式。金额格式与单位不改变原始精度。桌面优先适配1280像素及以上，移动端提供只读看板和 AI 查询基础体验，复杂建模不承诺手机编辑。</w:t>
      </w:r>
    </w:p>
    <w:p>
      <w:r>
        <w:t>路由懒加载、按需图表、列表虚拟化、请求取消、局部错误展示和受控重试为必需。键盘可操作主要表单，输入项有可读标签，不能只通过颜色表达错误。后台请求失败显示明确状态，不以持续加载掩盖错误。</w:t>
      </w:r>
    </w:p>
    <w:p>
      <w:pPr>
        <w:pStyle w:val="Heading1"/>
      </w:pPr>
      <w:r>
        <w:t>21 非功能需求与建议验收基线</w:t>
      </w:r>
    </w:p>
    <w:p>
      <w:pPr>
        <w:pStyle w:val="Heading2"/>
      </w:pPr>
      <w:r>
        <w:t>21.1 NFR SEC 安全与隔离</w:t>
      </w:r>
    </w:p>
    <w:p>
      <w:r>
        <w:t>所有公网通信加密，密钥轮换，最小权限账号，网络出站白名单，日志脱敏；生产、测试环境与租户数据分离。对象下载、缓存、索引、checkpoint、临时文件、备份恢复均纳入租户隔离测试。恶意文档与提示词不能获得额外工具或越权内容。</w:t>
      </w:r>
    </w:p>
    <w:p>
      <w:r>
        <w:t>上线前完成依赖漏洞检查和安全测试，高危可利用问题不得带入正式发布。规则库与 SQL 解析器版本由技术设计确认并固定。法律适用、企业数据分类、模型供应商协议和跨区域传输必须由业务方确认，不能把技术措施视为法律合规认证。</w:t>
      </w:r>
    </w:p>
    <w:p>
      <w:pPr>
        <w:pStyle w:val="Heading2"/>
      </w:pPr>
      <w:r>
        <w:t>21.2 NFR PERF 性能与容量</w:t>
      </w:r>
    </w:p>
    <w:p>
      <w:r>
        <w:t>建议基准环境：Java 2个实例各4核8GB，Python 2个实例各4核8GB，MySQL 8核16GB，ClickHouse 16核64GB，独立任务进程与对象存储；最终依据部署预算和压测调整。样例负载为100租户、1000成员、100并发活跃用户、单主要事实表1000万行、日新增100万行。</w:t>
      </w:r>
    </w:p>
    <w:p>
      <w:r>
        <w:t>普通元数据 API 服务端 P95不超过500毫秒；已聚合或缓存图表查询 P95不超过3秒；常用看板首屏可操作 P95不超过5秒；受支持 AI 问题从接收至结果 P95不超过20秒，60秒总超时。AI 指标需标注供应商、网络、问题集、缓存比例和并发，不含用户澄清等待。</w:t>
      </w:r>
    </w:p>
    <w:p>
      <w:r>
        <w:t>压测同时包含读、同步、导出和 AI，不只测试单接口。交互资源与后台任务隔离；超载以限流、排队或降级保护，不允许无限重试和无界队列。数据结果正确性和隔离不得为了达成响应时间而降低。</w:t>
      </w:r>
    </w:p>
    <w:p>
      <w:pPr>
        <w:pStyle w:val="Heading2"/>
      </w:pPr>
      <w:r>
        <w:t>21.3 NFR AVA 可用性与恢复</w:t>
      </w:r>
    </w:p>
    <w:p>
      <w:r>
        <w:t>商业版建议月可用性99.9%，在合同中明确统计入口、成功标准与维护窗口；该数字为设计目标。Java 与 Python 无状态横向扩容，任务通过持久化状态和租约恢复。模型故障不影响传统 BI；单数据源故障不拖垮其他租户。</w:t>
      </w:r>
    </w:p>
    <w:p>
      <w:r>
        <w:t>建议 MySQL RPO不超过15分钟、RTO不超过4小时；分析数据已发布批次 RPO不超过1小时、RTO不超过8小时。需备份 ClickHouse 数据、元数据、对象文件、密钥引用和任务水位，不能仅假设源端可完整重放。至少每季度执行恢复演练，记录恢复时间、完整性和租户隔离结果。</w:t>
      </w:r>
    </w:p>
    <w:p>
      <w:pPr>
        <w:pStyle w:val="Heading2"/>
      </w:pPr>
      <w:r>
        <w:t>21.4 NFR OBS 运维与维护</w:t>
      </w:r>
    </w:p>
    <w:p>
      <w:r>
        <w:t>监控请求延迟、错误率、连接池、队列长度、查询CPU与内存、同步延迟、质量失败、AI 成功率、Token成本和配额。指标默认避免使用用户与会话ID造成高基数。关键告警关联 runbook 和负责人，日志通过 trace_id 定位，内容默认脱敏。</w:t>
      </w:r>
    </w:p>
    <w:p>
      <w:r>
        <w:t>发布支持数据库兼容迁移、灰度、回滚和配置版本。回滚不得破坏已生成数据或口径版本。按模块编写测试，关键同步恢复、权限编译和计费使用并发集成测试。代码关键逻辑添加简明中文注释，保持清晰命名与小步重构。</w:t>
      </w:r>
    </w:p>
    <w:p>
      <w:pPr>
        <w:pStyle w:val="Heading1"/>
      </w:pPr>
      <w:r>
        <w:t>22 测试验收与需求追踪</w:t>
      </w:r>
    </w:p>
    <w:p>
      <w:pPr>
        <w:pStyle w:val="Heading2"/>
      </w:pPr>
      <w:r>
        <w:t>22.1 必测场景</w:t>
      </w:r>
    </w:p>
    <w:p>
      <w:r>
        <w:t>TEN01：同一用户属于两个租户，切换、篡改ID、共享、搜索、缓存、导出和 AI 历史均不串租户。IAM01：不同角色对同图表执行查看、编辑和导出，权限撤销后排队任务与旧链接拒绝。ING01：宕机、水位重放、迟到更新、删除和坏行不造成静默漏数。SET01：重复维度键与多对多关联不重复累计。</w:t>
      </w:r>
    </w:p>
    <w:p>
      <w:r>
        <w:t>MET01：金额、退款、时区、闰年、空值、零分母和币种与独立样例一致。QRY01：恶意 SQL、子查询、CTE、系统表、外部函数和取消机制符合要求。AI01：标准集正确率、事实可追溯、无数据拒答、歧义澄清、提示词注入及安全拒绝。BIL01：并发配额、回调重放、失败预留释放和成本对账。</w:t>
      </w:r>
    </w:p>
    <w:p>
      <w:r>
        <w:t>REP01：接收者权限不同不得收到他人明细，旧权限报告无法下载。ALT01：数据过期与真实业务异常区分，抑制和恢复正确。OPS01：数据库恢复、模型故障、连接池耗尽和单租户过载时，其他租户保持可用。</w:t>
      </w:r>
    </w:p>
    <w:p>
      <w:pPr>
        <w:pStyle w:val="Heading2"/>
      </w:pPr>
      <w:r>
        <w:t>22.2 示例验收数据</w:t>
      </w:r>
    </w:p>
    <w:p>
      <w:r>
        <w:t>固定销售样例：订单A支付100元、未退款；订单B支付200元、退款50元；订单C取消300元。按净支付且退款计本期口径，销售额应为250元，订单C不计入；若退款发生下一期，本期值与下期值按指标口径分别验收。商品维度故意设置重复键以验证发布阻断。</w:t>
      </w:r>
    </w:p>
    <w:p>
      <w:r>
        <w:t>租户甲和乙均使用相同业务订单ID，授权部门分别为华东和华北。甲成员在图表、AI、导出和缓存中只看到甲租户授权部门结果。比较期销售额为0时增长率必须显示未定义，不能返回无限大或误记100%。</w:t>
      </w:r>
    </w:p>
    <w:p>
      <w:pPr>
        <w:pStyle w:val="Heading2"/>
      </w:pPr>
      <w:r>
        <w:t>22.3 发布门槛与追踪</w:t>
      </w:r>
    </w:p>
    <w:p>
      <w:r>
        <w:t>每个 FR 编号在需求追踪表对应页面、接口、实体、测试ID和负责人；P0全通过后允许封闭试用，P0与P1全通过及运维演练完成后允许付费发布。关键隔离、计算、只读和计费测试100%通过；严重和高优先缺陷清零。</w:t>
      </w:r>
    </w:p>
    <w:p>
      <w:r>
        <w:t>交付包包含需求基线、技术架构、详细数据库设计、API 契约、部署文档、初始化与迁移脚本、测试报告、数据对账报告、恢复演练报告、运维手册和用户手册。功能测试通过不代表容量目标通过，须分别提供记录。</w:t>
      </w:r>
    </w:p>
    <w:p>
      <w:pPr>
        <w:pStyle w:val="Heading1"/>
      </w:pPr>
      <w:r>
        <w:t>23 版本实施顺序与商业交付</w:t>
      </w:r>
    </w:p>
    <w:p>
      <w:pPr>
        <w:pStyle w:val="Heading2"/>
      </w:pPr>
      <w:r>
        <w:t>23.1 MVP 封闭试用</w:t>
      </w:r>
    </w:p>
    <w:p>
      <w:r>
        <w:t>先实现租户与权限、工程基础和审计，再完成一个数据库连接及文件导入、可靠同步、数据集与指标、受控查询、图表看板，最后接入 AI 语义检索和 LangGraph。必须保留可用的传统查询链路，AI 不作为数据正确性唯一验证者。</w:t>
      </w:r>
    </w:p>
    <w:p>
      <w:r>
        <w:t>试用验收范围包含全部P0，不含正式收款和公开分享。建议先用销售场景固定模型服务首批企业，避免同时支持多个行业与任意自由建模。开发周期按团队能力、连接器和数据复杂度估算，不能将16周作为无条件交付承诺。</w:t>
      </w:r>
    </w:p>
    <w:p>
      <w:pPr>
        <w:pStyle w:val="Heading2"/>
      </w:pPr>
      <w:r>
        <w:t>23.2 商业试运营</w:t>
      </w:r>
    </w:p>
    <w:p>
      <w:r>
        <w:t>补齐P1计费、MFA或SSO、报告订阅、告警、支持授权、模型成本、备份恢复与运营控制台。选择有限试点租户，验证真实数据接入、正确率、成本和支持流程，再扩大销售。P2预测和复杂异常能力独立上线，不阻塞基础产品商业试运营。</w:t>
      </w:r>
    </w:p>
    <w:p>
      <w:pPr>
        <w:pStyle w:val="Heading2"/>
      </w:pPr>
      <w:r>
        <w:t>23.3 实施服务与退出</w:t>
      </w:r>
    </w:p>
    <w:p>
      <w:r>
        <w:t>实施流程包含企业需求确认、网络与只读账号检查、字段映射、指标口径签字确认、数据对账、角色配置、培训与验收。提供试点模板和问题集，客户确认业务口径后再用于经营报告。</w:t>
      </w:r>
    </w:p>
    <w:p>
      <w:r>
        <w:t>退出服务允许所有者导出授权数据、指标、看板配置和必要审计记录；包含格式、容量、任务进度与有效期。建议注销撤回窗口7天、在线清理30天内完成、备份随最长90天周期淘汰，合同另有约定时按配置执行。所有保留期限必须在企业设置中可见。</w:t>
      </w:r>
    </w:p>
    <w:p>
      <w:pPr>
        <w:pStyle w:val="Heading1"/>
      </w:pPr>
      <w:r>
        <w:t>24 待确认事项与建议默认值</w:t>
      </w:r>
    </w:p>
    <w:p>
      <w:pPr>
        <w:pStyle w:val="Heading2"/>
      </w:pPr>
      <w:r>
        <w:t>24.1 发布前业务确认</w:t>
      </w:r>
    </w:p>
    <w:p>
      <w:r>
        <w:t>首批客户行业建议销售与零售，首版支持MySQL和PostgreSQL加CSV与XLSX；套餐价格、税务处理、支付渠道和退款规则待商业方案确认。数据处理区域与模型供应商待合同与客户数据政策确认；默认外部模型关闭，管理员完成数据策略后启用。</w:t>
      </w:r>
    </w:p>
    <w:p>
      <w:r>
        <w:t>企业套餐物理隔离、私有化部署、客户侧Agent和SSO方式需在技术设计确认。默认采用共享基础设施强制逻辑隔离；商业承诺若要求独立资源，不能仅修改租户标签模拟隔离。</w:t>
      </w:r>
    </w:p>
    <w:p>
      <w:r>
        <w:t>性能基准、存储上限、调度频率、保留期和RPO/RTO须压测及恢复演练后确认。暂定配额和时限均可配置，在客户订阅页明确展示；需求评审需确认默认时间范围、退款口径和多币种规则。</w:t>
      </w:r>
    </w:p>
    <w:p>
      <w:pPr>
        <w:pStyle w:val="Heading2"/>
      </w:pPr>
      <w:r>
        <w:t>24.2 下一阶段设计输出</w:t>
      </w:r>
    </w:p>
    <w:p>
      <w:r>
        <w:t>技术架构设计需落实部署拓扑、连接器执行边界、查询编译器、SQL支持子集、密钥管理、任务框架、缓存隔离与恢复机制。数据库设计需提供完整实体关系、租户复合约束、索引、版本模型、ClickHouse事实与维度建表、去重与批次发布方案。AI详细设计需提供LangGraph状态、节点输入输出、工具契约、超时恢复与标注评测集。</w:t>
      </w:r>
    </w:p>
    <w:p>
      <w:r>
        <w:t>本文件作为开发和测试的完整需求基线草案。评审确认范围、默认值与验收环境后冻结V1.0；任何后续调整必须通过需求变更流程，以保证实现、测试和商业交付口径一致。</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AI BI 需求规格说明书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