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模型与 ServiceID 交付确认表</w:t>
      </w:r>
    </w:p>
    <w:p>
      <w:r>
        <w:rPr>
          <w:rFonts w:ascii="Arial" w:hAnsi="Arial" w:eastAsia="Microsoft YaHei"/>
          <w:b/>
        </w:rPr>
        <w:t>作品名称：</w:t>
      </w:r>
      <w:r>
        <w:rPr>
          <w:rFonts w:ascii="Arial" w:hAnsi="Arial" w:eastAsia="Microsoft YaHei"/>
        </w:rPr>
        <w:t xml:space="preserve"> 星知智链（ESA） </w:t>
      </w:r>
      <w:r>
        <w:rPr>
          <w:rFonts w:ascii="Arial" w:hAnsi="Arial" w:eastAsia="Microsoft YaHei"/>
          <w:b/>
        </w:rPr>
        <w:t>赛题编号：</w:t>
      </w:r>
      <w:r>
        <w:rPr>
          <w:rFonts w:ascii="Arial" w:hAnsi="Arial" w:eastAsia="Microsoft YaHei"/>
        </w:rPr>
        <w:t xml:space="preserve"> XH-202620 </w:t>
      </w:r>
      <w:r>
        <w:rPr>
          <w:rFonts w:ascii="Arial" w:hAnsi="Arial" w:eastAsia="Microsoft YaHei"/>
          <w:b/>
        </w:rPr>
        <w:t>应用代码基线：</w:t>
      </w:r>
      <w:r>
        <w:rPr>
          <w:rFonts w:ascii="Arial" w:hAnsi="Arial" w:eastAsia="Microsoft YaHei"/>
        </w:rPr>
        <w:t xml:space="preserve"> </w:t>
      </w:r>
      <w:r>
        <w:rPr>
          <w:rFonts w:ascii="Consolas" w:hAnsi="Consolas" w:eastAsia="Consolas"/>
          <w:color w:val="174A7E"/>
          <w:sz w:val="18"/>
        </w:rPr>
        <w:t>main@c485941</w:t>
      </w:r>
    </w:p>
    <w:p>
      <w:pPr>
        <w:pStyle w:val="Heading2"/>
      </w:pPr>
      <w:r>
        <w:rPr>
          <w:rFonts w:ascii="Arial" w:hAnsi="Arial" w:eastAsia="Microsoft YaHei"/>
        </w:rPr>
        <w:t>一、已由仓库确认的模型口径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76"/>
        <w:gridCol w:w="4776"/>
      </w:tblGrid>
      <w:tr>
        <w:trPr>
          <w:tblHeader w:val="true"/>
        </w:trP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当前记录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主模型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Qwen/Qwen3.5-122B-A10B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主模型并行配置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TP=2、PP=3；最大上下文长度 131072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辅助模型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Qwen/Qwen3.5-9B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定版 LoRA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adapter_93728_nothink_ep10_20260903_1832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LoRA 参数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 xml:space="preserve">rank 16，10 epochs，评测时 </w:t>
            </w:r>
            <w:r>
              <w:rPr>
                <w:rFonts w:ascii="Consolas" w:hAnsi="Consolas" w:eastAsia="Consolas"/>
                <w:color w:val="174A7E"/>
                <w:sz w:val="17"/>
              </w:rPr>
              <w:t>enable_thinking=false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主考卷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 xml:space="preserve">440 题，指纹 </w:t>
            </w:r>
            <w:r>
              <w:rPr>
                <w:rFonts w:ascii="Consolas" w:hAnsi="Consolas" w:eastAsia="Consolas"/>
                <w:color w:val="174A7E"/>
                <w:sz w:val="17"/>
              </w:rPr>
              <w:t>d441611fb5556b53#440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配对评测作业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 xml:space="preserve">base </w:t>
            </w:r>
            <w:r>
              <w:rPr>
                <w:rFonts w:ascii="Consolas" w:hAnsi="Consolas" w:eastAsia="Consolas"/>
                <w:color w:val="174A7E"/>
                <w:sz w:val="17"/>
              </w:rPr>
              <w:t>95431</w:t>
            </w:r>
            <w:r>
              <w:rPr>
                <w:rFonts w:ascii="Arial" w:hAnsi="Arial" w:eastAsia="Microsoft YaHei"/>
                <w:sz w:val="17"/>
              </w:rPr>
              <w:t xml:space="preserve">；LoRA </w:t>
            </w:r>
            <w:r>
              <w:rPr>
                <w:rFonts w:ascii="Consolas" w:hAnsi="Consolas" w:eastAsia="Consolas"/>
                <w:color w:val="174A7E"/>
                <w:sz w:val="17"/>
              </w:rPr>
              <w:t>95348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Tool Schema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 xml:space="preserve">22 个，版本 </w:t>
            </w:r>
            <w:r>
              <w:rPr>
                <w:rFonts w:ascii="Consolas" w:hAnsi="Consolas" w:eastAsia="Consolas"/>
                <w:color w:val="174A7E"/>
                <w:sz w:val="17"/>
              </w:rPr>
              <w:t>711faf60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</w:rPr>
        <w:t>二、正式交付方式</w:t>
      </w:r>
    </w:p>
    <w:p>
      <w:r>
        <w:rPr>
          <w:rFonts w:ascii="Arial" w:hAnsi="Arial" w:eastAsia="Microsoft YaHei"/>
        </w:rPr>
        <w:t>下列两种方式至少完成一种。不要把访问密钥直接写入此表或提交仓库。</w:t>
      </w:r>
    </w:p>
    <w:p>
      <w:pPr>
        <w:pStyle w:val="Heading3"/>
      </w:pPr>
      <w:r>
        <w:rPr>
          <w:rFonts w:ascii="Arial" w:hAnsi="Arial" w:eastAsia="Microsoft YaHei"/>
        </w:rPr>
        <w:t>方式 A：适配器文件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76"/>
        <w:gridCol w:w="4776"/>
      </w:tblGrid>
      <w:tr>
        <w:trPr>
          <w:tblHeader w:val="true"/>
        </w:trP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团队填写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文件名/目录名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文件大小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SHA-256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基座模型精确版本/修订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加载名称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交付介质或下载位置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评委访问有效期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Microsoft YaHei"/>
        </w:rPr>
        <w:t>方式 B：模型 ServiceID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76"/>
        <w:gridCol w:w="4776"/>
      </w:tblGrid>
      <w:tr>
        <w:trPr>
          <w:tblHeader w:val="true"/>
        </w:trP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团队填写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ServiceID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服务平台与区域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API/协议兼容方式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OpenAI-compatible / 其他：________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模型与适配器标识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访问申请或白名单流程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评委访问有效期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故障联系人与替代方案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</w:rPr>
        <w:t>三、目标环境验收记录</w:t>
      </w:r>
    </w:p>
    <w:p>
      <w:pPr>
        <w:pStyle w:val="ListBullet"/>
      </w:pPr>
      <w:r>
        <w:rPr>
          <w:rFonts w:ascii="Arial" w:hAnsi="Arial" w:eastAsia="Microsoft YaHei"/>
        </w:rPr>
        <w:t>[ ] 服务端启动日志明确显示基座模型与 LoRA 已加载，且没有回退到其他模型。</w:t>
      </w:r>
    </w:p>
    <w:p>
      <w:pPr>
        <w:pStyle w:val="ListBullet"/>
      </w:pPr>
      <w:r>
        <w:rPr>
          <w:rFonts w:ascii="Arial" w:hAnsi="Arial" w:eastAsia="Microsoft YaHei"/>
        </w:rPr>
        <w:t>[ ] 使用比赛提交版本执行一次最小对话和一次工具调用，保存请求 ID 与脱敏结果。</w:t>
      </w:r>
    </w:p>
    <w:p>
      <w:pPr>
        <w:pStyle w:val="ListBullet"/>
      </w:pPr>
      <w:r>
        <w:rPr>
          <w:rFonts w:ascii="Arial" w:hAnsi="Arial" w:eastAsia="Microsoft YaHei"/>
        </w:rPr>
        <w:t>[ ] 对照主考卷/适配器/Schema 指纹，确认部署对象与技术报告一致。</w:t>
      </w:r>
    </w:p>
    <w:p>
      <w:pPr>
        <w:pStyle w:val="ListBullet"/>
      </w:pPr>
      <w:r>
        <w:rPr>
          <w:rFonts w:ascii="Arial" w:hAnsi="Arial" w:eastAsia="Microsoft YaHei"/>
        </w:rPr>
        <w:t>[ ] 评委账号无需接触服务器密钥即可按说明访问。</w:t>
      </w:r>
    </w:p>
    <w:p>
      <w:pPr>
        <w:pStyle w:val="ListBullet"/>
      </w:pPr>
      <w:r>
        <w:rPr>
          <w:rFonts w:ascii="Arial" w:hAnsi="Arial" w:eastAsia="Microsoft YaHei"/>
        </w:rPr>
        <w:t>[ ] 停服、过期、限流或 GPU 故障时的提示不伪装为正常模型回答。</w:t>
      </w:r>
    </w:p>
    <w:p>
      <w:pPr>
        <w:pStyle w:val="ListBullet"/>
      </w:pPr>
      <w:r>
        <w:rPr>
          <w:rFonts w:ascii="Arial" w:hAnsi="Arial" w:eastAsia="Microsoft YaHei"/>
        </w:rPr>
        <w:t>[ ] 交付文件、共享盘和 ServiceID 均不包含生产密钥、真实用户数据或无权分发的基座权重。</w:t>
      </w:r>
    </w:p>
    <w:p>
      <w:r>
        <w:rPr>
          <w:rFonts w:ascii="Arial" w:hAnsi="Arial" w:eastAsia="Microsoft YaHei"/>
        </w:rPr>
        <w:t>验收人：________________  验收日期：________年____月____日 复核人：________________  复核日期：________年____月____日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模型与 ServiceID 交付确认表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模型与 ServiceID 交付确认表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