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07—其他材料说明与证据索引</w:t>
      </w:r>
    </w:p>
    <w:p>
      <w:r>
        <w:rPr>
          <w:rFonts w:ascii="Arial" w:hAnsi="Arial" w:eastAsia="Microsoft YaHei"/>
          <w:b/>
        </w:rPr>
        <w:t>作品名称：</w:t>
      </w:r>
      <w:r>
        <w:rPr>
          <w:rFonts w:ascii="Arial" w:hAnsi="Arial" w:eastAsia="Microsoft YaHei"/>
        </w:rPr>
        <w:t xml:space="preserve"> 星知智链（ESA） </w:t>
      </w:r>
      <w:r>
        <w:rPr>
          <w:rFonts w:ascii="Arial" w:hAnsi="Arial" w:eastAsia="Microsoft YaHei"/>
          <w:b/>
        </w:rPr>
        <w:t>代码基线：</w:t>
      </w:r>
      <w:r>
        <w:rPr>
          <w:rFonts w:ascii="Arial" w:hAnsi="Arial" w:eastAsia="Microsoft YaHei"/>
        </w:rPr>
        <w:t xml:space="preserve"> </w:t>
      </w:r>
      <w:r>
        <w:rPr>
          <w:rFonts w:ascii="Consolas" w:hAnsi="Consolas" w:eastAsia="Consolas"/>
          <w:color w:val="174A7E"/>
          <w:sz w:val="18"/>
        </w:rPr>
        <w:t>main@c485941</w:t>
      </w:r>
    </w:p>
    <w:p>
      <w:pPr>
        <w:pStyle w:val="Heading2"/>
      </w:pPr>
      <w:r>
        <w:rPr>
          <w:rFonts w:ascii="Arial" w:hAnsi="Arial" w:eastAsia="Microsoft YaHei"/>
        </w:rPr>
        <w:t>建议随包归档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工程质量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COMPETITION_AUDIT.md</w:t>
            </w:r>
            <w:r>
              <w:rPr>
                <w:rFonts w:ascii="Arial" w:hAnsi="Arial" w:eastAsia="Microsoft YaHei"/>
                <w:sz w:val="17"/>
              </w:rPr>
              <w:t>、pytest 输出、Ruff/mypy 结果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说明本机验证范围与跳过项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工程摘要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07—其他材料/工程验证摘要_20260908.md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汇总本轮命令、结果与证据边界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技术报告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deliverables/technical-report/星知智链技术报告.docx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代码、模型、架构、评测与复现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模型原始结果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deliverables/technical-report/evidence/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base/LoRA 逐题预测和原始判分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数据评测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backend/scripts/dataset/docs/06-效果验证材料.md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440 道固定考卷的正式口径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人工裁定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backend/scripts/dataset/data/eval/refusal_adjudication.json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264 条拒绝项人工判定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课程知识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data/knowledge_base/v1/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来源登记、标准答案、检索标注、题库和概念卡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典型问题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06—效果验证报告/典型问题记录表.md</w:t>
            </w:r>
            <w:r>
              <w:rPr>
                <w:rFonts w:ascii="Arial" w:hAnsi="Arial" w:eastAsia="Microsoft YaHei"/>
                <w:sz w:val="17"/>
              </w:rPr>
              <w:t xml:space="preserve"> 及真实截图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三个问题的原始输出与人工核验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用户反馈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06—效果验证报告/真实用户反馈确认表.md</w:t>
            </w:r>
            <w:r>
              <w:rPr>
                <w:rFonts w:ascii="Arial" w:hAnsi="Arial" w:eastAsia="Microsoft YaHei"/>
                <w:sz w:val="17"/>
              </w:rPr>
              <w:t xml:space="preserve"> 及确认件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至少 2 名真实用户证据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视频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06—效果验证报告/视频Demo脚本.md</w:t>
            </w:r>
            <w:r>
              <w:rPr>
                <w:rFonts w:ascii="Arial" w:hAnsi="Arial" w:eastAsia="Microsoft YaHei"/>
                <w:sz w:val="17"/>
              </w:rPr>
              <w:t xml:space="preserve"> 和最终 MP4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不超过 3 分钟真实交互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PPT 核验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04—作品方案/PPT核验说明.md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记录自动修正与人工检查边界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</w:rPr>
        <w:t>推荐文件命名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test-backend-20260908.txt</w:t>
        <w:br/>
        <w:t>test-frontend-YYYYMMDD.txt</w:t>
        <w:br/>
        <w:t>case-01-linked-list-question.txt</w:t>
        <w:br/>
        <w:t>case-01-linked-list-output.png</w:t>
        <w:br/>
        <w:t>case-01-linked-list-source.png</w:t>
        <w:br/>
        <w:t>case-01-linked-list-review.md</w:t>
        <w:br/>
        <w:t>user-01-feedback-confirmed.pdf</w:t>
        <w:br/>
        <w:t>user-02-feedback-confirmed.pdf</w:t>
        <w:br/>
        <w:t>demo-interaction-video.mp4</w:t>
        <w:br/>
        <w:t>model-service-or-adapter-checksum.txt</w:t>
        <w:br/>
        <w:t>submission-sha256.txt</w:t>
      </w:r>
    </w:p>
    <w:p>
      <w:pPr>
        <w:pStyle w:val="Heading2"/>
      </w:pPr>
      <w:r>
        <w:rPr>
          <w:rFonts w:ascii="Arial" w:hAnsi="Arial" w:eastAsia="Microsoft YaHei"/>
        </w:rPr>
        <w:t>许可证与数据说明</w:t>
      </w:r>
    </w:p>
    <w:p>
      <w:pPr>
        <w:pStyle w:val="ListBullet"/>
      </w:pPr>
      <w:r>
        <w:rPr>
          <w:rFonts w:ascii="Arial" w:hAnsi="Arial" w:eastAsia="Microsoft YaHei"/>
        </w:rPr>
        <w:t xml:space="preserve">知识语料以 </w:t>
      </w:r>
      <w:r>
        <w:rPr>
          <w:rFonts w:ascii="Consolas" w:hAnsi="Consolas" w:eastAsia="Consolas"/>
          <w:color w:val="174A7E"/>
          <w:sz w:val="18"/>
        </w:rPr>
        <w:t>data/knowledge_base/v1/source_registry.jsonl</w:t>
      </w:r>
      <w:r>
        <w:rPr>
          <w:rFonts w:ascii="Arial" w:hAnsi="Arial" w:eastAsia="Microsoft YaHei"/>
        </w:rPr>
        <w:t xml:space="preserve"> 为提交白名单。</w:t>
      </w:r>
    </w:p>
    <w:p>
      <w:pPr>
        <w:pStyle w:val="ListBullet"/>
      </w:pPr>
      <w:r>
        <w:rPr>
          <w:rFonts w:ascii="Arial" w:hAnsi="Arial" w:eastAsia="Microsoft YaHei"/>
        </w:rPr>
        <w:t>动态来源记录访问时间；仅参考源不得在未获许可时随包分发。</w:t>
      </w:r>
    </w:p>
    <w:p>
      <w:pPr>
        <w:pStyle w:val="ListBullet"/>
      </w:pPr>
      <w:r>
        <w:rPr>
          <w:rFonts w:ascii="Arial" w:hAnsi="Arial" w:eastAsia="Microsoft YaHei"/>
        </w:rPr>
        <w:t>模型、Embedding、Reranker、字体、图标、图片和开源依赖分别保留名称、版本、来源和许可证。</w:t>
      </w:r>
    </w:p>
    <w:p>
      <w:pPr>
        <w:pStyle w:val="ListBullet"/>
      </w:pPr>
      <w:r>
        <w:rPr>
          <w:rFonts w:ascii="Arial" w:hAnsi="Arial" w:eastAsia="Microsoft YaHei"/>
        </w:rPr>
        <w:t>真实用户附件只保留脱敏后的确认件和必要截图，不归档生产数据库或私人对话。</w:t>
      </w:r>
    </w:p>
    <w:p>
      <w:pPr>
        <w:pStyle w:val="Heading2"/>
      </w:pPr>
      <w:r>
        <w:rPr>
          <w:rFonts w:ascii="Arial" w:hAnsi="Arial" w:eastAsia="Microsoft YaHei"/>
        </w:rPr>
        <w:t>最终完整性检查</w:t>
      </w:r>
    </w:p>
    <w:p>
      <w:r>
        <w:rPr>
          <w:rFonts w:ascii="Arial" w:hAnsi="Arial" w:eastAsia="Microsoft YaHei"/>
        </w:rPr>
        <w:t>生成最终压缩包后执行：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find . -type f -print0 | sort -z | xargs -0 sha256sum &gt; submission-sha256.txt</w:t>
      </w:r>
    </w:p>
    <w:p>
      <w:r>
        <w:rPr>
          <w:rFonts w:ascii="Arial" w:hAnsi="Arial" w:eastAsia="Microsoft YaHei"/>
        </w:rPr>
        <w:t>在干净目录解压并检查：文件能打开、PPT 小于 100 MB、视频小于 3 分钟、技术报告图表可见、 模型/ServiceID 可访问、没有秘密或真实个人数据。SHA-256 清单必须针对最终文件重新生成， 不能复用中间版本。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07—其他材料说明与证据索引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07—其他材料说明与证据索引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