
<file path=[Content_Types].xml><?xml version="1.0" encoding="utf-8"?>
<Types xmlns="http://schemas.openxmlformats.org/package/2006/content-types">
  <Default Extension="jpeg" ContentType="image/jpeg"/>
  <Default Extension="jpg" ContentType="application/octet-stream"/>
  <Default Extension="png" ContentType="image/png"/>
  <Default Extension="rels" ContentType="application/vnd.openxmlformats-package.relationships+xml"/>
  <Default Extension="svg" ContentType="image/svg+xml"/>
  <Default Extension="xml" ContentType="application/xml"/>
  <Override PartName="/_rels/.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0bc2a906edc82ef7d937eebd317ef3882e8acb56.png"/>
            <a:graphic>
              <a:graphicData uri="http://schemas.openxmlformats.org/drawingml/2006/picture">
                <pic:pic>
                  <pic:nvPicPr>
                    <pic:cNvPr id="1" name="image-0bc2a906edc82ef7d937eebd317ef3882e8acb56.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Service Blueprint : Expérience Client Horlogerie de Luxe</w:t>
      </w:r>
    </w:p>
    <w:p>
      <w:pPr>
        <w:spacing w:line="360" w:before="315" w:after="105" w:lineRule="auto"/>
        <w:ind w:left="-30"/>
        <w:jc w:val="left"/>
      </w:pPr>
      <w:r>
        <w:rPr>
          <w:rFonts w:eastAsia="inter" w:cs="inter" w:ascii="inter" w:hAnsi="inter"/>
          <w:b/>
          <w:color w:val="000000"/>
          <w:sz w:val="24"/>
        </w:rPr>
        <w:t xml:space="preserve">Transformation Digitale et Parcours Omnicanal dans l'Univers Horloger de Prestige</w:t>
      </w:r>
    </w:p>
    <w:p>
      <w:pPr>
        <w:spacing w:line="360" w:after="210" w:lineRule="auto"/>
      </w:pPr>
      <w:r>
        <w:rPr>
          <w:rFonts w:eastAsia="inter" w:cs="inter" w:ascii="inter" w:hAnsi="inter"/>
          <w:color w:val="000000"/>
        </w:rPr>
        <w:t xml:space="preserve">L'industrie horlogère de luxe traverse une révolution digitale majeure, réconciliant tradition artisanale et innovation technologique. Ce service blueprint détaillé cartographie l'expérience client complète, de la découverte initiale au service après-vente, révélant les opportunités stratégiques pour optimiser chaque point de contact dans l'écosystème omnicanal.</w:t>
      </w:r>
    </w:p>
    <w:p>
      <w:pPr>
        <w:spacing w:line="360" w:before="315" w:after="105" w:lineRule="auto"/>
        <w:ind w:left="-30"/>
        <w:jc w:val="left"/>
      </w:pPr>
      <w:r>
        <w:rPr>
          <w:rFonts w:eastAsia="inter" w:cs="inter" w:ascii="inter" w:hAnsi="inter"/>
          <w:b/>
          <w:color w:val="000000"/>
          <w:sz w:val="24"/>
        </w:rPr>
        <w:t xml:space="preserve">Insights Stratégiques Clés</w:t>
      </w:r>
    </w:p>
    <w:p>
      <w:pPr>
        <w:spacing w:line="360" w:after="210" w:lineRule="auto"/>
      </w:pPr>
      <w:r>
        <w:rPr>
          <w:rFonts w:eastAsia="inter" w:cs="inter" w:ascii="inter" w:hAnsi="inter"/>
          <w:b/>
          <w:color w:val="000000"/>
        </w:rPr>
        <w:t xml:space="preserve">Le Paradoxe Digital-Luxe Résolu</w:t>
      </w:r>
      <w:r>
        <w:rPr>
          <w:rFonts w:eastAsia="inter" w:cs="inter" w:ascii="inter" w:hAnsi="inter"/>
          <w:color w:val="000000"/>
        </w:rPr>
        <w:br w:type="textWrapping"/>
      </w:r>
      <w:r>
        <w:rPr>
          <w:rFonts w:eastAsia="inter" w:cs="inter" w:ascii="inter" w:hAnsi="inter"/>
          <w:color w:val="000000"/>
        </w:rPr>
        <w:t xml:space="preserve">Les marques horlogères suisses leaders comme Rolex ont prouvé qu'excellence digitale et exclusivité peuvent parfaitement coexister. L'enjeu contemporain n'est plus d'être présent en ligne, mais de préserver l'âme de marque dans l'écosystème digital tout en répondant aux nouvelles attentes comportementales.</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bookmarkStart w:id="2" w:name="fnref3"/>
      <w:bookmarkEnd w:id="2"/>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L'Omnicanalité comme Avantage Concurrentiel Décisif</w:t>
      </w:r>
      <w:r>
        <w:rPr>
          <w:rFonts w:eastAsia="inter" w:cs="inter" w:ascii="inter" w:hAnsi="inter"/>
          <w:color w:val="000000"/>
        </w:rPr>
        <w:br w:type="textWrapping"/>
      </w:r>
      <w:r>
        <w:rPr>
          <w:rFonts w:eastAsia="inter" w:cs="inter" w:ascii="inter" w:hAnsi="inter"/>
          <w:color w:val="000000"/>
        </w:rPr>
        <w:t xml:space="preserve">L'expérience client seamless entre boutiques flagship et plateformes digitales devient le différenciateur majeur. Les parcours ROPO (Research Online, Purchase Offline) dominent désormais le secteur, avec 85% des acquisitions de montres de luxe précédées de recherches digitales approfondies.</w:t>
      </w:r>
      <w:bookmarkStart w:id="3" w:name="fnref2:1"/>
      <w:bookmarkEnd w:id="3"/>
      <w:hyperlink w:anchor="fn2">
        <w:r>
          <w:rPr>
            <w:rFonts w:eastAsia="inter" w:cs="inter" w:ascii="inter" w:hAnsi="inter"/>
            <w:color w:val="#000"/>
            <w:u w:val="single"/>
            <w:vertAlign w:val="superscript"/>
          </w:rPr>
          <w:t xml:space="preserve">[2]</w:t>
        </w:r>
      </w:hyperlink>
      <w:bookmarkStart w:id="4" w:name="fnref4"/>
      <w:bookmarkEnd w:id="4"/>
      <w:hyperlink w:anchor="fn4">
        <w:r>
          <w:rPr>
            <w:rFonts w:eastAsia="inter" w:cs="inter" w:ascii="inter" w:hAnsi="inter"/>
            <w:color w:val="#000"/>
            <w:u w:val="single"/>
            <w:vertAlign w:val="superscript"/>
          </w:rPr>
          <w:t xml:space="preserve">[4]</w:t>
        </w:r>
      </w:hyperlink>
      <w:bookmarkStart w:id="5" w:name="fnref5"/>
      <w:bookmarkEnd w:id="5"/>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Hyper-Personnalisation à Grande Échelle</w:t>
      </w:r>
      <w:r>
        <w:rPr>
          <w:rFonts w:eastAsia="inter" w:cs="inter" w:ascii="inter" w:hAnsi="inter"/>
          <w:color w:val="000000"/>
        </w:rPr>
        <w:br w:type="textWrapping"/>
      </w:r>
      <w:r>
        <w:rPr>
          <w:rFonts w:eastAsia="inter" w:cs="inter" w:ascii="inter" w:hAnsi="inter"/>
          <w:color w:val="000000"/>
        </w:rPr>
        <w:t xml:space="preserve">L'intelligence artificielle et l'exploitation avancée des données clients permettent une personnalisation sophistiquée compatible avec les standards d'excellence du luxe. Les services de conciergerie digitale et consultations virtuelles deviennent des prérequis concurrentiels.</w:t>
      </w:r>
      <w:bookmarkStart w:id="6" w:name="fnref6"/>
      <w:bookmarkEnd w:id="6"/>
      <w:hyperlink w:anchor="fn6">
        <w:r>
          <w:rPr>
            <w:rFonts w:eastAsia="inter" w:cs="inter" w:ascii="inter" w:hAnsi="inter"/>
            <w:color w:val="#000"/>
            <w:u w:val="single"/>
            <w:vertAlign w:val="superscript"/>
          </w:rPr>
          <w:t xml:space="preserve">[6]</w:t>
        </w:r>
      </w:hyperlink>
      <w:bookmarkStart w:id="7" w:name="fnref7"/>
      <w:bookmarkEnd w:id="7"/>
      <w:hyperlink w:anchor="fn7">
        <w:r>
          <w:rPr>
            <w:rFonts w:eastAsia="inter" w:cs="inter" w:ascii="inter" w:hAnsi="inter"/>
            <w:color w:val="#000"/>
            <w:u w:val="single"/>
            <w:vertAlign w:val="superscript"/>
          </w:rPr>
          <w:t xml:space="preserve">[7]</w:t>
        </w:r>
      </w:hyperlink>
      <w:bookmarkStart w:id="8" w:name="fnref4:1"/>
      <w:bookmarkEnd w:id="8"/>
      <w:hyperlink w:anchor="fn4">
        <w:r>
          <w:rPr>
            <w:rFonts w:eastAsia="inter" w:cs="inter" w:ascii="inter" w:hAnsi="inter"/>
            <w:color w:val="#000"/>
            <w:u w:val="single"/>
            <w:vertAlign w:val="superscript"/>
          </w:rPr>
          <w:t xml:space="preserve">[4]</w:t>
        </w:r>
      </w:hyperlink>
    </w:p>
    <w:p>
      <w:pPr>
        <w:spacing w:line="360" w:after="0" w:lineRule="auto"/>
        <w:jc w:val="center"/>
      </w:pPr>
      <w:r>
        <w:rPr>
          <w:rFonts w:eastAsia="inter" w:cs="inter" w:ascii="inter" w:hAnsi="inter"/>
          <w:color w:val="000000"/>
        </w:rPr>
        <w:drawing>
          <wp:inline distB="0" distL="0" distR="0" distT="0">
            <wp:extent cx="6038850" cy="4025900"/>
            <wp:effectExtent b="0" l="0" r="0" t="0"/>
            <wp:docPr id="2" name="image-313ed7081febacd1497627593672df16251ffad8.png"/>
            <a:graphic>
              <a:graphicData uri="http://schemas.openxmlformats.org/drawingml/2006/picture">
                <pic:pic>
                  <pic:nvPicPr>
                    <pic:cNvPr id="2" name="image-313ed7081febacd1497627593672df16251ffad8.png" descr=""/>
                    <pic:cNvPicPr/>
                  </pic:nvPicPr>
                  <pic:blipFill>
                    <a:blip r:embed="rId6"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Service Blueprint détaillé pour l'expérience client dans l'horlogerie de luxe, montrant les 5 niveaux d'analyse et 6 phases du parcours avec identification des pain points critiques et moments de vérité positifs</w:t>
      </w:r>
    </w:p>
    <w:p>
      <w:pPr>
        <w:spacing w:line="360" w:before="315" w:after="105" w:lineRule="auto"/>
        <w:ind w:left="-30"/>
        <w:jc w:val="left"/>
      </w:pPr>
      <w:r>
        <w:rPr>
          <w:rFonts w:eastAsia="inter" w:cs="inter" w:ascii="inter" w:hAnsi="inter"/>
          <w:b/>
          <w:color w:val="000000"/>
          <w:sz w:val="24"/>
        </w:rPr>
        <w:t xml:space="preserve">Architecture du Parcours Client : 18 Mois d'Expérience Premium</w:t>
      </w:r>
    </w:p>
    <w:p>
      <w:pPr>
        <w:spacing w:line="360" w:after="210" w:lineRule="auto"/>
      </w:pPr>
      <w:r>
        <w:rPr>
          <w:rFonts w:eastAsia="inter" w:cs="inter" w:ascii="inter" w:hAnsi="inter"/>
          <w:color w:val="000000"/>
        </w:rPr>
        <w:t xml:space="preserve">Le service blueprint révèle un parcours client sophistiqué s'étendant sur 18 mois, structuré en 6 phases critiques optimisées pour une clientèle exigeante (revenus &gt;150k CHF, acquisitions 20k-50k CHF).</w:t>
      </w:r>
    </w:p>
    <w:p>
      <w:pPr>
        <w:spacing w:line="360" w:after="210" w:lineRule="auto"/>
      </w:pPr>
      <w:r>
        <w:rPr>
          <w:rFonts w:eastAsia="inter" w:cs="inter" w:ascii="inter" w:hAnsi="inter"/>
          <w:b/>
          <w:color w:val="000000"/>
        </w:rPr>
        <w:t xml:space="preserve">Phase Découverte (0-3 mois)</w:t>
      </w:r>
      <w:r>
        <w:rPr>
          <w:rFonts w:eastAsia="inter" w:cs="inter" w:ascii="inter" w:hAnsi="inter"/>
          <w:color w:val="000000"/>
        </w:rPr>
        <w:br w:type="textWrapping"/>
      </w:r>
      <w:r>
        <w:rPr>
          <w:rFonts w:eastAsia="inter" w:cs="inter" w:ascii="inter" w:hAnsi="inter"/>
          <w:color w:val="000000"/>
        </w:rPr>
        <w:t xml:space="preserve">Cette phase initiale capitalise sur l'aspiration et l'inspiration client. Les marques investissent massivement dans le content marketing premium et les événements exclusifs pour créer le désir initial. L'evidence physique comprend publicités dans magazines de prestige, contenus Instagram soigneusement orchestrés et sites web vitrines immersifs.</w:t>
      </w:r>
      <w:bookmarkStart w:id="9" w:name="fnref1:1"/>
      <w:bookmarkEnd w:id="9"/>
      <w:hyperlink w:anchor="fn1">
        <w:r>
          <w:rPr>
            <w:rFonts w:eastAsia="inter" w:cs="inter" w:ascii="inter" w:hAnsi="inter"/>
            <w:color w:val="#000"/>
            <w:u w:val="single"/>
            <w:vertAlign w:val="superscript"/>
          </w:rPr>
          <w:t xml:space="preserve">[1]</w:t>
        </w:r>
      </w:hyperlink>
      <w:bookmarkStart w:id="10" w:name="fnref7:1"/>
      <w:bookmarkEnd w:id="10"/>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b/>
          <w:color w:val="000000"/>
        </w:rPr>
        <w:t xml:space="preserve">Phase Considération (3-6 mois)</w:t>
      </w:r>
      <w:r>
        <w:rPr>
          <w:rFonts w:eastAsia="inter" w:cs="inter" w:ascii="inter" w:hAnsi="inter"/>
          <w:color w:val="000000"/>
        </w:rPr>
        <w:br w:type="textWrapping"/>
      </w:r>
      <w:r>
        <w:rPr>
          <w:rFonts w:eastAsia="inter" w:cs="inter" w:ascii="inter" w:hAnsi="inter"/>
          <w:color w:val="000000"/>
        </w:rPr>
        <w:t xml:space="preserve">La différenciation s'opère via les consultations virtuelles personnalisées et configurateurs 3D interactifs. Les marques déploient des showrooms privés et des expériences de storytelling pour éduquer et convaincre une clientèle informée. Cette phase révèle l'importance cruciale de la formation des conseillers pour maintenir l'excellence relationnelle.</w:t>
      </w:r>
      <w:bookmarkStart w:id="11" w:name="fnref6:1"/>
      <w:bookmarkEnd w:id="11"/>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Phase Essayage (6-9 mois)</w:t>
      </w:r>
      <w:r>
        <w:rPr>
          <w:rFonts w:eastAsia="inter" w:cs="inter" w:ascii="inter" w:hAnsi="inter"/>
          <w:color w:val="000000"/>
        </w:rPr>
        <w:br w:type="textWrapping"/>
      </w:r>
      <w:r>
        <w:rPr>
          <w:rFonts w:eastAsia="inter" w:cs="inter" w:ascii="inter" w:hAnsi="inter"/>
          <w:color w:val="000000"/>
        </w:rPr>
        <w:t xml:space="preserve">L'expérience tactile reste irremplaçable dans l'horlogerie de luxe. L'accueil boutique VIP, les présentations individualisées et démonstrations techniques constituent les moments de vérité décisifs. L'intégration des technologies AR pour l'essayage virtuel commence à compléter l'expérience physique traditionnelle.</w:t>
      </w:r>
    </w:p>
    <w:p>
      <w:pPr>
        <w:spacing w:line="360" w:after="0" w:lineRule="auto"/>
        <w:jc w:val="center"/>
      </w:pPr>
      <w:r>
        <w:rPr>
          <w:rFonts w:eastAsia="inter" w:cs="inter" w:ascii="inter" w:hAnsi="inter"/>
          <w:color w:val="000000"/>
        </w:rPr>
        <w:drawing>
          <wp:inline distB="0" distL="0" distR="0" distT="0">
            <wp:extent cx="6038850" cy="4025900"/>
            <wp:effectExtent b="0" l="0" r="0" t="0"/>
            <wp:docPr id="3" name="image-3aabde402fb28ac4c196f2462249dd078174d5de.png"/>
            <a:graphic>
              <a:graphicData uri="http://schemas.openxmlformats.org/drawingml/2006/picture">
                <pic:pic>
                  <pic:nvPicPr>
                    <pic:cNvPr id="3" name="image-3aabde402fb28ac4c196f2462249dd078174d5de.png" descr=""/>
                    <pic:cNvPicPr/>
                  </pic:nvPicPr>
                  <pic:blipFill>
                    <a:blip r:embed="rId7"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Infographie professionnelle du service blueprint pour l'expérience client horlogerie de luxe</w:t>
      </w:r>
    </w:p>
    <w:p>
      <w:pPr>
        <w:spacing w:line="360" w:before="315" w:after="105" w:lineRule="auto"/>
        <w:ind w:left="-30"/>
        <w:jc w:val="left"/>
      </w:pPr>
      <w:r>
        <w:rPr>
          <w:rFonts w:eastAsia="inter" w:cs="inter" w:ascii="inter" w:hAnsi="inter"/>
          <w:b/>
          <w:color w:val="000000"/>
          <w:sz w:val="24"/>
        </w:rPr>
        <w:t xml:space="preserve">Points de Friction Critiques et Opportunités d'Optimisation</w:t>
      </w:r>
    </w:p>
    <w:p>
      <w:pPr>
        <w:spacing w:line="360" w:after="210" w:lineRule="auto"/>
      </w:pPr>
      <w:r>
        <w:rPr>
          <w:rFonts w:eastAsia="inter" w:cs="inter" w:ascii="inter" w:hAnsi="inter"/>
          <w:b/>
          <w:color w:val="000000"/>
        </w:rPr>
        <w:t xml:space="preserve">Pain Points Majeurs Identifiés</w:t>
      </w:r>
    </w:p>
    <w:p>
      <w:pPr>
        <w:spacing w:line="360" w:after="210" w:lineRule="auto"/>
      </w:pPr>
      <w:r>
        <w:rPr>
          <w:rFonts w:eastAsia="inter" w:cs="inter" w:ascii="inter" w:hAnsi="inter"/>
          <w:color w:val="000000"/>
        </w:rPr>
        <w:t xml:space="preserve">L'analyse révèle trois zones de friction principales impactant significativement l'expérience client. Les délais d'attente sur listes pour les modèles iconiques (6-24 mois) créent frustration et risque d'attrition. La fragmentation informationnelle entre canaux online/offline génère confusion et inefficacité commerciale. L'accessibilité limitée des boutiques, concentrées dans les centres urbains, exclut une partie significative de la clientèle potentielle.</w:t>
      </w:r>
      <w:bookmarkStart w:id="12" w:name="fnref8"/>
      <w:bookmarkEnd w:id="12"/>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Moments de Vérité Positifs Différenciants</w:t>
      </w:r>
    </w:p>
    <w:p>
      <w:pPr>
        <w:spacing w:line="360" w:after="210" w:lineRule="auto"/>
      </w:pPr>
      <w:r>
        <w:rPr>
          <w:rFonts w:eastAsia="inter" w:cs="inter" w:ascii="inter" w:hAnsi="inter"/>
          <w:color w:val="000000"/>
        </w:rPr>
        <w:t xml:space="preserve">L'excellence reconnue s'appuie sur trois piliers fondamentaux. L'héritage et storytelling authentique des savoir-faire créent une connexion émotionnelle durable. La gestion contrôlée de l'exclusivité transforme la rareté en désirabilité accrue. Les services concierge premium pour la clientèle VIP établissent des standards d'attention personnalisée inégalés.</w:t>
      </w:r>
      <w:bookmarkStart w:id="13" w:name="fnref9"/>
      <w:bookmarkEnd w:id="13"/>
      <w:hyperlink w:anchor="fn9">
        <w:r>
          <w:rPr>
            <w:rFonts w:eastAsia="inter" w:cs="inter" w:ascii="inter" w:hAnsi="inter"/>
            <w:color w:val="#000"/>
            <w:u w:val="single"/>
            <w:vertAlign w:val="superscript"/>
          </w:rPr>
          <w:t xml:space="preserve">[9]</w:t>
        </w:r>
      </w:hyperlink>
      <w:bookmarkStart w:id="14" w:name="fnref7:2"/>
      <w:bookmarkEnd w:id="14"/>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r>
        <w:rPr>
          <w:rFonts w:eastAsia="inter" w:cs="inter" w:ascii="inter" w:hAnsi="inter"/>
          <w:b/>
          <w:color w:val="000000"/>
          <w:sz w:val="24"/>
        </w:rPr>
        <w:t xml:space="preserve">Roadmap d'Innovation Technologique</w:t>
      </w:r>
    </w:p>
    <w:p>
      <w:pPr>
        <w:spacing w:line="360" w:after="210" w:lineRule="auto"/>
      </w:pPr>
      <w:r>
        <w:rPr>
          <w:rFonts w:eastAsia="inter" w:cs="inter" w:ascii="inter" w:hAnsi="inter"/>
          <w:b/>
          <w:color w:val="000000"/>
        </w:rPr>
        <w:t xml:space="preserve">Quick Wins Immédiats (3-6 mois)</w:t>
      </w:r>
    </w:p>
    <w:p>
      <w:pPr>
        <w:spacing w:line="360" w:after="210" w:lineRule="auto"/>
      </w:pPr>
      <w:r>
        <w:rPr>
          <w:rFonts w:eastAsia="inter" w:cs="inter" w:ascii="inter" w:hAnsi="inter"/>
          <w:color w:val="000000"/>
        </w:rPr>
        <w:t xml:space="preserve">L'optimisation mobile-first des configurateurs produits et l'implémentation d'Apple Pay/Google Pay promettent +15% de conversion mobile. Le programme VIP digital avec accès privilégié et consultations vidéo expert génère +25% de rétention clientèle premium. La transparency pricing avec publication des tarifs officiels et calculateur de financement intégré augmente de +30% la génération de leads qualifiés.</w:t>
      </w:r>
    </w:p>
    <w:p>
      <w:pPr>
        <w:spacing w:line="360" w:after="210" w:lineRule="auto"/>
      </w:pPr>
      <w:r>
        <w:rPr>
          <w:rFonts w:eastAsia="inter" w:cs="inter" w:ascii="inter" w:hAnsi="inter"/>
          <w:b/>
          <w:color w:val="000000"/>
        </w:rPr>
        <w:t xml:space="preserve">Innovations Moyen Terme (6-12 mois)</w:t>
      </w:r>
    </w:p>
    <w:p>
      <w:pPr>
        <w:spacing w:line="360" w:after="210" w:lineRule="auto"/>
      </w:pPr>
      <w:r>
        <w:rPr>
          <w:rFonts w:eastAsia="inter" w:cs="inter" w:ascii="inter" w:hAnsi="inter"/>
          <w:color w:val="000000"/>
        </w:rPr>
        <w:t xml:space="preserve">L'écosystème AR/VR avec try-on virtuel haute fidélité et showrooms virtuels 360° nécessite un investissement de 500k-1M CHF mais révolutionne l'expérience d'essayage. L'IA conversationnelle avec assistant virtuel expert et recommandations temps réel (investissement 300-500k CHF) optimise la relation client 24/7.</w:t>
      </w:r>
    </w:p>
    <w:p>
      <w:pPr>
        <w:spacing w:line="360" w:after="210" w:lineRule="auto"/>
      </w:pPr>
      <w:r>
        <w:rPr>
          <w:rFonts w:eastAsia="inter" w:cs="inter" w:ascii="inter" w:hAnsi="inter"/>
          <w:b/>
          <w:color w:val="000000"/>
        </w:rPr>
        <w:t xml:space="preserve">Vision Long Terme (12-24 mois)</w:t>
      </w:r>
    </w:p>
    <w:p>
      <w:pPr>
        <w:spacing w:line="360" w:after="210" w:lineRule="auto"/>
      </w:pPr>
      <w:r>
        <w:rPr>
          <w:rFonts w:eastAsia="inter" w:cs="inter" w:ascii="inter" w:hAnsi="inter"/>
          <w:color w:val="000000"/>
        </w:rPr>
        <w:t xml:space="preserve">La plateforme metavers avec boutique virtuelle exclusive et événements communauté digitale (investissement 1-2M CHF) positionne la marque à l'avant-garde. La blockchain authenticity avec passeports numériques et marketplace occasion certifiée (800k-1.5M CHF) sécurise l'écosystème et combat la contrefaçon.</w:t>
      </w:r>
      <w:bookmarkStart w:id="15" w:name="fnref10"/>
      <w:bookmarkEnd w:id="15"/>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r>
        <w:rPr>
          <w:rFonts w:eastAsia="inter" w:cs="inter" w:ascii="inter" w:hAnsi="inter"/>
          <w:b/>
          <w:color w:val="000000"/>
          <w:sz w:val="24"/>
        </w:rPr>
        <w:t xml:space="preserve">Métriques de Performance et ROI Projeté</w:t>
      </w:r>
    </w:p>
    <w:p>
      <w:pPr>
        <w:spacing w:line="360" w:after="210" w:lineRule="auto"/>
      </w:pPr>
      <w:r>
        <w:rPr>
          <w:rFonts w:eastAsia="inter" w:cs="inter" w:ascii="inter" w:hAnsi="inter"/>
          <w:color w:val="000000"/>
        </w:rPr>
        <w:t xml:space="preserve">Le framework de mesure articule trois dimensions essentielles : performance commerciale, expérience client et innovation digitale. Les objectifs incluent +20% de taux de conversion par canal annuel, Net Promoter Score &gt;70 (excellent), et réduction du cycle d'achat de 6 à 4 mois.</w:t>
      </w:r>
    </w:p>
    <w:p>
      <w:pPr>
        <w:spacing w:line="360" w:after="210" w:lineRule="auto"/>
      </w:pPr>
      <w:r>
        <w:rPr>
          <w:rFonts w:eastAsia="inter" w:cs="inter" w:ascii="inter" w:hAnsi="inter"/>
          <w:color w:val="000000"/>
        </w:rPr>
        <w:t xml:space="preserve">L'implémentation du programme VIP digital, avec un investissement de 300k CHF, projette un retour sur investissement en 12-15 mois grâce à +25% de rétention VIP et +30% de hausse de fréquence d'achat.</w:t>
      </w:r>
    </w:p>
    <w:p>
      <w:pPr>
        <w:spacing w:line="360" w:after="210" w:lineRule="auto"/>
      </w:pPr>
      <w:r>
        <w:rPr>
          <w:rFonts w:eastAsia="inter" w:cs="inter" w:ascii="inter" w:hAnsi="inter"/>
          <w:color w:val="000000"/>
        </w:rPr>
        <w:t xml:space="preserve">Cette transformation digitale de l'expérience client dans l'horlogerie de luxe réconcilie tradition et modernité, créant un avantage concurrentiel durable par l'excellence opérationnelle et l'innovation technologique maîtrisée. Le service blueprint constitue le guide stratégique pour naviguer cette évolution tout en préservant les valeurs fondamentales qui définissent l'excellence horlogère suisse.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6" w:name="fn1"/>
    <w:bookmarkEnd w:id="16"/>
    <w:p>
      <w:pPr>
        <w:numPr>
          <w:ilvl w:val="0"/>
          <w:numId w:val="2"/>
        </w:numPr>
        <w:spacing w:line="360" w:after="210" w:lineRule="auto"/>
      </w:pPr>
      <w:hyperlink r:id="rId8">
        <w:r>
          <w:rPr>
            <w:rFonts w:eastAsia="inter" w:cs="inter" w:ascii="inter" w:hAnsi="inter"/>
            <w:color w:val="#000"/>
            <w:sz w:val="18"/>
            <w:u w:val="single"/>
          </w:rPr>
          <w:t xml:space="preserve">https://www.historyofluxury.com/articles/luxury-customer-experience-essentials/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 w:name="fn2"/>
    <w:bookmarkEnd w:id="17"/>
    <w:p>
      <w:pPr>
        <w:numPr>
          <w:ilvl w:val="0"/>
          <w:numId w:val="2"/>
        </w:numPr>
        <w:spacing w:line="360" w:after="210" w:lineRule="auto"/>
      </w:pPr>
      <w:hyperlink r:id="rId9">
        <w:r>
          <w:rPr>
            <w:rFonts w:eastAsia="inter" w:cs="inter" w:ascii="inter" w:hAnsi="inter"/>
            <w:color w:val="#000"/>
            <w:sz w:val="18"/>
            <w:u w:val="single"/>
          </w:rPr>
          <w:t xml:space="preserve">https://eminence.ch/en/rolex-case-study/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 w:name="fn3"/>
    <w:bookmarkEnd w:id="18"/>
    <w:p>
      <w:pPr>
        <w:numPr>
          <w:ilvl w:val="0"/>
          <w:numId w:val="2"/>
        </w:numPr>
        <w:spacing w:line="360" w:after="210" w:lineRule="auto"/>
      </w:pPr>
      <w:hyperlink r:id="rId10">
        <w:r>
          <w:rPr>
            <w:rFonts w:eastAsia="inter" w:cs="inter" w:ascii="inter" w:hAnsi="inter"/>
            <w:color w:val="#000"/>
            <w:sz w:val="18"/>
            <w:u w:val="single"/>
          </w:rPr>
          <w:t xml:space="preserve">https://luxurysociety.com/en/how-rolex-revamping-its-digital-channels-3-marketing-innovations-not-miss/</w:t>
        </w:r>
      </w:hyperlink>
      <w:r>
        <w:rPr>
          <w:rFonts w:eastAsia="inter" w:cs="inter" w:ascii="inter" w:hAnsi="inter"/>
          <w:color w:val="000000"/>
          <w:sz w:val="18"/>
        </w:rPr>
        <w:t xml:space="preserve"> </w:t>
      </w:r>
    </w:p>
    <w:bookmarkStart w:id="19" w:name="fn4"/>
    <w:bookmarkEnd w:id="19"/>
    <w:p>
      <w:pPr>
        <w:numPr>
          <w:ilvl w:val="0"/>
          <w:numId w:val="2"/>
        </w:numPr>
        <w:spacing w:line="360" w:after="210" w:lineRule="auto"/>
      </w:pPr>
      <w:hyperlink r:id="rId11">
        <w:r>
          <w:rPr>
            <w:rFonts w:eastAsia="inter" w:cs="inter" w:ascii="inter" w:hAnsi="inter"/>
            <w:color w:val="#000"/>
            <w:sz w:val="18"/>
            <w:u w:val="single"/>
          </w:rPr>
          <w:t xml:space="preserve">https://retail-focus.co.uk/business-growth-through-digital-transformation-the-case-of-premium-and-luxury-brands/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0" w:name="fn5"/>
    <w:bookmarkEnd w:id="20"/>
    <w:p>
      <w:pPr>
        <w:numPr>
          <w:ilvl w:val="0"/>
          <w:numId w:val="2"/>
        </w:numPr>
        <w:spacing w:line="360" w:after="210" w:lineRule="auto"/>
      </w:pPr>
      <w:hyperlink r:id="rId12">
        <w:r>
          <w:rPr>
            <w:rFonts w:eastAsia="inter" w:cs="inter" w:ascii="inter" w:hAnsi="inter"/>
            <w:color w:val="#000"/>
            <w:sz w:val="18"/>
            <w:u w:val="single"/>
          </w:rPr>
          <w:t xml:space="preserve">https://www.ommax.com/en/insights/industry-insights/the-future-of-luxury-e-commerce/</w:t>
        </w:r>
      </w:hyperlink>
      <w:r>
        <w:rPr>
          <w:rFonts w:eastAsia="inter" w:cs="inter" w:ascii="inter" w:hAnsi="inter"/>
          <w:color w:val="000000"/>
          <w:sz w:val="18"/>
        </w:rPr>
        <w:t xml:space="preserve"> </w:t>
      </w:r>
    </w:p>
    <w:bookmarkStart w:id="21" w:name="fn6"/>
    <w:bookmarkEnd w:id="21"/>
    <w:p>
      <w:pPr>
        <w:numPr>
          <w:ilvl w:val="0"/>
          <w:numId w:val="2"/>
        </w:numPr>
        <w:spacing w:line="360" w:after="210" w:lineRule="auto"/>
      </w:pPr>
      <w:hyperlink r:id="rId13">
        <w:r>
          <w:rPr>
            <w:rFonts w:eastAsia="inter" w:cs="inter" w:ascii="inter" w:hAnsi="inter"/>
            <w:color w:val="#000"/>
            <w:sz w:val="18"/>
            <w:u w:val="single"/>
          </w:rPr>
          <w:t xml:space="preserve">https://bestwallclock.com/the-complete-guide-to-rolexs-digital-era-transformation-with-wall-clocks-4/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2" w:name="fn7"/>
    <w:bookmarkEnd w:id="22"/>
    <w:p>
      <w:pPr>
        <w:numPr>
          <w:ilvl w:val="0"/>
          <w:numId w:val="2"/>
        </w:numPr>
        <w:spacing w:line="360" w:after="210" w:lineRule="auto"/>
      </w:pPr>
      <w:hyperlink r:id="rId14">
        <w:r>
          <w:rPr>
            <w:rFonts w:eastAsia="inter" w:cs="inter" w:ascii="inter" w:hAnsi="inter"/>
            <w:color w:val="#000"/>
            <w:sz w:val="18"/>
            <w:u w:val="single"/>
          </w:rPr>
          <w:t xml:space="preserve">https://www.journalduluxe.fr/fr/montres-joaillerie/wands-marques-horlogeres-experience-client-360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 w:name="fn8"/>
    <w:bookmarkEnd w:id="23"/>
    <w:p>
      <w:pPr>
        <w:numPr>
          <w:ilvl w:val="0"/>
          <w:numId w:val="2"/>
        </w:numPr>
        <w:spacing w:line="360" w:after="210" w:lineRule="auto"/>
      </w:pPr>
      <w:hyperlink r:id="rId15">
        <w:r>
          <w:rPr>
            <w:rFonts w:eastAsia="inter" w:cs="inter" w:ascii="inter" w:hAnsi="inter"/>
            <w:color w:val="#000"/>
            <w:sz w:val="18"/>
            <w:u w:val="single"/>
          </w:rPr>
          <w:t xml:space="preserve">https://colombus-consulting.com/digitalisation-de-la-relation-client-des-horlogers-suisses/</w:t>
        </w:r>
      </w:hyperlink>
      <w:r>
        <w:rPr>
          <w:rFonts w:eastAsia="inter" w:cs="inter" w:ascii="inter" w:hAnsi="inter"/>
          <w:color w:val="000000"/>
          <w:sz w:val="18"/>
        </w:rPr>
        <w:t xml:space="preserve"> </w:t>
      </w:r>
    </w:p>
    <w:bookmarkStart w:id="24" w:name="fn9"/>
    <w:bookmarkEnd w:id="24"/>
    <w:p>
      <w:pPr>
        <w:numPr>
          <w:ilvl w:val="0"/>
          <w:numId w:val="2"/>
        </w:numPr>
        <w:spacing w:line="360" w:after="210" w:lineRule="auto"/>
      </w:pPr>
      <w:hyperlink r:id="rId16">
        <w:r>
          <w:rPr>
            <w:rFonts w:eastAsia="inter" w:cs="inter" w:ascii="inter" w:hAnsi="inter"/>
            <w:color w:val="#000"/>
            <w:sz w:val="18"/>
            <w:u w:val="single"/>
          </w:rPr>
          <w:t xml:space="preserve">https://www.luxeconsult.ch/creation-de-valeur</w:t>
        </w:r>
      </w:hyperlink>
      <w:r>
        <w:rPr>
          <w:rFonts w:eastAsia="inter" w:cs="inter" w:ascii="inter" w:hAnsi="inter"/>
          <w:color w:val="000000"/>
          <w:sz w:val="18"/>
        </w:rPr>
        <w:t xml:space="preserve"> </w:t>
      </w:r>
    </w:p>
    <w:bookmarkStart w:id="25" w:name="fn10"/>
    <w:bookmarkEnd w:id="25"/>
    <w:p>
      <w:pPr>
        <w:numPr>
          <w:ilvl w:val="0"/>
          <w:numId w:val="2"/>
        </w:numPr>
        <w:spacing w:line="360" w:after="210" w:lineRule="auto"/>
      </w:pPr>
      <w:hyperlink r:id="rId17">
        <w:r>
          <w:rPr>
            <w:rFonts w:eastAsia="inter" w:cs="inter" w:ascii="inter" w:hAnsi="inter"/>
            <w:color w:val="#000"/>
            <w:sz w:val="18"/>
            <w:u w:val="single"/>
          </w:rPr>
          <w:t xml:space="preserve">https://www.montres-de-luxe.com/Etude-horlogerie-suisse-et-digitalisation-de-la-relation-client_a17478.html</w:t>
        </w:r>
      </w:hyperlink>
      <w:r>
        <w:rPr>
          <w:rFonts w:eastAsia="inter" w:cs="inter" w:ascii="inter" w:hAnsi="inter"/>
          <w:color w:val="000000"/>
          <w:sz w:val="18"/>
        </w:rPr>
        <w:t xml:space="preserve"> </w:t>
      </w:r>
    </w:p>
    <w:bookmarkStart w:id="26" w:name="fn11"/>
    <w:bookmarkEnd w:id="26"/>
    <w:p>
      <w:pPr>
        <w:numPr>
          <w:ilvl w:val="0"/>
          <w:numId w:val="2"/>
        </w:numPr>
        <w:spacing w:line="360" w:after="210" w:lineRule="auto"/>
      </w:pPr>
      <w:hyperlink r:id="rId18">
        <w:r>
          <w:rPr>
            <w:rFonts w:eastAsia="inter" w:cs="inter" w:ascii="inter" w:hAnsi="inter"/>
            <w:color w:val="#000"/>
            <w:sz w:val="18"/>
            <w:u w:val="single"/>
          </w:rPr>
          <w:t xml:space="preserve">https://miro.com/customer-journey-map/examples/</w:t>
        </w:r>
      </w:hyperlink>
      <w:r>
        <w:rPr>
          <w:rFonts w:eastAsia="inter" w:cs="inter" w:ascii="inter" w:hAnsi="inter"/>
          <w:color w:val="000000"/>
          <w:sz w:val="18"/>
        </w:rPr>
        <w:t xml:space="preserve"> </w:t>
      </w:r>
    </w:p>
    <w:bookmarkStart w:id="27" w:name="fn12"/>
    <w:bookmarkEnd w:id="27"/>
    <w:p>
      <w:pPr>
        <w:numPr>
          <w:ilvl w:val="0"/>
          <w:numId w:val="2"/>
        </w:numPr>
        <w:spacing w:line="360" w:after="210" w:lineRule="auto"/>
      </w:pPr>
      <w:hyperlink r:id="rId19">
        <w:r>
          <w:rPr>
            <w:rFonts w:eastAsia="inter" w:cs="inter" w:ascii="inter" w:hAnsi="inter"/>
            <w:color w:val="#000"/>
            <w:sz w:val="18"/>
            <w:u w:val="single"/>
          </w:rPr>
          <w:t xml:space="preserve">https://www.linkedin.com/pulse/opportunities-challenges-digital-marketing-case-rolex-amaricai-3p6oe</w:t>
        </w:r>
      </w:hyperlink>
      <w:r>
        <w:rPr>
          <w:rFonts w:eastAsia="inter" w:cs="inter" w:ascii="inter" w:hAnsi="inter"/>
          <w:color w:val="000000"/>
          <w:sz w:val="18"/>
        </w:rPr>
        <w:t xml:space="preserve"> </w:t>
      </w:r>
    </w:p>
    <w:bookmarkStart w:id="28" w:name="fn13"/>
    <w:bookmarkEnd w:id="28"/>
    <w:p>
      <w:pPr>
        <w:numPr>
          <w:ilvl w:val="0"/>
          <w:numId w:val="2"/>
        </w:numPr>
        <w:spacing w:line="360" w:after="210" w:lineRule="auto"/>
      </w:pPr>
      <w:hyperlink r:id="rId20">
        <w:r>
          <w:rPr>
            <w:rFonts w:eastAsia="inter" w:cs="inter" w:ascii="inter" w:hAnsi="inter"/>
            <w:color w:val="#000"/>
            <w:sz w:val="18"/>
            <w:u w:val="single"/>
          </w:rPr>
          <w:t xml:space="preserve">https://www.smaply.com/blog/customer-journey-luxury-brands</w:t>
        </w:r>
      </w:hyperlink>
      <w:r>
        <w:rPr>
          <w:rFonts w:eastAsia="inter" w:cs="inter" w:ascii="inter" w:hAnsi="inter"/>
          <w:color w:val="000000"/>
          <w:sz w:val="18"/>
        </w:rPr>
        <w:t xml:space="preserve"> </w:t>
      </w:r>
    </w:p>
    <w:bookmarkStart w:id="29" w:name="fn14"/>
    <w:bookmarkEnd w:id="29"/>
    <w:p>
      <w:pPr>
        <w:numPr>
          <w:ilvl w:val="0"/>
          <w:numId w:val="2"/>
        </w:numPr>
        <w:spacing w:line="360" w:after="210" w:lineRule="auto"/>
      </w:pPr>
      <w:hyperlink r:id="rId21">
        <w:r>
          <w:rPr>
            <w:rFonts w:eastAsia="inter" w:cs="inter" w:ascii="inter" w:hAnsi="inter"/>
            <w:color w:val="#000"/>
            <w:sz w:val="18"/>
            <w:u w:val="single"/>
          </w:rPr>
          <w:t xml:space="preserve">https://www.nngroup.com/articles/journey-mapping-101/</w:t>
        </w:r>
      </w:hyperlink>
      <w:r>
        <w:rPr>
          <w:rFonts w:eastAsia="inter" w:cs="inter" w:ascii="inter" w:hAnsi="inter"/>
          <w:color w:val="000000"/>
          <w:sz w:val="18"/>
        </w:rPr>
        <w:t xml:space="preserve"> </w:t>
      </w:r>
    </w:p>
    <w:bookmarkStart w:id="30" w:name="fn15"/>
    <w:bookmarkEnd w:id="30"/>
    <w:p>
      <w:pPr>
        <w:numPr>
          <w:ilvl w:val="0"/>
          <w:numId w:val="2"/>
        </w:numPr>
        <w:spacing w:line="360" w:after="210" w:lineRule="auto"/>
      </w:pPr>
      <w:hyperlink r:id="rId22">
        <w:r>
          <w:rPr>
            <w:rFonts w:eastAsia="inter" w:cs="inter" w:ascii="inter" w:hAnsi="inter"/>
            <w:color w:val="#000"/>
            <w:sz w:val="18"/>
            <w:u w:val="single"/>
          </w:rPr>
          <w:t xml:space="preserve">https://www.ictjournal.ch/articles/2016-05-30/la-mecanique-digitale-des-marques-de-luxe</w:t>
        </w:r>
      </w:hyperlink>
      <w:r>
        <w:rPr>
          <w:rFonts w:eastAsia="inter" w:cs="inter" w:ascii="inter" w:hAnsi="inter"/>
          <w:color w:val="000000"/>
          <w:sz w:val="18"/>
        </w:rPr>
        <w:t xml:space="preserve"> </w:t>
      </w:r>
    </w:p>
    <w:bookmarkStart w:id="31" w:name="fn16"/>
    <w:bookmarkEnd w:id="31"/>
    <w:p>
      <w:pPr>
        <w:numPr>
          <w:ilvl w:val="0"/>
          <w:numId w:val="2"/>
        </w:numPr>
        <w:spacing w:line="360" w:after="210" w:lineRule="auto"/>
      </w:pPr>
      <w:hyperlink r:id="rId23">
        <w:r>
          <w:rPr>
            <w:rFonts w:eastAsia="inter" w:cs="inter" w:ascii="inter" w:hAnsi="inter"/>
            <w:color w:val="#000"/>
            <w:sz w:val="18"/>
            <w:u w:val="single"/>
          </w:rPr>
          <w:t xml:space="preserve">https://www.renascence.io/journal/how-rolex-enhances-customer-experience-cx-with-timeless-craftsmanship-and-bespoke-customer-care</w:t>
        </w:r>
      </w:hyperlink>
      <w:r>
        <w:rPr>
          <w:rFonts w:eastAsia="inter" w:cs="inter" w:ascii="inter" w:hAnsi="inter"/>
          <w:color w:val="000000"/>
          <w:sz w:val="18"/>
        </w:rPr>
        <w:t xml:space="preserve"> </w:t>
      </w:r>
    </w:p>
    <w:bookmarkStart w:id="32" w:name="fn17"/>
    <w:bookmarkEnd w:id="32"/>
    <w:p>
      <w:pPr>
        <w:numPr>
          <w:ilvl w:val="0"/>
          <w:numId w:val="2"/>
        </w:numPr>
        <w:spacing w:line="360" w:after="210" w:lineRule="auto"/>
      </w:pPr>
      <w:hyperlink r:id="rId24">
        <w:r>
          <w:rPr>
            <w:rFonts w:eastAsia="inter" w:cs="inter" w:ascii="inter" w:hAnsi="inter"/>
            <w:color w:val="#000"/>
            <w:sz w:val="18"/>
            <w:u w:val="single"/>
          </w:rPr>
          <w:t xml:space="preserve">https://www.linkedin.com/pulse/winning-luxury-customers-mapping-customer-experience-journey-jain-l3wic</w:t>
        </w:r>
      </w:hyperlink>
      <w:r>
        <w:rPr>
          <w:rFonts w:eastAsia="inter" w:cs="inter" w:ascii="inter" w:hAnsi="inter"/>
          <w:color w:val="000000"/>
          <w:sz w:val="18"/>
        </w:rPr>
        <w:t xml:space="preserve"> </w:t>
      </w:r>
    </w:p>
    <w:bookmarkStart w:id="33" w:name="fn18"/>
    <w:bookmarkEnd w:id="33"/>
    <w:p>
      <w:pPr>
        <w:numPr>
          <w:ilvl w:val="0"/>
          <w:numId w:val="2"/>
        </w:numPr>
        <w:spacing w:line="360" w:after="210" w:lineRule="auto"/>
      </w:pPr>
      <w:hyperlink r:id="rId25">
        <w:r>
          <w:rPr>
            <w:rFonts w:eastAsia="inter" w:cs="inter" w:ascii="inter" w:hAnsi="inter"/>
            <w:color w:val="#000"/>
            <w:sz w:val="18"/>
            <w:u w:val="single"/>
          </w:rPr>
          <w:t xml:space="preserve">https://business-essay.com/the-customer-experience-strategy-for-the-rolex-company/</w:t>
        </w:r>
      </w:hyperlink>
      <w:r>
        <w:rPr>
          <w:rFonts w:eastAsia="inter" w:cs="inter" w:ascii="inter" w:hAnsi="inter"/>
          <w:color w:val="000000"/>
          <w:sz w:val="18"/>
        </w:rPr>
        <w:t xml:space="preserve"> </w:t>
      </w:r>
    </w:p>
    <w:bookmarkStart w:id="34" w:name="fn19"/>
    <w:bookmarkEnd w:id="34"/>
    <w:p>
      <w:pPr>
        <w:numPr>
          <w:ilvl w:val="0"/>
          <w:numId w:val="2"/>
        </w:numPr>
        <w:spacing w:line="360" w:after="210" w:lineRule="auto"/>
      </w:pPr>
      <w:hyperlink r:id="rId26">
        <w:r>
          <w:rPr>
            <w:rFonts w:eastAsia="inter" w:cs="inter" w:ascii="inter" w:hAnsi="inter"/>
            <w:color w:val="#000"/>
            <w:sz w:val="18"/>
            <w:u w:val="single"/>
          </w:rPr>
          <w:t xml:space="preserve">https://hospitalityinsights.ehl.edu/customer-experience-and-luxury-watch-industry</w:t>
        </w:r>
      </w:hyperlink>
      <w:r>
        <w:rPr>
          <w:rFonts w:eastAsia="inter" w:cs="inter" w:ascii="inter" w:hAnsi="inter"/>
          <w:color w:val="000000"/>
          <w:sz w:val="18"/>
        </w:rPr>
        <w:t xml:space="preserve"> </w:t>
      </w:r>
    </w:p>
    <w:bookmarkStart w:id="35" w:name="fn20"/>
    <w:bookmarkEnd w:id="35"/>
    <w:p>
      <w:pPr>
        <w:numPr>
          <w:ilvl w:val="0"/>
          <w:numId w:val="2"/>
        </w:numPr>
        <w:spacing w:line="360" w:after="210" w:lineRule="auto"/>
      </w:pPr>
      <w:hyperlink r:id="rId27">
        <w:r>
          <w:rPr>
            <w:rFonts w:eastAsia="inter" w:cs="inter" w:ascii="inter" w:hAnsi="inter"/>
            <w:color w:val="#000"/>
            <w:sz w:val="18"/>
            <w:u w:val="single"/>
          </w:rPr>
          <w:t xml:space="preserve">https://ivmconcept.com</w:t>
        </w:r>
      </w:hyperlink>
      <w:r>
        <w:rPr>
          <w:rFonts w:eastAsia="inter" w:cs="inter" w:ascii="inter" w:hAnsi="inter"/>
          <w:color w:val="000000"/>
          <w:sz w:val="18"/>
        </w:rPr>
        <w:t xml:space="preserve"> </w:t>
      </w:r>
    </w:p>
    <w:bookmarkStart w:id="36" w:name="fn21"/>
    <w:bookmarkEnd w:id="36"/>
    <w:p>
      <w:pPr>
        <w:numPr>
          <w:ilvl w:val="0"/>
          <w:numId w:val="2"/>
        </w:numPr>
        <w:spacing w:line="360" w:after="210" w:lineRule="auto"/>
      </w:pPr>
      <w:hyperlink r:id="rId28">
        <w:r>
          <w:rPr>
            <w:rFonts w:eastAsia="inter" w:cs="inter" w:ascii="inter" w:hAnsi="inter"/>
            <w:color w:val="#000"/>
            <w:sz w:val="18"/>
            <w:u w:val="single"/>
          </w:rPr>
          <w:t xml:space="preserve">https://www.mckinsey.com/capabilities/mckinsey-design/how-we-help-clients/design-blog/luxury-of-time</w:t>
        </w:r>
      </w:hyperlink>
      <w:r>
        <w:rPr>
          <w:rFonts w:eastAsia="inter" w:cs="inter" w:ascii="inter" w:hAnsi="inter"/>
          <w:color w:val="000000"/>
          <w:sz w:val="18"/>
        </w:rPr>
        <w:t xml:space="preserve"> </w:t>
      </w:r>
    </w:p>
    <w:bookmarkStart w:id="37" w:name="fn22"/>
    <w:bookmarkEnd w:id="37"/>
    <w:p>
      <w:pPr>
        <w:numPr>
          <w:ilvl w:val="0"/>
          <w:numId w:val="2"/>
        </w:numPr>
        <w:spacing w:line="360" w:after="210" w:lineRule="auto"/>
      </w:pPr>
      <w:hyperlink r:id="rId29">
        <w:r>
          <w:rPr>
            <w:rFonts w:eastAsia="inter" w:cs="inter" w:ascii="inter" w:hAnsi="inter"/>
            <w:color w:val="#000"/>
            <w:sz w:val="18"/>
            <w:u w:val="single"/>
          </w:rPr>
          <w:t xml:space="preserve">https://www.meltwater.com/fr/blog/horlogerie-de-luxe</w:t>
        </w:r>
      </w:hyperlink>
      <w:r>
        <w:rPr>
          <w:rFonts w:eastAsia="inter" w:cs="inter" w:ascii="inter" w:hAnsi="inter"/>
          <w:color w:val="000000"/>
          <w:sz w:val="18"/>
        </w:rPr>
        <w:t xml:space="preserve"> </w:t>
      </w:r>
    </w:p>
    <w:bookmarkStart w:id="38" w:name="fn23"/>
    <w:bookmarkEnd w:id="38"/>
    <w:p>
      <w:pPr>
        <w:numPr>
          <w:ilvl w:val="0"/>
          <w:numId w:val="2"/>
        </w:numPr>
        <w:spacing w:line="360" w:after="210" w:lineRule="auto"/>
      </w:pPr>
      <w:hyperlink r:id="rId30">
        <w:r>
          <w:rPr>
            <w:rFonts w:eastAsia="inter" w:cs="inter" w:ascii="inter" w:hAnsi="inter"/>
            <w:color w:val="#000"/>
            <w:sz w:val="18"/>
            <w:u w:val="single"/>
          </w:rPr>
          <w:t xml:space="preserve">https://miro.com/fr/modeles/service blueprint/</w:t>
        </w:r>
      </w:hyperlink>
      <w:r>
        <w:rPr>
          <w:rFonts w:eastAsia="inter" w:cs="inter" w:ascii="inter" w:hAnsi="inter"/>
          <w:color w:val="000000"/>
          <w:sz w:val="18"/>
        </w:rPr>
        <w:t xml:space="preserve"> </w:t>
      </w:r>
    </w:p>
    <w:bookmarkStart w:id="39" w:name="fn24"/>
    <w:bookmarkEnd w:id="39"/>
    <w:p>
      <w:pPr>
        <w:numPr>
          <w:ilvl w:val="0"/>
          <w:numId w:val="2"/>
        </w:numPr>
        <w:spacing w:line="360" w:after="210" w:lineRule="auto"/>
      </w:pPr>
      <w:hyperlink r:id="rId31">
        <w:r>
          <w:rPr>
            <w:rFonts w:eastAsia="inter" w:cs="inter" w:ascii="inter" w:hAnsi="inter"/>
            <w:color w:val="#000"/>
            <w:sz w:val="18"/>
            <w:u w:val="single"/>
          </w:rPr>
          <w:t xml:space="preserve">https://inmoment.com/blog/customer-journey-mapping/</w:t>
        </w:r>
      </w:hyperlink>
      <w:r>
        <w:rPr>
          <w:rFonts w:eastAsia="inter" w:cs="inter" w:ascii="inter" w:hAnsi="inter"/>
          <w:color w:val="000000"/>
          <w:sz w:val="18"/>
        </w:rPr>
        <w:t xml:space="preserve"> </w:t>
      </w:r>
    </w:p>
    <w:bookmarkStart w:id="40" w:name="fn25"/>
    <w:bookmarkEnd w:id="40"/>
    <w:p>
      <w:pPr>
        <w:numPr>
          <w:ilvl w:val="0"/>
          <w:numId w:val="2"/>
        </w:numPr>
        <w:spacing w:line="360" w:after="210" w:lineRule="auto"/>
      </w:pPr>
      <w:hyperlink r:id="rId32">
        <w:r>
          <w:rPr>
            <w:rFonts w:eastAsia="inter" w:cs="inter" w:ascii="inter" w:hAnsi="inter"/>
            <w:color w:val="#000"/>
            <w:sz w:val="18"/>
            <w:u w:val="single"/>
          </w:rPr>
          <w:t xml:space="preserve">https://lagrandeourse.design/blog/outils/le-service-blueprint-outil-du-design-de-service/</w:t>
        </w:r>
      </w:hyperlink>
      <w:r>
        <w:rPr>
          <w:rFonts w:eastAsia="inter" w:cs="inter" w:ascii="inter" w:hAnsi="inter"/>
          <w:color w:val="000000"/>
          <w:sz w:val="18"/>
        </w:rPr>
        <w:t xml:space="preserve"> </w:t>
      </w:r>
    </w:p>
    <w:bookmarkStart w:id="41" w:name="fn26"/>
    <w:bookmarkEnd w:id="41"/>
    <w:p>
      <w:pPr>
        <w:numPr>
          <w:ilvl w:val="0"/>
          <w:numId w:val="2"/>
        </w:numPr>
        <w:spacing w:line="360" w:after="210" w:lineRule="auto"/>
      </w:pPr>
      <w:hyperlink r:id="rId33">
        <w:r>
          <w:rPr>
            <w:rFonts w:eastAsia="inter" w:cs="inter" w:ascii="inter" w:hAnsi="inter"/>
            <w:color w:val="#000"/>
            <w:sz w:val="18"/>
            <w:u w:val="single"/>
          </w:rPr>
          <w:t xml:space="preserve">https://www.digitalfirst.ai/blog/customer-journey-mapping</w:t>
        </w:r>
      </w:hyperlink>
      <w:r>
        <w:rPr>
          <w:rFonts w:eastAsia="inter" w:cs="inter" w:ascii="inter" w:hAnsi="inter"/>
          <w:color w:val="000000"/>
          <w:sz w:val="18"/>
        </w:rPr>
        <w:t xml:space="preserve"> </w:t>
      </w:r>
    </w:p>
    <w:bookmarkStart w:id="42" w:name="fn27"/>
    <w:bookmarkEnd w:id="42"/>
    <w:p>
      <w:pPr>
        <w:numPr>
          <w:ilvl w:val="0"/>
          <w:numId w:val="2"/>
        </w:numPr>
        <w:spacing w:line="360" w:after="210" w:lineRule="auto"/>
      </w:pPr>
      <w:hyperlink r:id="rId34">
        <w:r>
          <w:rPr>
            <w:rFonts w:eastAsia="inter" w:cs="inter" w:ascii="inter" w:hAnsi="inter"/>
            <w:color w:val="#000"/>
            <w:sz w:val="18"/>
            <w:u w:val="single"/>
          </w:rPr>
          <w:t xml:space="preserve">https://www.g-co.agency/insights/luxury-brands-in-2021-digital-marketing-and-customer-experience-cx</w:t>
        </w:r>
      </w:hyperlink>
      <w:r>
        <w:rPr>
          <w:rFonts w:eastAsia="inter" w:cs="inter" w:ascii="inter" w:hAnsi="inter"/>
          <w:color w:val="000000"/>
          <w:sz w:val="18"/>
        </w:rPr>
        <w:t xml:space="preserve"> </w:t>
      </w:r>
    </w:p>
    <w:bookmarkStart w:id="43" w:name="fn28"/>
    <w:bookmarkEnd w:id="43"/>
    <w:p>
      <w:pPr>
        <w:numPr>
          <w:ilvl w:val="0"/>
          <w:numId w:val="2"/>
        </w:numPr>
        <w:spacing w:line="360" w:after="210" w:lineRule="auto"/>
      </w:pPr>
      <w:hyperlink r:id="rId35">
        <w:r>
          <w:rPr>
            <w:rFonts w:eastAsia="inter" w:cs="inter" w:ascii="inter" w:hAnsi="inter"/>
            <w:color w:val="#000"/>
            <w:sz w:val="18"/>
            <w:u w:val="single"/>
          </w:rPr>
          <w:t xml:space="preserve">https://dribbble.com/tags/luxury-watch</w:t>
        </w:r>
      </w:hyperlink>
      <w:r>
        <w:rPr>
          <w:rFonts w:eastAsia="inter" w:cs="inter" w:ascii="inter" w:hAnsi="inter"/>
          <w:color w:val="000000"/>
          <w:sz w:val="18"/>
        </w:rPr>
        <w:t xml:space="preserve"> </w:t>
      </w:r>
    </w:p>
    <w:bookmarkStart w:id="44" w:name="fn29"/>
    <w:bookmarkEnd w:id="44"/>
    <w:p>
      <w:pPr>
        <w:numPr>
          <w:ilvl w:val="0"/>
          <w:numId w:val="2"/>
        </w:numPr>
        <w:spacing w:line="360" w:after="210" w:lineRule="auto"/>
      </w:pPr>
      <w:hyperlink r:id="rId36">
        <w:r>
          <w:rPr>
            <w:rFonts w:eastAsia="inter" w:cs="inter" w:ascii="inter" w:hAnsi="inter"/>
            <w:color w:val="#000"/>
            <w:sz w:val="18"/>
            <w:u w:val="single"/>
          </w:rPr>
          <w:t xml:space="preserve">https://insight7.io/how-to-identify-customer-journey-pain-points-effectively/</w:t>
        </w:r>
      </w:hyperlink>
      <w:r>
        <w:rPr>
          <w:rFonts w:eastAsia="inter" w:cs="inter" w:ascii="inter" w:hAnsi="inter"/>
          <w:color w:val="000000"/>
          <w:sz w:val="18"/>
        </w:rPr>
        <w:t xml:space="preserve"> </w:t>
      </w:r>
    </w:p>
    <w:bookmarkStart w:id="45" w:name="fn30"/>
    <w:bookmarkEnd w:id="45"/>
    <w:p>
      <w:pPr>
        <w:numPr>
          <w:ilvl w:val="0"/>
          <w:numId w:val="2"/>
        </w:numPr>
        <w:spacing w:line="360" w:after="210" w:lineRule="auto"/>
      </w:pPr>
      <w:hyperlink r:id="rId37">
        <w:r>
          <w:rPr>
            <w:rFonts w:eastAsia="inter" w:cs="inter" w:ascii="inter" w:hAnsi="inter"/>
            <w:color w:val="#000"/>
            <w:sz w:val="18"/>
            <w:u w:val="single"/>
          </w:rPr>
          <w:t xml:space="preserve">https://www.athensjournals.gr/business/2024-10-3-2-Bertrand.pdf</w:t>
        </w:r>
      </w:hyperlink>
      <w:r>
        <w:rPr>
          <w:rFonts w:eastAsia="inter" w:cs="inter" w:ascii="inter" w:hAnsi="inter"/>
          <w:color w:val="000000"/>
          <w:sz w:val="18"/>
        </w:rPr>
        <w:t xml:space="preserve"> </w:t>
      </w:r>
    </w:p>
    <w:bookmarkStart w:id="46" w:name="fn31"/>
    <w:bookmarkEnd w:id="46"/>
    <w:p>
      <w:pPr>
        <w:numPr>
          <w:ilvl w:val="0"/>
          <w:numId w:val="2"/>
        </w:numPr>
        <w:spacing w:line="360" w:after="210" w:lineRule="auto"/>
      </w:pPr>
      <w:hyperlink r:id="rId38">
        <w:r>
          <w:rPr>
            <w:rFonts w:eastAsia="inter" w:cs="inter" w:ascii="inter" w:hAnsi="inter"/>
            <w:color w:val="#000"/>
            <w:sz w:val="18"/>
            <w:u w:val="single"/>
          </w:rPr>
          <w:t xml:space="preserve">https://www.shutterstock.com/search/watch-blueprint</w:t>
        </w:r>
      </w:hyperlink>
      <w:r>
        <w:rPr>
          <w:rFonts w:eastAsia="inter" w:cs="inter" w:ascii="inter" w:hAnsi="inter"/>
          <w:color w:val="000000"/>
          <w:sz w:val="18"/>
        </w:rPr>
        <w:t xml:space="preserve"> </w:t>
      </w:r>
    </w:p>
    <w:bookmarkStart w:id="47" w:name="fn32"/>
    <w:bookmarkEnd w:id="47"/>
    <w:p>
      <w:pPr>
        <w:numPr>
          <w:ilvl w:val="0"/>
          <w:numId w:val="2"/>
        </w:numPr>
        <w:spacing w:line="360" w:after="210" w:lineRule="auto"/>
      </w:pPr>
      <w:hyperlink r:id="rId39">
        <w:r>
          <w:rPr>
            <w:rFonts w:eastAsia="inter" w:cs="inter" w:ascii="inter" w:hAnsi="inter"/>
            <w:color w:val="#000"/>
            <w:sz w:val="18"/>
            <w:u w:val="single"/>
          </w:rPr>
          <w:t xml:space="preserve">https://contentsquare.com/guides/customer-journey-map/examples/</w:t>
        </w:r>
      </w:hyperlink>
      <w:r>
        <w:rPr>
          <w:rFonts w:eastAsia="inter" w:cs="inter" w:ascii="inter" w:hAnsi="inter"/>
          <w:color w:val="000000"/>
          <w:sz w:val="18"/>
        </w:rPr>
        <w:t xml:space="preserve"> </w:t>
      </w:r>
    </w:p>
    <w:bookmarkStart w:id="48" w:name="fn33"/>
    <w:bookmarkEnd w:id="48"/>
    <w:p>
      <w:pPr>
        <w:numPr>
          <w:ilvl w:val="0"/>
          <w:numId w:val="2"/>
        </w:numPr>
        <w:spacing w:line="360" w:after="210" w:lineRule="auto"/>
      </w:pPr>
      <w:hyperlink r:id="rId40">
        <w:r>
          <w:rPr>
            <w:rFonts w:eastAsia="inter" w:cs="inter" w:ascii="inter" w:hAnsi="inter"/>
            <w:color w:val="#000"/>
            <w:sz w:val="18"/>
            <w:u w:val="single"/>
          </w:rPr>
          <w:t xml:space="preserve">https://www.capgemini.com/ch-en/insights/research-library/luxury-the-new-assets-of-the-customer-experience/</w:t>
        </w:r>
      </w:hyperlink>
      <w:r>
        <w:rPr>
          <w:rFonts w:eastAsia="inter" w:cs="inter" w:ascii="inter" w:hAnsi="inter"/>
          <w:color w:val="000000"/>
          <w:sz w:val="18"/>
        </w:rPr>
        <w:t xml:space="preserve"> </w:t>
      </w:r>
    </w:p>
    <w:bookmarkStart w:id="49" w:name="fn34"/>
    <w:bookmarkEnd w:id="49"/>
    <w:p>
      <w:pPr>
        <w:numPr>
          <w:ilvl w:val="0"/>
          <w:numId w:val="2"/>
        </w:numPr>
        <w:spacing w:line="360" w:after="210" w:lineRule="auto"/>
      </w:pPr>
      <w:hyperlink r:id="rId41">
        <w:r>
          <w:rPr>
            <w:rFonts w:eastAsia="inter" w:cs="inter" w:ascii="inter" w:hAnsi="inter"/>
            <w:color w:val="#000"/>
            <w:sz w:val="18"/>
            <w:u w:val="single"/>
          </w:rPr>
          <w:t xml:space="preserve">https://www.xlinegroup.co/comment-reussir-son-agencement-en-horlogerie-de-luxe/</w:t>
        </w:r>
      </w:hyperlink>
      <w:r>
        <w:rPr>
          <w:rFonts w:eastAsia="inter" w:cs="inter" w:ascii="inter" w:hAnsi="inter"/>
          <w:color w:val="000000"/>
          <w:sz w:val="18"/>
        </w:rPr>
        <w:t xml:space="preserve"> </w:t>
      </w:r>
    </w:p>
    <w:bookmarkStart w:id="50" w:name="fn35"/>
    <w:bookmarkEnd w:id="50"/>
    <w:p>
      <w:pPr>
        <w:numPr>
          <w:ilvl w:val="0"/>
          <w:numId w:val="2"/>
        </w:numPr>
        <w:spacing w:line="360" w:after="210" w:lineRule="auto"/>
      </w:pPr>
      <w:hyperlink r:id="rId42">
        <w:r>
          <w:rPr>
            <w:rFonts w:eastAsia="inter" w:cs="inter" w:ascii="inter" w:hAnsi="inter"/>
            <w:color w:val="#000"/>
            <w:sz w:val="18"/>
            <w:u w:val="single"/>
          </w:rPr>
          <w:t xml:space="preserve">https://sproutsocial.com/insights/customer-journey-mapping/</w:t>
        </w:r>
      </w:hyperlink>
      <w:r>
        <w:rPr>
          <w:rFonts w:eastAsia="inter" w:cs="inter" w:ascii="inter" w:hAnsi="inter"/>
          <w:color w:val="000000"/>
          <w:sz w:val="18"/>
        </w:rPr>
        <w:t xml:space="preserve"> </w:t>
      </w:r>
    </w:p>
    <w:bookmarkStart w:id="51" w:name="fn36"/>
    <w:bookmarkEnd w:id="51"/>
    <w:p>
      <w:pPr>
        <w:numPr>
          <w:ilvl w:val="0"/>
          <w:numId w:val="2"/>
        </w:numPr>
        <w:spacing w:line="360" w:after="210" w:lineRule="auto"/>
      </w:pPr>
      <w:hyperlink r:id="rId43">
        <w:r>
          <w:rPr>
            <w:rFonts w:eastAsia="inter" w:cs="inter" w:ascii="inter" w:hAnsi="inter"/>
            <w:color w:val="#000"/>
            <w:sz w:val="18"/>
            <w:u w:val="single"/>
          </w:rPr>
          <w:t xml:space="preserve">https://www.vaimo.com/blog/luxury-ecommerce-omnichannel-experience/</w:t>
        </w:r>
      </w:hyperlink>
      <w:r>
        <w:rPr>
          <w:rFonts w:eastAsia="inter" w:cs="inter" w:ascii="inter" w:hAnsi="inter"/>
          <w:color w:val="000000"/>
          <w:sz w:val="18"/>
        </w:rPr>
        <w:t xml:space="preserve"> </w:t>
      </w:r>
    </w:p>
    <w:bookmarkStart w:id="52" w:name="fn37"/>
    <w:bookmarkEnd w:id="52"/>
    <w:p>
      <w:pPr>
        <w:numPr>
          <w:ilvl w:val="0"/>
          <w:numId w:val="2"/>
        </w:numPr>
        <w:spacing w:line="360" w:after="210" w:lineRule="auto"/>
      </w:pPr>
      <w:hyperlink r:id="rId44">
        <w:r>
          <w:rPr>
            <w:rFonts w:eastAsia="inter" w:cs="inter" w:ascii="inter" w:hAnsi="inter"/>
            <w:color w:val="#000"/>
            <w:sz w:val="18"/>
            <w:u w:val="single"/>
          </w:rPr>
          <w:t xml:space="preserve">https://fr.postermywall.com/index.php/art/template/6de50f810913da8f68c2efb5ec6673fe/luxury-watch-collection-design-template</w:t>
        </w:r>
      </w:hyperlink>
      <w:r>
        <w:rPr>
          <w:rFonts w:eastAsia="inter" w:cs="inter" w:ascii="inter" w:hAnsi="inter"/>
          <w:color w:val="000000"/>
          <w:sz w:val="18"/>
        </w:rPr>
        <w:t xml:space="preserve"> </w:t>
      </w:r>
    </w:p>
    <w:bookmarkStart w:id="53" w:name="fn38"/>
    <w:bookmarkEnd w:id="53"/>
    <w:p>
      <w:pPr>
        <w:numPr>
          <w:ilvl w:val="0"/>
          <w:numId w:val="2"/>
        </w:numPr>
        <w:spacing w:line="360" w:after="210" w:lineRule="auto"/>
      </w:pPr>
      <w:hyperlink r:id="rId45">
        <w:r>
          <w:rPr>
            <w:rFonts w:eastAsia="inter" w:cs="inter" w:ascii="inter" w:hAnsi="inter"/>
            <w:color w:val="#000"/>
            <w:sz w:val="18"/>
            <w:u w:val="single"/>
          </w:rPr>
          <w:t xml:space="preserve">https://www.simondata.com/blog-posts/6-ways-customer-journey-mapping-improves-marketing-efforts</w:t>
        </w:r>
      </w:hyperlink>
      <w:r>
        <w:rPr>
          <w:rFonts w:eastAsia="inter" w:cs="inter" w:ascii="inter" w:hAnsi="inter"/>
          <w:color w:val="000000"/>
          <w:sz w:val="18"/>
        </w:rPr>
        <w:t xml:space="preserve"> </w:t>
      </w:r>
    </w:p>
    <w:bookmarkStart w:id="54" w:name="fn39"/>
    <w:bookmarkEnd w:id="54"/>
    <w:p>
      <w:pPr>
        <w:numPr>
          <w:ilvl w:val="0"/>
          <w:numId w:val="2"/>
        </w:numPr>
        <w:spacing w:line="360" w:after="210" w:lineRule="auto"/>
      </w:pPr>
      <w:hyperlink r:id="rId46">
        <w:r>
          <w:rPr>
            <w:rFonts w:eastAsia="inter" w:cs="inter" w:ascii="inter" w:hAnsi="inter"/>
            <w:color w:val="#000"/>
            <w:sz w:val="18"/>
            <w:u w:val="single"/>
          </w:rPr>
          <w:t xml:space="preserve">https://ppl-ai-code-interpreter-files.s3.amazonaws.com/web/direct-files/6aff40b484dfe24e9808feb9b316ef75/982b9c54-e0cb-483d-890b-d7a82c0ee017/a3ce80d4.md</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Relationship Id="rId13" Type="http://schemas.openxmlformats.org/officeDocument/2006/relationships/hyperlink" Target="https://bestwallclock.com/the-complete-guide-to-rolexs-digital-era-transformation-with-wall-clocks-4/" TargetMode="External"/><Relationship Id="rId18" Type="http://schemas.openxmlformats.org/officeDocument/2006/relationships/hyperlink" Target="https://miro.com/customer-journey-map/examples/" TargetMode="External"/><Relationship Id="rId26" Type="http://schemas.openxmlformats.org/officeDocument/2006/relationships/hyperlink" Target="https://hospitalityinsights.ehl.edu/customer-experience-and-luxury-watch-industry" TargetMode="External"/><Relationship Id="rId39" Type="http://schemas.openxmlformats.org/officeDocument/2006/relationships/hyperlink" Target="https://contentsquare.com/guides/customer-journey-map/examples/" TargetMode="External"/><Relationship Id="rId21" Type="http://schemas.openxmlformats.org/officeDocument/2006/relationships/hyperlink" Target="https://www.nngroup.com/articles/journey-mapping-101/" TargetMode="External"/><Relationship Id="rId34" Type="http://schemas.openxmlformats.org/officeDocument/2006/relationships/hyperlink" Target="https://www.g-co.agency/insights/luxury-brands-in-2021-digital-marketing-and-customer-experience-cx" TargetMode="External"/><Relationship Id="rId42" Type="http://schemas.openxmlformats.org/officeDocument/2006/relationships/hyperlink" Target="https://sproutsocial.com/insights/customer-journey-mapping/" TargetMode="External"/><Relationship Id="rId47" Type="http://schemas.openxmlformats.org/officeDocument/2006/relationships/customXml" Target="../customXml/item1.xml"/><Relationship Id="rId7" Type="http://schemas.openxmlformats.org/officeDocument/2006/relationships/image" Target="media/image-3aabde402fb28ac4c196f2462249dd078174d5de.png"/><Relationship Id="rId2" Type="http://schemas.openxmlformats.org/officeDocument/2006/relationships/styles" Target="styles.xml"/><Relationship Id="rId16" Type="http://schemas.openxmlformats.org/officeDocument/2006/relationships/hyperlink" Target="https://www.luxeconsult.ch/creation-de-valeur" TargetMode="External"/><Relationship Id="rId29" Type="http://schemas.openxmlformats.org/officeDocument/2006/relationships/hyperlink" Target="https://www.meltwater.com/fr/blog/horlogerie-de-luxe" TargetMode="External"/><Relationship Id="rId11" Type="http://schemas.openxmlformats.org/officeDocument/2006/relationships/hyperlink" Target="https://retail-focus.co.uk/business-growth-through-digital-transformation-the-case-of-premium-and-luxury-brands/" TargetMode="External"/><Relationship Id="rId24" Type="http://schemas.openxmlformats.org/officeDocument/2006/relationships/hyperlink" Target="https://www.linkedin.com/pulse/winning-luxury-customers-mapping-customer-experience-journey-jain-l3wic" TargetMode="External"/><Relationship Id="rId32" Type="http://schemas.openxmlformats.org/officeDocument/2006/relationships/hyperlink" Target="https://lagrandeourse.design/blog/outils/le-service-blueprint-outil-du-design-de-service/" TargetMode="External"/><Relationship Id="rId37" Type="http://schemas.openxmlformats.org/officeDocument/2006/relationships/hyperlink" Target="https://www.athensjournals.gr/business/2024-10-3-2-Bertrand.pdf" TargetMode="External"/><Relationship Id="rId40" Type="http://schemas.openxmlformats.org/officeDocument/2006/relationships/hyperlink" Target="https://www.capgemini.com/ch-en/insights/research-library/luxury-the-new-assets-of-the-customer-experience/" TargetMode="External"/><Relationship Id="rId45" Type="http://schemas.openxmlformats.org/officeDocument/2006/relationships/hyperlink" Target="https://www.simondata.com/blog-posts/6-ways-customer-journey-mapping-improves-marketing-efforts" TargetMode="External"/><Relationship Id="rId5" Type="http://schemas.openxmlformats.org/officeDocument/2006/relationships/image" Target="media/image-0bc2a906edc82ef7d937eebd317ef3882e8acb56.png"/><Relationship Id="rId15" Type="http://schemas.openxmlformats.org/officeDocument/2006/relationships/hyperlink" Target="https://colombus-consulting.com/digitalisation-de-la-relation-client-des-horlogers-suisses/" TargetMode="External"/><Relationship Id="rId23" Type="http://schemas.openxmlformats.org/officeDocument/2006/relationships/hyperlink" Target="https://www.renascence.io/journal/how-rolex-enhances-customer-experience-cx-with-timeless-craftsmanship-and-bespoke-customer-care" TargetMode="External"/><Relationship Id="rId28" Type="http://schemas.openxmlformats.org/officeDocument/2006/relationships/hyperlink" Target="https://www.mckinsey.com/capabilities/mckinsey-design/how-we-help-clients/design-blog/luxury-of-time" TargetMode="External"/><Relationship Id="rId36" Type="http://schemas.openxmlformats.org/officeDocument/2006/relationships/hyperlink" Target="https://insight7.io/how-to-identify-customer-journey-pain-points-effectively/" TargetMode="External"/><Relationship Id="rId49" Type="http://schemas.openxmlformats.org/officeDocument/2006/relationships/customXml" Target="../customXml/item3.xml"/><Relationship Id="rId10" Type="http://schemas.openxmlformats.org/officeDocument/2006/relationships/hyperlink" Target="https://luxurysociety.com/en/how-rolex-revamping-its-digital-channels-3-marketing-innovations-not-miss/" TargetMode="External"/><Relationship Id="rId19" Type="http://schemas.openxmlformats.org/officeDocument/2006/relationships/hyperlink" Target="https://www.linkedin.com/pulse/opportunities-challenges-digital-marketing-case-rolex-amaricai-3p6oe" TargetMode="External"/><Relationship Id="rId31" Type="http://schemas.openxmlformats.org/officeDocument/2006/relationships/hyperlink" Target="https://inmoment.com/blog/customer-journey-mapping/" TargetMode="External"/><Relationship Id="rId44" Type="http://schemas.openxmlformats.org/officeDocument/2006/relationships/hyperlink" Target="https://fr.postermywall.com/index.php/art/template/6de50f810913da8f68c2efb5ec6673fe/luxury-watch-collection-design-template" TargetMode="External"/><Relationship Id="rId4" Type="http://schemas.openxmlformats.org/officeDocument/2006/relationships/webSettings" Target="webSettings.xml"/><Relationship Id="rId9" Type="http://schemas.openxmlformats.org/officeDocument/2006/relationships/hyperlink" Target="https://eminence.ch/en/rolex-case-study/" TargetMode="External"/><Relationship Id="rId14" Type="http://schemas.openxmlformats.org/officeDocument/2006/relationships/hyperlink" Target="https://www.journalduluxe.fr/fr/montres-joaillerie/wands-marques-horlogeres-experience-client-360" TargetMode="External"/><Relationship Id="rId22" Type="http://schemas.openxmlformats.org/officeDocument/2006/relationships/hyperlink" Target="https://www.ictjournal.ch/articles/2016-05-30/la-mecanique-digitale-des-marques-de-luxe" TargetMode="External"/><Relationship Id="rId27" Type="http://schemas.openxmlformats.org/officeDocument/2006/relationships/hyperlink" Target="https://ivmconcept.com" TargetMode="External"/><Relationship Id="rId30" Type="http://schemas.openxmlformats.org/officeDocument/2006/relationships/hyperlink" Target="https://miro.com/fr/modeles/service%20blueprint/" TargetMode="External"/><Relationship Id="rId35" Type="http://schemas.openxmlformats.org/officeDocument/2006/relationships/hyperlink" Target="https://dribbble.com/tags/luxury-watch" TargetMode="External"/><Relationship Id="rId43" Type="http://schemas.openxmlformats.org/officeDocument/2006/relationships/hyperlink" Target="https://www.vaimo.com/blog/luxury-ecommerce-omnichannel-experience/" TargetMode="External"/><Relationship Id="rId48" Type="http://schemas.openxmlformats.org/officeDocument/2006/relationships/customXml" Target="../customXml/item2.xml"/><Relationship Id="rId8" Type="http://schemas.openxmlformats.org/officeDocument/2006/relationships/hyperlink" Target="https://www.historyofluxury.com/articles/luxury-customer-experience-essentials/" TargetMode="External"/><Relationship Id="rId3" Type="http://schemas.openxmlformats.org/officeDocument/2006/relationships/settings" Target="settings.xml"/><Relationship Id="rId12" Type="http://schemas.openxmlformats.org/officeDocument/2006/relationships/hyperlink" Target="https://www.ommax.com/en/insights/industry-insights/the-future-of-luxury-e-commerce/" TargetMode="External"/><Relationship Id="rId17" Type="http://schemas.openxmlformats.org/officeDocument/2006/relationships/hyperlink" Target="https://www.montres-de-luxe.com/Etude-horlogerie-suisse-et-digitalisation-de-la-relation-client_a17478.html" TargetMode="External"/><Relationship Id="rId25" Type="http://schemas.openxmlformats.org/officeDocument/2006/relationships/hyperlink" Target="https://business-essay.com/the-customer-experience-strategy-for-the-rolex-company/" TargetMode="External"/><Relationship Id="rId33" Type="http://schemas.openxmlformats.org/officeDocument/2006/relationships/hyperlink" Target="https://www.digitalfirst.ai/blog/customer-journey-mapping" TargetMode="External"/><Relationship Id="rId38" Type="http://schemas.openxmlformats.org/officeDocument/2006/relationships/hyperlink" Target="https://www.shutterstock.com/search/watch-blueprint" TargetMode="External"/><Relationship Id="rId46" Type="http://schemas.openxmlformats.org/officeDocument/2006/relationships/hyperlink" Target="https://ppl-ai-code-interpreter-files.s3.amazonaws.com/web/direct-files/6aff40b484dfe24e9808feb9b316ef75/982b9c54-e0cb-483d-890b-d7a82c0ee017/a3ce80d4.md" TargetMode="External"/><Relationship Id="rId20" Type="http://schemas.openxmlformats.org/officeDocument/2006/relationships/hyperlink" Target="https://www.smaply.com/blog/customer-journey-luxury-brands" TargetMode="External"/><Relationship Id="rId41" Type="http://schemas.openxmlformats.org/officeDocument/2006/relationships/hyperlink" Target="https://www.xlinegroup.co/comment-reussir-son-agencement-en-horlogerie-de-luxe/" TargetMode="External"/><Relationship Id="rId1" Type="http://schemas.openxmlformats.org/officeDocument/2006/relationships/numbering" Target="numbering.xml"/><Relationship Id="rId6" Type="http://schemas.openxmlformats.org/officeDocument/2006/relationships/image" Target="media/image-313ed7081febacd1497627593672df16251ffad8.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FF3513656F7041B59E667E19173942" ma:contentTypeVersion="10" ma:contentTypeDescription="Crée un document." ma:contentTypeScope="" ma:versionID="569b4e6f9b4574a2b23885b839d664f5">
  <xsd:schema xmlns:xsd="http://www.w3.org/2001/XMLSchema" xmlns:xs="http://www.w3.org/2001/XMLSchema" xmlns:p="http://schemas.microsoft.com/office/2006/metadata/properties" xmlns:ns2="6b2662fe-1100-4049-b315-619699f6744f" xmlns:ns3="17b2e45a-2c95-47f2-b5e9-90692000f981" targetNamespace="http://schemas.microsoft.com/office/2006/metadata/properties" ma:root="true" ma:fieldsID="45ebd98263c2f2178473156b04c07f91" ns2:_="" ns3:_="">
    <xsd:import namespace="6b2662fe-1100-4049-b315-619699f6744f"/>
    <xsd:import namespace="17b2e45a-2c95-47f2-b5e9-90692000f9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2662fe-1100-4049-b315-619699f674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5965820-1b97-4994-ad5a-2b1f2cea3fc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b2e45a-2c95-47f2-b5e9-90692000f98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186a78-2de1-4aef-9334-bd14d59dd99f}" ma:internalName="TaxCatchAll" ma:showField="CatchAllData" ma:web="17b2e45a-2c95-47f2-b5e9-90692000f9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b2662fe-1100-4049-b315-619699f6744f">
      <Terms xmlns="http://schemas.microsoft.com/office/infopath/2007/PartnerControls"/>
    </lcf76f155ced4ddcb4097134ff3c332f>
    <TaxCatchAll xmlns="17b2e45a-2c95-47f2-b5e9-90692000f981" xsi:nil="true"/>
  </documentManagement>
</p:properties>
</file>

<file path=customXml/itemProps1.xml><?xml version="1.0" encoding="utf-8"?>
<ds:datastoreItem xmlns:ds="http://schemas.openxmlformats.org/officeDocument/2006/customXml" ds:itemID="{102B3805-A349-4B91-9566-8EFC7EED89A1}"/>
</file>

<file path=customXml/itemProps2.xml><?xml version="1.0" encoding="utf-8"?>
<ds:datastoreItem xmlns:ds="http://schemas.openxmlformats.org/officeDocument/2006/customXml" ds:itemID="{9C8BB561-A7C1-4665-893A-A4426E0C3B8D}"/>
</file>

<file path=customXml/itemProps3.xml><?xml version="1.0" encoding="utf-8"?>
<ds:datastoreItem xmlns:ds="http://schemas.openxmlformats.org/officeDocument/2006/customXml" ds:itemID="{3E7CFF6B-C54D-41EE-A52C-CEF365ABC33A}"/>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2025-09-11T16:29:11Z</dcterms:created>
  <dcterms:modified xsi:type="dcterms:W3CDTF">2025-09-11T16:29:11Z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0x01010085FF3513656F7041B59E667E19173942</vt:lpwstr>
  </property>
</Properties>
</file>