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 1 月专业实践报告：主动视角规划文献调研与 OmniMap 环境搭建</w:t>
      </w:r>
    </w:p>
    <w:p>
      <w:pPr>
        <w:jc w:val="center"/>
      </w:pPr>
      <w:r>
        <w:rPr>
          <w:rFonts w:ascii="宋体" w:hAnsi="宋体" w:eastAsia="宋体"/>
          <w:sz w:val="20"/>
        </w:rPr>
        <w:t>阶段：第 1 月    关键词：主动视角规划、Next-Best-View、主动 SLAM、信息增益、OmniMap、3DGS</w:t>
      </w:r>
    </w:p>
    <w:p>
      <w:pPr>
        <w:pStyle w:val="Heading1"/>
      </w:pPr>
      <w:r>
        <w:t>一、实践目标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本月目标是建立专业实践的问题意识和技术路线：先从主动视角规划、Next-Best-View、主动 SLAM 和信息增益规划文献中梳理研究脉络，再理解 OmniMap 的三模态在线地图框架，并完成后续实验所需的基础环境搭建。</w:t>
      </w:r>
    </w:p>
    <w:p>
      <w:pPr>
        <w:pStyle w:val="Heading1"/>
      </w:pPr>
      <w:r>
        <w:t>二、主要工作与技术内容</w:t>
      </w:r>
    </w:p>
    <w:p>
      <w:pPr>
        <w:pStyle w:val="Heading2"/>
      </w:pPr>
      <w:r>
        <w:t>1. 实践背景与问题定义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本专业实践面向机器人主动视角规划系统。机器人携带 RGB-D 相机或视觉传感器，在未知或部分已知环境中连续观测周围空间，并根据当前地图状态主动选择下一步视角。与离线重建不同，本系统强调闭环：每一帧观测都会更新地图，地图的不确定性又反过来影响下一步决策和控制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在该目标下，视角规划不只是选择一个几何上可见区域最多的位置，还需要考虑地图表达、传感器约束、运动连续性和实时性。本工作选择在 OmniMap 的 3DGS、几何和语义三模态框架上开展，是因为 3DGS 既能提供可微渲染能力，也能保持较高的实时渲染效率，适合作为构造信息梯度场的底层表达。</w:t>
      </w:r>
    </w:p>
    <w:p>
      <w:pPr>
        <w:pStyle w:val="Heading2"/>
      </w:pPr>
      <w:r>
        <w:t>2. 主动视角规划文献调研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Next-Best-View 是主动视觉中的经典问题，核心是根据当前部分重建状态选择最有价值的下一观测位姿。早期工作多从几何覆盖、未知表面可见性和视锥覆盖出发；主动 SLAM 进一步把定位不确定性、地图质量和路径代价统一到决策框架中。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信息增益方法为 NBV 提供了统一度量：候选视角如果能减少更多地图不确定性、看到更多未知区域或提高后验置信度，就具有更高价值。Isler 等人的主动体积重建工作说明，可以用当前部分重建对候选视角的预期贡献进行评分；主动 SLAM 综述则强调探索、定位和回环之间的多目标权衡。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近年的神经场和 3DGS 方法改变了视角规划的可用信号。传统体素熵或前沿探索主要建立在离散占据栅格上，而 3DGS 把场景表示为可优化的连续显式高斯集合。这样可以利用渲染误差、参数梯度、Fisher 信息或互信息近似构造视角价值，为主动感知提供比单纯几何覆盖更细粒度的依据。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从文献调研得到的启发是：本实践不采用离散地枚举一个终点视角后让机器人跳转，而是尝试构造 Fisher 信息梯度场，使相机沿着信息增益上升方向连续运动。这一选择更适合闭环在线系统，也更容易和伺服控制连接。</w:t>
      </w:r>
    </w:p>
    <w:p>
      <w:pPr>
        <w:pStyle w:val="Heading2"/>
      </w:pPr>
      <w:r>
        <w:t>3. OmniMap 框架理解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OmniMap 的核心思想是在线构建同时包含光学外观、几何结构和语义理解的综合地图。光学流以 3DGS 维护可渲染的外观表达；几何流以 TSDF/voxel-like 结构提供空间稳定性；语义流通过开放词汇检测、分割和文本嵌入获得对象级理解。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本月重点阅读了仓库 README、配置文件和主入口脚本，理解数据集输入、相机内参、模型路径、第三方依赖和输出结构。基础运行链路围绕 `demo.py` 展开，输入 Replica 或 ScanNet 序列，逐帧完成跟踪、地图更新和结果保存。</w:t>
      </w:r>
    </w:p>
    <w:p>
      <w:pPr>
        <w:pStyle w:val="Heading2"/>
      </w:pPr>
      <w:r>
        <w:t>4. 环境搭建与依赖处理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环境搭建主要包括 conda 环境、CUDA 编译环境、diff-gaussian-rasterization、simple-knn、YOLO-World、TAP 和 SBERT 权重路径配置。由于项目同时依赖 3DGS 渲染、语义检测和文本嵌入，版本兼容性是本月主要工程问题。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实践中重点处理了 mmcv、mmdet、YOLO-World、transformers、torch 和 CUDA 之间的版本约束，补充了 README 中的安装说明和本地模型路径。完成这些工作后，后续 Fisher 和 ROS 开发才有稳定的基础。</w:t>
      </w:r>
    </w:p>
    <w:p>
      <w:pPr>
        <w:pStyle w:val="Heading2"/>
      </w:pPr>
      <w:r>
        <w:t>5. 本月成果与下月计划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本月形成了明确的技术路线：以 OmniMap 的在线三模态地图为基础，在 3DGS 可微渲染链路上构造 Fisher 信息度量，并进一步把视角评分扩展为连续梯度场控制。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下月计划是深入分析 3DGS 映射后端和 `OMNI.track(...)` 的数据流，完成 Fisher 信息度量的接入，使系统具备对候选视角进行信息评分的能力。</w:t>
      </w:r>
    </w:p>
    <w:p>
      <w:pPr>
        <w:pStyle w:val="Heading1"/>
      </w:pPr>
      <w:r>
        <w:t>三、阶段性成果</w:t>
      </w:r>
    </w:p>
    <w:p>
      <w:pPr>
        <w:pStyle w:val="ListBullet"/>
        <w:spacing w:line="276" w:lineRule="auto"/>
      </w:pPr>
      <w:r>
        <w:rPr>
          <w:rFonts w:ascii="宋体" w:hAnsi="宋体" w:eastAsia="宋体"/>
          <w:sz w:val="21"/>
        </w:rPr>
        <w:t>形成了与本月主题对应的可复用工程资产或技术结论。</w:t>
      </w:r>
    </w:p>
    <w:p>
      <w:pPr>
        <w:pStyle w:val="ListBullet"/>
        <w:spacing w:line="276" w:lineRule="auto"/>
      </w:pPr>
      <w:r>
        <w:rPr>
          <w:rFonts w:ascii="宋体" w:hAnsi="宋体" w:eastAsia="宋体"/>
          <w:sz w:val="21"/>
        </w:rPr>
        <w:t>将算法设计、系统实现和闭环验证之间的关系整理为后续月份可继承的工作基础。</w:t>
      </w:r>
    </w:p>
    <w:p>
      <w:pPr>
        <w:pStyle w:val="ListBullet"/>
        <w:spacing w:line="276" w:lineRule="auto"/>
      </w:pPr>
      <w:r>
        <w:rPr>
          <w:rFonts w:ascii="宋体" w:hAnsi="宋体" w:eastAsia="宋体"/>
          <w:sz w:val="21"/>
        </w:rPr>
        <w:t>保留了可追溯的仓库文件、配置、日志或接口说明，便于后续复现实验和撰写总结材料。</w:t>
      </w:r>
    </w:p>
    <w:p>
      <w:pPr>
        <w:pStyle w:val="Heading1"/>
      </w:pPr>
      <w:r>
        <w:t>四、表格化总结</w:t>
      </w:r>
    </w:p>
    <w:p>
      <w:pPr>
        <w:pStyle w:val="Heading3"/>
      </w:pPr>
      <w:r>
        <w:t>文献调研结论汇总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方向</w:t>
            </w:r>
          </w:p>
        </w:tc>
        <w:tc>
          <w:tcPr>
            <w:tcW w:type="dxa" w:w="302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代表思想</w:t>
            </w:r>
          </w:p>
        </w:tc>
        <w:tc>
          <w:tcPr>
            <w:tcW w:type="dxa" w:w="302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对本实践的启发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Next-Best-View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从候选视角中选择预期收益最大的下一视角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需要将视角价值量化为可比较分数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主动 SLAM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同时考虑探索、定位不确定性和路径代价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闭环系统必须关注实时性和安全回退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信息增益规划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用熵、互信息或 Fisher 信息衡量不确定性下降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Fisher 信息可作为 3DGS 参数敏感性的度量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3DGS 主动感知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利用可微渲染和显式高斯参数构造不确定性指标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为本项目的信息梯度场提供技术基础</w:t>
            </w:r>
          </w:p>
        </w:tc>
      </w:tr>
    </w:tbl>
    <w:p/>
    <w:p>
      <w:pPr>
        <w:pStyle w:val="Heading3"/>
      </w:pPr>
      <w:r>
        <w:t>仓库证据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453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本月关注文件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基础运行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README.md、environment.yaml、demo.py、config/replica_config.yaml、config/scannet_config.yaml</w:t>
            </w:r>
          </w:p>
        </w:tc>
      </w:tr>
    </w:tbl>
    <w:p/>
    <w:p>
      <w:pPr>
        <w:pStyle w:val="Heading1"/>
      </w:pPr>
      <w:r>
        <w:t>五、问题与改进方向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实时性与精度之间需要持续平衡：更密集的 Fisher 采样和更完整的地图更新会增加计算开销，实机闭环中需要通过局部梯度、关键帧门控和节点解耦控制负载。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系统依赖多模块协同，单独算法有效并不等于闭环稳定。后续工作需要继续关注数据同步、TF 新鲜度、速度限幅和异常情况下的零速保护。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当前月度成果为下一阶段提供基础，但仍需要通过更多场景、更多目标和更完整指标进行定量评估。</w:t>
      </w:r>
    </w:p>
    <w:p>
      <w:pPr>
        <w:pStyle w:val="Heading1"/>
      </w:pPr>
      <w:r>
        <w:t>六、参考资料</w:t>
      </w:r>
    </w:p>
    <w:p>
      <w:pPr>
        <w:ind w:left="283" w:hanging="283"/>
      </w:pPr>
      <w:r>
        <w:rPr>
          <w:rFonts w:ascii="宋体" w:hAnsi="宋体" w:eastAsia="宋体"/>
          <w:sz w:val="19"/>
        </w:rPr>
        <w:t>[1] Connolly, C. I. The determination of next best views. 1985. 主动视角规划早期 NBV 问题源头。</w:t>
      </w:r>
    </w:p>
    <w:p>
      <w:pPr>
        <w:ind w:left="283" w:hanging="283"/>
      </w:pPr>
      <w:r>
        <w:rPr>
          <w:rFonts w:ascii="宋体" w:hAnsi="宋体" w:eastAsia="宋体"/>
          <w:sz w:val="19"/>
        </w:rPr>
        <w:t>[2] Isler et al. An Information Gain Formulation for Active Volumetric 3D Reconstruction. ICRA 2016. 从当前部分重建出发，选择预期可观测更多未知表面的视角。https://rpg.ifi.uzh.ch/docs/ICRA16_Isler.pdf</w:t>
      </w:r>
    </w:p>
    <w:p>
      <w:pPr>
        <w:ind w:left="283" w:hanging="283"/>
      </w:pPr>
      <w:r>
        <w:rPr>
          <w:rFonts w:ascii="宋体" w:hAnsi="宋体" w:eastAsia="宋体"/>
          <w:sz w:val="19"/>
        </w:rPr>
        <w:t>[3] Placed et al. A Survey on Active Simultaneous Localization and Mapping. IEEE TRO 2023. 系统总结主动 SLAM 中探索、定位和地图质量之间的权衡。https://natanaso.github.io/ref/Placed_ActiveSLAMSurvey_TRO23.pdf</w:t>
      </w:r>
    </w:p>
    <w:p>
      <w:pPr>
        <w:ind w:left="283" w:hanging="283"/>
      </w:pPr>
      <w:r>
        <w:rPr>
          <w:rFonts w:ascii="宋体" w:hAnsi="宋体" w:eastAsia="宋体"/>
          <w:sz w:val="19"/>
        </w:rPr>
        <w:t>[4] Zeng et al. View planning in robot active vision: A survey of systems, algorithms, and applications. 2020. 综述机器人主动视觉中的系统、算法和应用。https://www.sciopen.com/article/10.1007/s41095-020-0179-3</w:t>
      </w:r>
    </w:p>
    <w:p>
      <w:pPr>
        <w:ind w:left="283" w:hanging="283"/>
      </w:pPr>
      <w:r>
        <w:rPr>
          <w:rFonts w:ascii="宋体" w:hAnsi="宋体" w:eastAsia="宋体"/>
          <w:sz w:val="19"/>
        </w:rPr>
        <w:t>[5] Kerbl et al. 3D Gaussian Splatting for Real-Time Radiance Field Rendering. SIGGRAPH 2023. 3DGS 将场景表达为可实时渲染的各向异性高斯。https://repo-sam.inria.fr/fungraph/3d-gaussian-splatting/</w:t>
      </w:r>
    </w:p>
    <w:p>
      <w:pPr>
        <w:ind w:left="283" w:hanging="283"/>
      </w:pPr>
      <w:r>
        <w:rPr>
          <w:rFonts w:ascii="宋体" w:hAnsi="宋体" w:eastAsia="宋体"/>
          <w:sz w:val="19"/>
        </w:rPr>
        <w:t>[6] Chen et al. GenNBV: Generalizable Next-Best-View Policy for Active 3D Reconstruction. CVPR 2024. 学习式 NBV 策略说明主动三维重建流程通常在采集、重建和视角推理之间循环。https://openaccess.thecvf.com/content/CVPR2024/papers/Chen_GenNBV_Generalizable_Next-Best-View_Policy_for_Active_3D_Reconstruction_CVPR_2024_paper.pdf</w:t>
      </w:r>
    </w:p>
    <w:p>
      <w:pPr>
        <w:ind w:left="283" w:hanging="283"/>
      </w:pPr>
      <w:r>
        <w:rPr>
          <w:rFonts w:ascii="宋体" w:hAnsi="宋体" w:eastAsia="宋体"/>
          <w:sz w:val="19"/>
        </w:rPr>
        <w:t>[7] Wilson et al. POp-GS: Next Best View in 3D-Gaussian Splatting with P-Optimality. CVPR 2025. 面向 3DGS 的信息量/不确定性 NBV 选择。https://openaccess.thecvf.com/content/CVPR2025/papers/Wilson_POp-GS_Next_Best_View_in_3D-Gaussian_Splatting_with_P-Optimality_CVPR_2025_paper.pdf</w:t>
      </w:r>
    </w:p>
    <w:p>
      <w:pPr>
        <w:ind w:left="283" w:hanging="283"/>
      </w:pPr>
      <w:r>
        <w:rPr>
          <w:rFonts w:ascii="宋体" w:hAnsi="宋体" w:eastAsia="宋体"/>
          <w:sz w:val="19"/>
        </w:rPr>
        <w:t>[8] GauSS-MI: Gaussian Splatting Shannon Mutual Information. RSS 2025. 用 Shannon 互信息度量 3DGS 场景中的下一最佳视角。https://www.roboticsproceedings.org/rss21/p030.pdf</w:t>
      </w:r>
    </w:p>
    <w:p>
      <w:pPr>
        <w:ind w:left="283" w:hanging="283"/>
      </w:pPr>
      <w:r>
        <w:rPr>
          <w:rFonts w:ascii="宋体" w:hAnsi="宋体" w:eastAsia="宋体"/>
          <w:sz w:val="19"/>
        </w:rPr>
        <w:t>[9] FisherRF / Guiding Vision and Touch with FisherRF for 3D Gaussian Splatting. 用 Fisher 信息指导机器人视觉和触觉主动采样。https://arm.stanford.edu/next-best-sense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