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第 3 月专业实践报告：Fisher 信息梯度场与速度场规划方法形成</w:t>
      </w:r>
    </w:p>
    <w:p>
      <w:pPr>
        <w:jc w:val="center"/>
      </w:pPr>
      <w:r>
        <w:rPr>
          <w:rFonts w:ascii="宋体" w:hAnsi="宋体" w:eastAsia="宋体"/>
          <w:sz w:val="20"/>
        </w:rPr>
        <w:t>阶段：第 3 月    关键词：Fisher 梯度场、半球采样、中心差分、速度场、连续视角控制</w:t>
      </w:r>
    </w:p>
    <w:p>
      <w:pPr>
        <w:pStyle w:val="Heading1"/>
      </w:pPr>
      <w:r>
        <w:t>一、实践目标</w:t>
      </w:r>
    </w:p>
    <w:p>
      <w:pPr>
        <w:spacing w:line="300" w:lineRule="auto" w:after="120"/>
        <w:ind w:firstLine="420"/>
      </w:pPr>
      <w:r>
        <w:rPr>
          <w:rFonts w:ascii="宋体" w:hAnsi="宋体" w:eastAsia="宋体"/>
          <w:sz w:val="21"/>
        </w:rPr>
        <w:t>本月目标是从候选视角打分推进到连续运动规划，建立 Fisher 信息梯度场，并将角度空间梯度转化为相机速度方向。</w:t>
      </w:r>
    </w:p>
    <w:p>
      <w:pPr>
        <w:pStyle w:val="Heading1"/>
      </w:pPr>
      <w:r>
        <w:t>二、主要工作与技术内容</w:t>
      </w:r>
    </w:p>
    <w:p>
      <w:pPr>
        <w:pStyle w:val="Heading2"/>
      </w:pPr>
      <w:r>
        <w:t>1. 从离散 NBV 到连续梯度场</w:t>
      </w:r>
    </w:p>
    <w:p>
      <w:pPr>
        <w:spacing w:line="300" w:lineRule="auto" w:after="120"/>
        <w:ind w:firstLine="420"/>
      </w:pPr>
      <w:r>
        <w:rPr>
          <w:rFonts w:ascii="宋体" w:hAnsi="宋体" w:eastAsia="宋体"/>
          <w:sz w:val="21"/>
        </w:rPr>
        <w:t>传统 NBV 常在候选集合中选择分数最高的视角，但机器人执行时并不能瞬时跳转到该视角。为了服务闭环控制，本实践将问题改写为连续运动：在当前视角附近估计 Fisher 信息上升方向，使相机每个控制周期沿信息梯度逐步移动。</w:t>
      </w:r>
    </w:p>
    <w:p>
      <w:pPr>
        <w:spacing w:line="300" w:lineRule="auto" w:after="120"/>
        <w:ind w:firstLine="420"/>
      </w:pPr>
      <w:r>
        <w:rPr>
          <w:rFonts w:ascii="宋体" w:hAnsi="宋体" w:eastAsia="宋体"/>
          <w:sz w:val="21"/>
        </w:rPr>
        <w:t>这种设计可以减少离散视角跳变带来的轨迹不连续问题，也便于后续接入伺服控制。规划输出不再只是一个目标位姿，而是当前位姿附近的局部速度方向。</w:t>
      </w:r>
    </w:p>
    <w:p>
      <w:pPr>
        <w:pStyle w:val="Heading2"/>
      </w:pPr>
      <w:r>
        <w:t>2. 半球视角空间构造</w:t>
      </w:r>
    </w:p>
    <w:p>
      <w:pPr>
        <w:spacing w:line="300" w:lineRule="auto" w:after="120"/>
        <w:ind w:firstLine="420"/>
      </w:pPr>
      <w:r>
        <w:rPr>
          <w:rFonts w:ascii="宋体" w:hAnsi="宋体" w:eastAsia="宋体"/>
          <w:sz w:val="21"/>
        </w:rPr>
        <w:t>系统围绕目标或场景参考中心构建观察半球，用球坐标参数 `theta` 和 `phi` 表示候选视角方向，半径由场景尺度或配置项给定。半球采样使用近似均匀分布，便于生成 Fisher 热力图，也便于检查信息分布是否符合直觉。</w:t>
      </w:r>
    </w:p>
    <w:p>
      <w:pPr>
        <w:spacing w:line="300" w:lineRule="auto" w:after="120"/>
        <w:ind w:firstLine="420"/>
      </w:pPr>
      <w:r>
        <w:rPr>
          <w:rFonts w:ascii="宋体" w:hAnsi="宋体" w:eastAsia="宋体"/>
          <w:sz w:val="21"/>
        </w:rPr>
        <w:t>半球空间的好处是把三维相机位置约束到一个可解释的二维角度域，同时保留相机始终朝向目标/中心的约束。后续控制可以分别处理切向运动、径向修正和姿态注视。</w:t>
      </w:r>
    </w:p>
    <w:p>
      <w:pPr>
        <w:pStyle w:val="Heading2"/>
      </w:pPr>
      <w:r>
        <w:t>3. 中心差分 Fisher 梯度</w:t>
      </w:r>
    </w:p>
    <w:p>
      <w:pPr>
        <w:spacing w:line="300" w:lineRule="auto" w:after="120"/>
        <w:ind w:firstLine="420"/>
      </w:pPr>
      <w:r>
        <w:rPr>
          <w:rFonts w:ascii="宋体" w:hAnsi="宋体" w:eastAsia="宋体"/>
          <w:sz w:val="21"/>
        </w:rPr>
        <w:t>在当前视角附近，系统分别对 `theta` 和 `phi` 做正负扰动，计算 Fisher 评分差值，并用中心差分近似得到 `dF/dtheta` 和 `dF/dphi`。该梯度表示在角度空间中信息量上升最快的方向。</w:t>
      </w:r>
    </w:p>
    <w:p>
      <w:pPr>
        <w:spacing w:line="300" w:lineRule="auto" w:after="120"/>
        <w:ind w:firstLine="420"/>
      </w:pPr>
      <w:r>
        <w:rPr>
          <w:rFonts w:ascii="宋体" w:hAnsi="宋体" w:eastAsia="宋体"/>
          <w:sz w:val="21"/>
        </w:rPr>
        <w:t>随后，角度梯度被转换为半球表面的三维切向速度方向。这个过程把抽象的信息增益指标变成机器人可以执行的空间运动趋势，是从感知指标走向控制命令的关键步骤。</w:t>
      </w:r>
    </w:p>
    <w:p>
      <w:pPr>
        <w:pStyle w:val="Heading2"/>
      </w:pPr>
      <w:r>
        <w:t>4. 速度场可视化与实时模式</w:t>
      </w:r>
    </w:p>
    <w:p>
      <w:pPr>
        <w:spacing w:line="300" w:lineRule="auto" w:after="120"/>
        <w:ind w:firstLine="420"/>
      </w:pPr>
      <w:r>
        <w:rPr>
          <w:rFonts w:ascii="宋体" w:hAnsi="宋体" w:eastAsia="宋体"/>
          <w:sz w:val="21"/>
        </w:rPr>
        <w:t>为了验证梯度方向，系统实现了 Fisher 热力图和速度场箭头。热力图显示不同视角的信息评分，箭头显示局部上升方向。二者同步刷新，可以直观判断规划是否朝向高信息区域。</w:t>
      </w:r>
    </w:p>
    <w:p>
      <w:pPr>
        <w:spacing w:line="300" w:lineRule="auto" w:after="120"/>
        <w:ind w:firstLine="420"/>
      </w:pPr>
      <w:r>
        <w:rPr>
          <w:rFonts w:ascii="宋体" w:hAnsi="宋体" w:eastAsia="宋体"/>
          <w:sz w:val="21"/>
        </w:rPr>
        <w:t>考虑实机实时性，系统还提供 `fisher_local_velocity_only` 模式。该模式只计算当前位置的 Fisher 分数和一次中心差分，跳过全局半球采样和热力图构建，适合真机闭环中的在线控制。</w:t>
      </w:r>
    </w:p>
    <w:p>
      <w:pPr>
        <w:pStyle w:val="Heading2"/>
      </w:pPr>
      <w:r>
        <w:t>5. 运动控制量构成</w:t>
      </w:r>
    </w:p>
    <w:p>
      <w:pPr>
        <w:spacing w:line="300" w:lineRule="auto" w:after="120"/>
        <w:ind w:firstLine="420"/>
      </w:pPr>
      <w:r>
        <w:rPr>
          <w:rFonts w:ascii="宋体" w:hAnsi="宋体" w:eastAsia="宋体"/>
          <w:sz w:val="21"/>
        </w:rPr>
        <w:t>从 Fisher 梯度得到的是切向运动方向。实际相机控制还需要径向修正，使相机保持在合理观察半径附近；同时需要姿态控制，使相机持续注视场景中心或目标对象。最终控制由切向速度、径向速度和角速度共同构成。</w:t>
      </w:r>
    </w:p>
    <w:p>
      <w:pPr>
        <w:spacing w:line="300" w:lineRule="auto" w:after="120"/>
        <w:ind w:firstLine="420"/>
      </w:pPr>
      <w:r>
        <w:rPr>
          <w:rFonts w:ascii="宋体" w:hAnsi="宋体" w:eastAsia="宋体"/>
          <w:sz w:val="21"/>
        </w:rPr>
        <w:t>本月形成了 Fisher 信息梯度场主动视角规划算法的核心原型：当前位姿输入，查询地图 Fisher 信息，计算局部梯度，输出下一步运动方向。</w:t>
      </w:r>
    </w:p>
    <w:p>
      <w:pPr>
        <w:pStyle w:val="Heading1"/>
      </w:pPr>
      <w:r>
        <w:t>三、阶段性成果</w:t>
      </w:r>
    </w:p>
    <w:p>
      <w:pPr>
        <w:pStyle w:val="ListBullet"/>
        <w:spacing w:line="276" w:lineRule="auto"/>
      </w:pPr>
      <w:r>
        <w:rPr>
          <w:rFonts w:ascii="宋体" w:hAnsi="宋体" w:eastAsia="宋体"/>
          <w:sz w:val="21"/>
        </w:rPr>
        <w:t>形成了与本月主题对应的可复用工程资产或技术结论。</w:t>
      </w:r>
    </w:p>
    <w:p>
      <w:pPr>
        <w:pStyle w:val="ListBullet"/>
        <w:spacing w:line="276" w:lineRule="auto"/>
      </w:pPr>
      <w:r>
        <w:rPr>
          <w:rFonts w:ascii="宋体" w:hAnsi="宋体" w:eastAsia="宋体"/>
          <w:sz w:val="21"/>
        </w:rPr>
        <w:t>将算法设计、系统实现和闭环验证之间的关系整理为后续月份可继承的工作基础。</w:t>
      </w:r>
    </w:p>
    <w:p>
      <w:pPr>
        <w:pStyle w:val="ListBullet"/>
        <w:spacing w:line="276" w:lineRule="auto"/>
      </w:pPr>
      <w:r>
        <w:rPr>
          <w:rFonts w:ascii="宋体" w:hAnsi="宋体" w:eastAsia="宋体"/>
          <w:sz w:val="21"/>
        </w:rPr>
        <w:t>保留了可追溯的仓库文件、配置、日志或接口说明，便于后续复现实验和撰写总结材料。</w:t>
      </w:r>
    </w:p>
    <w:p>
      <w:pPr>
        <w:pStyle w:val="Heading1"/>
      </w:pPr>
      <w:r>
        <w:t>四、表格化总结</w:t>
      </w:r>
    </w:p>
    <w:p>
      <w:pPr>
        <w:pStyle w:val="Heading3"/>
      </w:pPr>
      <w:r>
        <w:t>从 Fisher 到运动命令的链路</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shd w:fill="D9EAF7"/>
          </w:tcPr>
          <w:p>
            <w:r/>
            <w:r>
              <w:rPr>
                <w:rFonts w:ascii="宋体" w:hAnsi="宋体" w:eastAsia="宋体"/>
                <w:b/>
                <w:sz w:val="21"/>
              </w:rPr>
              <w:t>步骤</w:t>
            </w:r>
          </w:p>
        </w:tc>
        <w:tc>
          <w:tcPr>
            <w:tcW w:type="dxa" w:w="3022"/>
            <w:vAlign w:val="center"/>
            <w:shd w:fill="D9EAF7"/>
          </w:tcPr>
          <w:p>
            <w:r/>
            <w:r>
              <w:rPr>
                <w:rFonts w:ascii="宋体" w:hAnsi="宋体" w:eastAsia="宋体"/>
                <w:b/>
                <w:sz w:val="21"/>
              </w:rPr>
              <w:t>输入</w:t>
            </w:r>
          </w:p>
        </w:tc>
        <w:tc>
          <w:tcPr>
            <w:tcW w:type="dxa" w:w="3022"/>
            <w:vAlign w:val="center"/>
            <w:shd w:fill="D9EAF7"/>
          </w:tcPr>
          <w:p>
            <w:r/>
            <w:r>
              <w:rPr>
                <w:rFonts w:ascii="宋体" w:hAnsi="宋体" w:eastAsia="宋体"/>
                <w:b/>
                <w:sz w:val="21"/>
              </w:rPr>
              <w:t>输出</w:t>
            </w:r>
          </w:p>
        </w:tc>
      </w:tr>
      <w:tr>
        <w:tc>
          <w:tcPr>
            <w:tcW w:type="dxa" w:w="3022"/>
            <w:vAlign w:val="center"/>
          </w:tcPr>
          <w:p>
            <w:r/>
            <w:r>
              <w:rPr>
                <w:rFonts w:ascii="宋体" w:hAnsi="宋体" w:eastAsia="宋体"/>
                <w:b w:val="0"/>
                <w:sz w:val="21"/>
              </w:rPr>
              <w:t>视角参数化</w:t>
            </w:r>
          </w:p>
        </w:tc>
        <w:tc>
          <w:tcPr>
            <w:tcW w:type="dxa" w:w="3022"/>
            <w:vAlign w:val="center"/>
          </w:tcPr>
          <w:p>
            <w:r/>
            <w:r>
              <w:rPr>
                <w:rFonts w:ascii="宋体" w:hAnsi="宋体" w:eastAsia="宋体"/>
                <w:b w:val="0"/>
                <w:sz w:val="21"/>
              </w:rPr>
              <w:t>当前 c2w、场景中心、参考半径</w:t>
            </w:r>
          </w:p>
        </w:tc>
        <w:tc>
          <w:tcPr>
            <w:tcW w:type="dxa" w:w="3022"/>
            <w:vAlign w:val="center"/>
          </w:tcPr>
          <w:p>
            <w:r/>
            <w:r>
              <w:rPr>
                <w:rFonts w:ascii="宋体" w:hAnsi="宋体" w:eastAsia="宋体"/>
                <w:b w:val="0"/>
                <w:sz w:val="21"/>
              </w:rPr>
              <w:t>theta、phi、radius</w:t>
            </w:r>
          </w:p>
        </w:tc>
      </w:tr>
      <w:tr>
        <w:tc>
          <w:tcPr>
            <w:tcW w:type="dxa" w:w="3022"/>
            <w:vAlign w:val="center"/>
          </w:tcPr>
          <w:p>
            <w:r/>
            <w:r>
              <w:rPr>
                <w:rFonts w:ascii="宋体" w:hAnsi="宋体" w:eastAsia="宋体"/>
                <w:b w:val="0"/>
                <w:sz w:val="21"/>
              </w:rPr>
              <w:t>信息评分</w:t>
            </w:r>
          </w:p>
        </w:tc>
        <w:tc>
          <w:tcPr>
            <w:tcW w:type="dxa" w:w="3022"/>
            <w:vAlign w:val="center"/>
          </w:tcPr>
          <w:p>
            <w:r/>
            <w:r>
              <w:rPr>
                <w:rFonts w:ascii="宋体" w:hAnsi="宋体" w:eastAsia="宋体"/>
                <w:b w:val="0"/>
                <w:sz w:val="21"/>
              </w:rPr>
              <w:t>候选视角和 3DGS 地图</w:t>
            </w:r>
          </w:p>
        </w:tc>
        <w:tc>
          <w:tcPr>
            <w:tcW w:type="dxa" w:w="3022"/>
            <w:vAlign w:val="center"/>
          </w:tcPr>
          <w:p>
            <w:r/>
            <w:r>
              <w:rPr>
                <w:rFonts w:ascii="宋体" w:hAnsi="宋体" w:eastAsia="宋体"/>
                <w:b w:val="0"/>
                <w:sz w:val="21"/>
              </w:rPr>
              <w:t>Fisher score</w:t>
            </w:r>
          </w:p>
        </w:tc>
      </w:tr>
      <w:tr>
        <w:tc>
          <w:tcPr>
            <w:tcW w:type="dxa" w:w="3022"/>
            <w:vAlign w:val="center"/>
          </w:tcPr>
          <w:p>
            <w:r/>
            <w:r>
              <w:rPr>
                <w:rFonts w:ascii="宋体" w:hAnsi="宋体" w:eastAsia="宋体"/>
                <w:b w:val="0"/>
                <w:sz w:val="21"/>
              </w:rPr>
              <w:t>中心差分</w:t>
            </w:r>
          </w:p>
        </w:tc>
        <w:tc>
          <w:tcPr>
            <w:tcW w:type="dxa" w:w="3022"/>
            <w:vAlign w:val="center"/>
          </w:tcPr>
          <w:p>
            <w:r/>
            <w:r>
              <w:rPr>
                <w:rFonts w:ascii="宋体" w:hAnsi="宋体" w:eastAsia="宋体"/>
                <w:b w:val="0"/>
                <w:sz w:val="21"/>
              </w:rPr>
              <w:t>theta/phi 正负扰动</w:t>
            </w:r>
          </w:p>
        </w:tc>
        <w:tc>
          <w:tcPr>
            <w:tcW w:type="dxa" w:w="3022"/>
            <w:vAlign w:val="center"/>
          </w:tcPr>
          <w:p>
            <w:r/>
            <w:r>
              <w:rPr>
                <w:rFonts w:ascii="宋体" w:hAnsi="宋体" w:eastAsia="宋体"/>
                <w:b w:val="0"/>
                <w:sz w:val="21"/>
              </w:rPr>
              <w:t>dF/dtheta、dF/dphi</w:t>
            </w:r>
          </w:p>
        </w:tc>
      </w:tr>
      <w:tr>
        <w:tc>
          <w:tcPr>
            <w:tcW w:type="dxa" w:w="3022"/>
            <w:vAlign w:val="center"/>
          </w:tcPr>
          <w:p>
            <w:r/>
            <w:r>
              <w:rPr>
                <w:rFonts w:ascii="宋体" w:hAnsi="宋体" w:eastAsia="宋体"/>
                <w:b w:val="0"/>
                <w:sz w:val="21"/>
              </w:rPr>
              <w:t>速度转换</w:t>
            </w:r>
          </w:p>
        </w:tc>
        <w:tc>
          <w:tcPr>
            <w:tcW w:type="dxa" w:w="3022"/>
            <w:vAlign w:val="center"/>
          </w:tcPr>
          <w:p>
            <w:r/>
            <w:r>
              <w:rPr>
                <w:rFonts w:ascii="宋体" w:hAnsi="宋体" w:eastAsia="宋体"/>
                <w:b w:val="0"/>
                <w:sz w:val="21"/>
              </w:rPr>
              <w:t>角度梯度和半球几何</w:t>
            </w:r>
          </w:p>
        </w:tc>
        <w:tc>
          <w:tcPr>
            <w:tcW w:type="dxa" w:w="3022"/>
            <w:vAlign w:val="center"/>
          </w:tcPr>
          <w:p>
            <w:r/>
            <w:r>
              <w:rPr>
                <w:rFonts w:ascii="宋体" w:hAnsi="宋体" w:eastAsia="宋体"/>
                <w:b w:val="0"/>
                <w:sz w:val="21"/>
              </w:rPr>
              <w:t>三维切向速度方向</w:t>
            </w:r>
          </w:p>
        </w:tc>
      </w:tr>
      <w:tr>
        <w:tc>
          <w:tcPr>
            <w:tcW w:type="dxa" w:w="3022"/>
            <w:vAlign w:val="center"/>
          </w:tcPr>
          <w:p>
            <w:r/>
            <w:r>
              <w:rPr>
                <w:rFonts w:ascii="宋体" w:hAnsi="宋体" w:eastAsia="宋体"/>
                <w:b w:val="0"/>
                <w:sz w:val="21"/>
              </w:rPr>
              <w:t>控制合成</w:t>
            </w:r>
          </w:p>
        </w:tc>
        <w:tc>
          <w:tcPr>
            <w:tcW w:type="dxa" w:w="3022"/>
            <w:vAlign w:val="center"/>
          </w:tcPr>
          <w:p>
            <w:r/>
            <w:r>
              <w:rPr>
                <w:rFonts w:ascii="宋体" w:hAnsi="宋体" w:eastAsia="宋体"/>
                <w:b w:val="0"/>
                <w:sz w:val="21"/>
              </w:rPr>
              <w:t>切向、径向、姿态误差</w:t>
            </w:r>
          </w:p>
        </w:tc>
        <w:tc>
          <w:tcPr>
            <w:tcW w:type="dxa" w:w="3022"/>
            <w:vAlign w:val="center"/>
          </w:tcPr>
          <w:p>
            <w:r/>
            <w:r>
              <w:rPr>
                <w:rFonts w:ascii="宋体" w:hAnsi="宋体" w:eastAsia="宋体"/>
                <w:b w:val="0"/>
                <w:sz w:val="21"/>
              </w:rPr>
              <w:t>线速度和角速度</w:t>
            </w:r>
          </w:p>
        </w:tc>
      </w:tr>
    </w:tbl>
    <w:p/>
    <w:p>
      <w:pPr>
        <w:pStyle w:val="Heading3"/>
      </w:pPr>
      <w:r>
        <w:t>仓库证据</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fill="D9EAF7"/>
          </w:tcPr>
          <w:p>
            <w:r/>
            <w:r>
              <w:rPr>
                <w:rFonts w:ascii="宋体" w:hAnsi="宋体" w:eastAsia="宋体"/>
                <w:b/>
                <w:sz w:val="21"/>
              </w:rPr>
              <w:t>类别</w:t>
            </w:r>
          </w:p>
        </w:tc>
        <w:tc>
          <w:tcPr>
            <w:tcW w:type="dxa" w:w="4533"/>
            <w:vAlign w:val="center"/>
            <w:shd w:fill="D9EAF7"/>
          </w:tcPr>
          <w:p>
            <w:r/>
            <w:r>
              <w:rPr>
                <w:rFonts w:ascii="宋体" w:hAnsi="宋体" w:eastAsia="宋体"/>
                <w:b/>
                <w:sz w:val="21"/>
              </w:rPr>
              <w:t>文件</w:t>
            </w:r>
          </w:p>
        </w:tc>
      </w:tr>
      <w:tr>
        <w:tc>
          <w:tcPr>
            <w:tcW w:type="dxa" w:w="4533"/>
            <w:vAlign w:val="center"/>
          </w:tcPr>
          <w:p>
            <w:r/>
            <w:r>
              <w:rPr>
                <w:rFonts w:ascii="宋体" w:hAnsi="宋体" w:eastAsia="宋体"/>
                <w:b w:val="0"/>
                <w:sz w:val="21"/>
              </w:rPr>
              <w:t>Fisher/NBV</w:t>
            </w:r>
          </w:p>
        </w:tc>
        <w:tc>
          <w:tcPr>
            <w:tcW w:type="dxa" w:w="4533"/>
            <w:vAlign w:val="center"/>
          </w:tcPr>
          <w:p>
            <w:r/>
            <w:r>
              <w:rPr>
                <w:rFonts w:ascii="宋体" w:hAnsi="宋体" w:eastAsia="宋体"/>
                <w:b w:val="0"/>
                <w:sz w:val="21"/>
              </w:rPr>
              <w:t>omnimap/gaussian/renderer/nbv/README.md、legacy_fisher.py、diag_fisher.py、hemisphere_field.py、visualization.py</w:t>
            </w:r>
          </w:p>
        </w:tc>
      </w:tr>
    </w:tbl>
    <w:p/>
    <w:p>
      <w:pPr>
        <w:pStyle w:val="Heading1"/>
      </w:pPr>
      <w:r>
        <w:t>五、问题与改进方向</w:t>
      </w:r>
    </w:p>
    <w:p>
      <w:pPr>
        <w:spacing w:line="300" w:lineRule="auto" w:after="120"/>
        <w:ind w:firstLine="420"/>
      </w:pPr>
      <w:r>
        <w:rPr>
          <w:rFonts w:ascii="宋体" w:hAnsi="宋体" w:eastAsia="宋体"/>
          <w:sz w:val="21"/>
        </w:rPr>
        <w:t>实时性与精度之间需要持续平衡：更密集的 Fisher 采样和更完整的地图更新会增加计算开销，实机闭环中需要通过局部梯度、关键帧门控和节点解耦控制负载。</w:t>
      </w:r>
    </w:p>
    <w:p>
      <w:pPr>
        <w:spacing w:line="300" w:lineRule="auto" w:after="120"/>
        <w:ind w:firstLine="420"/>
      </w:pPr>
      <w:r>
        <w:rPr>
          <w:rFonts w:ascii="宋体" w:hAnsi="宋体" w:eastAsia="宋体"/>
          <w:sz w:val="21"/>
        </w:rPr>
        <w:t>系统依赖多模块协同，单独算法有效并不等于闭环稳定。后续工作需要继续关注数据同步、TF 新鲜度、速度限幅和异常情况下的零速保护。</w:t>
      </w:r>
    </w:p>
    <w:p>
      <w:pPr>
        <w:spacing w:line="300" w:lineRule="auto" w:after="120"/>
        <w:ind w:firstLine="420"/>
      </w:pPr>
      <w:r>
        <w:rPr>
          <w:rFonts w:ascii="宋体" w:hAnsi="宋体" w:eastAsia="宋体"/>
          <w:sz w:val="21"/>
        </w:rPr>
        <w:t>当前月度成果为下一阶段提供基础，但仍需要通过更多场景、更多目标和更完整指标进行定量评估。</w:t>
      </w:r>
    </w:p>
    <w:p>
      <w:pPr>
        <w:pStyle w:val="Heading1"/>
      </w:pPr>
      <w:r>
        <w:t>六、参考资料</w:t>
      </w:r>
    </w:p>
    <w:p>
      <w:pPr>
        <w:ind w:left="283" w:hanging="283"/>
      </w:pPr>
      <w:r>
        <w:rPr>
          <w:rFonts w:ascii="宋体" w:hAnsi="宋体" w:eastAsia="宋体"/>
          <w:sz w:val="19"/>
        </w:rPr>
        <w:t>[1] Isler et al. An Information Gain Formulation for Active Volumetric 3D Reconstruction. ICRA 2016. 从当前部分重建出发，选择预期可观测更多未知表面的视角。https://rpg.ifi.uzh.ch/docs/ICRA16_Isler.pdf</w:t>
      </w:r>
    </w:p>
    <w:p>
      <w:pPr>
        <w:ind w:left="283" w:hanging="283"/>
      </w:pPr>
      <w:r>
        <w:rPr>
          <w:rFonts w:ascii="宋体" w:hAnsi="宋体" w:eastAsia="宋体"/>
          <w:sz w:val="19"/>
        </w:rPr>
        <w:t>[2] Kerbl et al. 3D Gaussian Splatting for Real-Time Radiance Field Rendering. SIGGRAPH 2023. 3DGS 将场景表达为可实时渲染的各向异性高斯。https://repo-sam.inria.fr/fungraph/3d-gaussian-splatting/</w:t>
      </w:r>
    </w:p>
    <w:p>
      <w:pPr>
        <w:ind w:left="283" w:hanging="283"/>
      </w:pPr>
      <w:r>
        <w:rPr>
          <w:rFonts w:ascii="宋体" w:hAnsi="宋体" w:eastAsia="宋体"/>
          <w:sz w:val="19"/>
        </w:rPr>
        <w:t>[3] FisherRF / Guiding Vision and Touch with FisherRF for 3D Gaussian Splatting. 用 Fisher 信息指导机器人视觉和触觉主动采样。https://arm.stanford.edu/next-best-sense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