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C700A" w14:textId="7DA056E8" w:rsidR="00674F9C" w:rsidRPr="00676C57" w:rsidRDefault="006D7B72" w:rsidP="004943D1">
      <w:pPr>
        <w:pStyle w:val="Heading1"/>
        <w:spacing w:before="0"/>
        <w:rPr>
          <w:sz w:val="36"/>
          <w:szCs w:val="36"/>
        </w:rPr>
      </w:pPr>
      <w:bookmarkStart w:id="0" w:name="introduction"/>
      <w:r w:rsidRPr="00676C57">
        <w:rPr>
          <w:sz w:val="36"/>
          <w:szCs w:val="36"/>
        </w:rPr>
        <w:t>1. Introduction</w:t>
      </w:r>
    </w:p>
    <w:p w14:paraId="06030521" w14:textId="77777777" w:rsidR="00674F9C" w:rsidRPr="00093EBC" w:rsidRDefault="00000000" w:rsidP="00093EBC">
      <w:pPr>
        <w:pStyle w:val="FirstParagraph"/>
        <w:spacing w:line="480" w:lineRule="auto"/>
        <w:rPr>
          <w:rFonts w:ascii="Times New Roman" w:hAnsi="Times New Roman" w:cs="Times New Roman"/>
        </w:rPr>
      </w:pPr>
      <w:r w:rsidRPr="00093EBC">
        <w:rPr>
          <w:rFonts w:ascii="Times New Roman" w:hAnsi="Times New Roman" w:cs="Times New Roman"/>
        </w:rPr>
        <w:t>During early 2020, COVID-19 rapidly escalated into a global pandemic and raised widespread concern about severe health outcomes. My interest in this topic is both personal and academic, as I lost my uncle to COVID-19 complications after a history of diabetes and cardiovascular disease. This experience influenced my interest in using data science to examine health risk patterns.</w:t>
      </w:r>
    </w:p>
    <w:p w14:paraId="3CE88021" w14:textId="77777777"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t>Although the most severe phase of the pandemic has passed, COVID-19 variants continue to circulate, and future infectious disease outbreaks remain possible. This project examines how pre-existing conditions and demographic factors are associated with severe COVID-19 outcomes across age groups. Understanding these relationships may support risk identification, public health planning, and future predictive modeling.</w:t>
      </w:r>
    </w:p>
    <w:p w14:paraId="3E885438" w14:textId="77777777" w:rsidR="00674F9C" w:rsidRPr="00676C57" w:rsidRDefault="00000000" w:rsidP="004943D1">
      <w:pPr>
        <w:pStyle w:val="Heading1"/>
        <w:spacing w:before="0"/>
        <w:rPr>
          <w:sz w:val="36"/>
          <w:szCs w:val="36"/>
        </w:rPr>
      </w:pPr>
      <w:bookmarkStart w:id="1" w:name="literature-review-and-research-gap"/>
      <w:bookmarkEnd w:id="0"/>
      <w:r w:rsidRPr="00676C57">
        <w:rPr>
          <w:sz w:val="36"/>
          <w:szCs w:val="36"/>
        </w:rPr>
        <w:t>2. Literature Review and Research Gap</w:t>
      </w:r>
    </w:p>
    <w:p w14:paraId="0F13C735" w14:textId="77777777" w:rsidR="00674F9C" w:rsidRPr="00676C57" w:rsidRDefault="00000000">
      <w:pPr>
        <w:pStyle w:val="Heading2"/>
        <w:rPr>
          <w:sz w:val="28"/>
          <w:szCs w:val="28"/>
        </w:rPr>
      </w:pPr>
      <w:bookmarkStart w:id="2" w:name="prior-findings-on-covid-19-severity"/>
      <w:r w:rsidRPr="00676C57">
        <w:rPr>
          <w:sz w:val="28"/>
          <w:szCs w:val="28"/>
        </w:rPr>
        <w:t>2.1 Prior Findings on COVID-19 Severity</w:t>
      </w:r>
    </w:p>
    <w:p w14:paraId="04CDEE16" w14:textId="3D8FD26B" w:rsidR="00674F9C" w:rsidRPr="00093EBC" w:rsidRDefault="00000000" w:rsidP="00093EBC">
      <w:pPr>
        <w:pStyle w:val="FirstParagraph"/>
        <w:spacing w:line="480" w:lineRule="auto"/>
        <w:rPr>
          <w:rFonts w:ascii="Times New Roman" w:hAnsi="Times New Roman" w:cs="Times New Roman"/>
        </w:rPr>
      </w:pPr>
      <w:r w:rsidRPr="00093EBC">
        <w:rPr>
          <w:rFonts w:ascii="Times New Roman" w:hAnsi="Times New Roman" w:cs="Times New Roman"/>
        </w:rPr>
        <w:t xml:space="preserve">Prior research consistently identifies older age and male sex as major predictors of severe COVID-19 outcomes. Pre-existing conditions also increase the risk of ICU admission, intubation, and death, especially when multiple chronic conditions are </w:t>
      </w:r>
      <w:proofErr w:type="gramStart"/>
      <w:r w:rsidRPr="00093EBC">
        <w:rPr>
          <w:rFonts w:ascii="Times New Roman" w:hAnsi="Times New Roman" w:cs="Times New Roman"/>
        </w:rPr>
        <w:t>present</w:t>
      </w:r>
      <w:r w:rsidR="00093EBC">
        <w:rPr>
          <w:rFonts w:ascii="Times New Roman" w:hAnsi="Times New Roman" w:cs="Times New Roman"/>
        </w:rPr>
        <w:t xml:space="preserve"> </w:t>
      </w:r>
      <w:r w:rsidR="00093EBC" w:rsidRPr="00E0560F">
        <w:rPr>
          <w:rFonts w:ascii="Times New Roman" w:eastAsiaTheme="majorEastAsia" w:hAnsi="Times New Roman" w:cs="Times New Roman"/>
        </w:rPr>
        <w:t xml:space="preserve"> (</w:t>
      </w:r>
      <w:proofErr w:type="gramEnd"/>
      <w:r w:rsidR="00093EBC" w:rsidRPr="00E0560F">
        <w:rPr>
          <w:rFonts w:ascii="Times New Roman" w:eastAsiaTheme="majorEastAsia" w:hAnsi="Times New Roman" w:cs="Times New Roman"/>
        </w:rPr>
        <w:t xml:space="preserve">Ssentongo, 2020; </w:t>
      </w:r>
      <w:proofErr w:type="spellStart"/>
      <w:r w:rsidR="00093EBC" w:rsidRPr="00E0560F">
        <w:rPr>
          <w:rFonts w:ascii="Times New Roman" w:eastAsiaTheme="majorEastAsia" w:hAnsi="Times New Roman" w:cs="Times New Roman"/>
        </w:rPr>
        <w:t>Sertbas</w:t>
      </w:r>
      <w:proofErr w:type="spellEnd"/>
      <w:r w:rsidR="00093EBC" w:rsidRPr="00E0560F">
        <w:rPr>
          <w:rFonts w:ascii="Times New Roman" w:eastAsiaTheme="majorEastAsia" w:hAnsi="Times New Roman" w:cs="Times New Roman"/>
        </w:rPr>
        <w:t>, 2023)</w:t>
      </w:r>
      <w:r w:rsidRPr="00093EBC">
        <w:rPr>
          <w:rFonts w:ascii="Times New Roman" w:hAnsi="Times New Roman" w:cs="Times New Roman"/>
        </w:rPr>
        <w:t>. Commonly reported risk factors include hypertension, obesity, diabetes, immunosuppression, cardiovascular disease, and chronic kidney disease</w:t>
      </w:r>
      <w:r w:rsidR="00093EBC">
        <w:rPr>
          <w:rFonts w:ascii="Times New Roman" w:hAnsi="Times New Roman" w:cs="Times New Roman"/>
        </w:rPr>
        <w:t xml:space="preserve"> </w:t>
      </w:r>
      <w:r w:rsidR="00093EBC" w:rsidRPr="00E0560F">
        <w:rPr>
          <w:rFonts w:ascii="Times New Roman" w:eastAsiaTheme="majorEastAsia" w:hAnsi="Times New Roman" w:cs="Times New Roman"/>
        </w:rPr>
        <w:t xml:space="preserve">(Lowhorn, 2024; Cisterna-García, 2022; </w:t>
      </w:r>
      <w:proofErr w:type="spellStart"/>
      <w:r w:rsidR="00093EBC" w:rsidRPr="00E0560F">
        <w:rPr>
          <w:rFonts w:ascii="Times New Roman" w:eastAsiaTheme="majorEastAsia" w:hAnsi="Times New Roman" w:cs="Times New Roman"/>
        </w:rPr>
        <w:t>Sertbas</w:t>
      </w:r>
      <w:proofErr w:type="spellEnd"/>
      <w:r w:rsidR="00093EBC" w:rsidRPr="00E0560F">
        <w:rPr>
          <w:rFonts w:ascii="Times New Roman" w:eastAsiaTheme="majorEastAsia" w:hAnsi="Times New Roman" w:cs="Times New Roman"/>
        </w:rPr>
        <w:t>, 2023</w:t>
      </w:r>
      <w:proofErr w:type="gramStart"/>
      <w:r w:rsidR="00093EBC" w:rsidRPr="00E0560F">
        <w:rPr>
          <w:rFonts w:ascii="Times New Roman" w:eastAsiaTheme="majorEastAsia" w:hAnsi="Times New Roman" w:cs="Times New Roman"/>
        </w:rPr>
        <w:t>).</w:t>
      </w:r>
      <w:r w:rsidRPr="00093EBC">
        <w:rPr>
          <w:rFonts w:ascii="Times New Roman" w:hAnsi="Times New Roman" w:cs="Times New Roman"/>
        </w:rPr>
        <w:t>.</w:t>
      </w:r>
      <w:proofErr w:type="gramEnd"/>
    </w:p>
    <w:p w14:paraId="6B336D73" w14:textId="56ABD341"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t xml:space="preserve">Studies using Mexico’s national COVID-19 surveillance data found that hypertension, obesity, and diabetes were among the most common comorbidities in confirmed positive cases. Hypertension and diabetes were also associated with higher fatality rates than obesity. Similar findings have been reported in other populations, although the strength of these relationships </w:t>
      </w:r>
      <w:r w:rsidRPr="00093EBC">
        <w:rPr>
          <w:rFonts w:ascii="Times New Roman" w:hAnsi="Times New Roman" w:cs="Times New Roman"/>
        </w:rPr>
        <w:lastRenderedPageBreak/>
        <w:t xml:space="preserve">varies by age group and patient characteristics. </w:t>
      </w:r>
      <w:r w:rsidR="00093EBC" w:rsidRPr="00E0560F">
        <w:rPr>
          <w:rFonts w:ascii="Times New Roman" w:eastAsiaTheme="majorEastAsia" w:hAnsi="Times New Roman" w:cs="Times New Roman"/>
        </w:rPr>
        <w:t>(</w:t>
      </w:r>
      <w:proofErr w:type="spellStart"/>
      <w:r w:rsidR="00093EBC" w:rsidRPr="00E0560F">
        <w:rPr>
          <w:rFonts w:ascii="Times New Roman" w:eastAsiaTheme="majorEastAsia" w:hAnsi="Times New Roman" w:cs="Times New Roman"/>
        </w:rPr>
        <w:t>Sertbas</w:t>
      </w:r>
      <w:proofErr w:type="spellEnd"/>
      <w:r w:rsidR="00093EBC" w:rsidRPr="00E0560F">
        <w:rPr>
          <w:rFonts w:ascii="Times New Roman" w:eastAsiaTheme="majorEastAsia" w:hAnsi="Times New Roman" w:cs="Times New Roman"/>
        </w:rPr>
        <w:t>, 2023; Ramos-Rincón, 2021)</w:t>
      </w:r>
      <w:r w:rsidR="00093EBC">
        <w:rPr>
          <w:rFonts w:ascii="Times New Roman" w:eastAsiaTheme="majorEastAsia" w:hAnsi="Times New Roman" w:cs="Times New Roman"/>
        </w:rPr>
        <w:t xml:space="preserve"> </w:t>
      </w:r>
      <w:r w:rsidRPr="00093EBC">
        <w:rPr>
          <w:rFonts w:ascii="Times New Roman" w:hAnsi="Times New Roman" w:cs="Times New Roman"/>
        </w:rPr>
        <w:t>In very old adults, age-related vulnerability may dominate the effect of individual comorbidities</w:t>
      </w:r>
      <w:r w:rsidR="00093EBC">
        <w:rPr>
          <w:rFonts w:ascii="Times New Roman" w:hAnsi="Times New Roman" w:cs="Times New Roman"/>
        </w:rPr>
        <w:t xml:space="preserve"> </w:t>
      </w:r>
      <w:r w:rsidR="00093EBC" w:rsidRPr="00E0560F">
        <w:rPr>
          <w:rFonts w:ascii="Times New Roman" w:eastAsiaTheme="majorEastAsia" w:hAnsi="Times New Roman" w:cs="Times New Roman"/>
        </w:rPr>
        <w:t>(Ramos-Rincón, 2021).</w:t>
      </w:r>
    </w:p>
    <w:p w14:paraId="2EFABC1B" w14:textId="77777777" w:rsidR="00674F9C" w:rsidRPr="00676C57" w:rsidRDefault="00000000">
      <w:pPr>
        <w:pStyle w:val="Heading2"/>
        <w:rPr>
          <w:sz w:val="28"/>
          <w:szCs w:val="28"/>
        </w:rPr>
      </w:pPr>
      <w:bookmarkStart w:id="3" w:name="modeling-approaches-in-prior-research"/>
      <w:bookmarkEnd w:id="2"/>
      <w:r w:rsidRPr="00676C57">
        <w:rPr>
          <w:sz w:val="28"/>
          <w:szCs w:val="28"/>
        </w:rPr>
        <w:t>2.2 Modeling Approaches in Prior Research</w:t>
      </w:r>
    </w:p>
    <w:p w14:paraId="640F1DDD" w14:textId="574A6282" w:rsidR="00674F9C" w:rsidRPr="00093EBC" w:rsidRDefault="00000000" w:rsidP="00093EBC">
      <w:pPr>
        <w:pStyle w:val="FirstParagraph"/>
        <w:spacing w:line="480" w:lineRule="auto"/>
        <w:rPr>
          <w:rFonts w:ascii="Times New Roman" w:hAnsi="Times New Roman" w:cs="Times New Roman"/>
        </w:rPr>
      </w:pPr>
      <w:r w:rsidRPr="00093EBC">
        <w:rPr>
          <w:rFonts w:ascii="Times New Roman" w:hAnsi="Times New Roman" w:cs="Times New Roman"/>
        </w:rPr>
        <w:t>Logistic regression is commonly used to study COVID-19 severity because it provides interpretable odds ratios</w:t>
      </w:r>
      <w:r w:rsidR="00093EBC" w:rsidRPr="00093EBC">
        <w:rPr>
          <w:rFonts w:ascii="Times New Roman" w:hAnsi="Times New Roman" w:cs="Times New Roman"/>
        </w:rPr>
        <w:t xml:space="preserve"> </w:t>
      </w:r>
      <w:r w:rsidR="00093EBC" w:rsidRPr="00093EBC">
        <w:rPr>
          <w:rFonts w:ascii="Times New Roman" w:eastAsiaTheme="majorEastAsia" w:hAnsi="Times New Roman" w:cs="Times New Roman"/>
        </w:rPr>
        <w:t>(Cisterna-García, 2022).</w:t>
      </w:r>
      <w:r w:rsidRPr="00093EBC">
        <w:rPr>
          <w:rFonts w:ascii="Times New Roman" w:hAnsi="Times New Roman" w:cs="Times New Roman"/>
        </w:rPr>
        <w:t xml:space="preserve"> Machine learning models, including random forest, support vector machines, gradient boosting, neural networks, generalized additive models, and ensemble approaches, have also been used to improve prediction and capture nonlinear relationships, though they are often less </w:t>
      </w:r>
      <w:proofErr w:type="gramStart"/>
      <w:r w:rsidRPr="00093EBC">
        <w:rPr>
          <w:rFonts w:ascii="Times New Roman" w:hAnsi="Times New Roman" w:cs="Times New Roman"/>
        </w:rPr>
        <w:t>interpretable</w:t>
      </w:r>
      <w:r w:rsidR="00093EBC" w:rsidRPr="00093EBC">
        <w:rPr>
          <w:rFonts w:ascii="Times New Roman" w:hAnsi="Times New Roman" w:cs="Times New Roman"/>
        </w:rPr>
        <w:t xml:space="preserve"> </w:t>
      </w:r>
      <w:r w:rsidR="00093EBC" w:rsidRPr="00093EBC">
        <w:rPr>
          <w:rFonts w:ascii="Times New Roman" w:eastAsiaTheme="majorEastAsia" w:hAnsi="Times New Roman" w:cs="Times New Roman"/>
        </w:rPr>
        <w:t xml:space="preserve"> (</w:t>
      </w:r>
      <w:proofErr w:type="gramEnd"/>
      <w:r w:rsidR="00093EBC" w:rsidRPr="00093EBC">
        <w:rPr>
          <w:rFonts w:ascii="Times New Roman" w:eastAsiaTheme="majorEastAsia" w:hAnsi="Times New Roman" w:cs="Times New Roman"/>
        </w:rPr>
        <w:t>Zhang, 2025; Cisterna-García, 2022; Lorenzoni, 2021)</w:t>
      </w:r>
      <w:r w:rsidRPr="00093EBC">
        <w:rPr>
          <w:rFonts w:ascii="Times New Roman" w:hAnsi="Times New Roman" w:cs="Times New Roman"/>
        </w:rPr>
        <w:t>.</w:t>
      </w:r>
    </w:p>
    <w:p w14:paraId="32F9A11F" w14:textId="031CDF59"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t>Prior research shows that clinical measurements, such as oxygen saturation and laboratory values, often dominate predictive models when available</w:t>
      </w:r>
      <w:r w:rsidR="00093EBC" w:rsidRPr="00093EBC">
        <w:rPr>
          <w:rFonts w:ascii="Times New Roman" w:hAnsi="Times New Roman" w:cs="Times New Roman"/>
        </w:rPr>
        <w:t xml:space="preserve"> </w:t>
      </w:r>
      <w:r w:rsidR="00093EBC" w:rsidRPr="00093EBC">
        <w:rPr>
          <w:rFonts w:ascii="Times New Roman" w:eastAsiaTheme="majorEastAsia" w:hAnsi="Times New Roman" w:cs="Times New Roman"/>
        </w:rPr>
        <w:t>(Cisterna-García, 2022; Lorenzoni, 2021</w:t>
      </w:r>
      <w:r w:rsidR="00093EBC" w:rsidRPr="00093EBC">
        <w:rPr>
          <w:rFonts w:ascii="Times New Roman" w:eastAsiaTheme="majorEastAsia" w:hAnsi="Times New Roman" w:cs="Times New Roman"/>
        </w:rPr>
        <w:t xml:space="preserve">; </w:t>
      </w:r>
      <w:r w:rsidR="00093EBC" w:rsidRPr="00093EBC">
        <w:rPr>
          <w:rFonts w:ascii="Times New Roman" w:eastAsiaTheme="majorEastAsia" w:hAnsi="Times New Roman" w:cs="Times New Roman"/>
        </w:rPr>
        <w:t>Zhang, 2025).</w:t>
      </w:r>
      <w:r w:rsidRPr="00093EBC">
        <w:rPr>
          <w:rFonts w:ascii="Times New Roman" w:hAnsi="Times New Roman" w:cs="Times New Roman"/>
        </w:rPr>
        <w:t xml:space="preserve"> Because the Kaggle version of this dataset does not include detailed clinical or laboratory measures, this project focuses on demographic variables and chronic conditions.</w:t>
      </w:r>
    </w:p>
    <w:p w14:paraId="2DA6E313" w14:textId="74A36AA9"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t>Association rule mining has been used less often in COVID-19 severity research, but it is useful for identifying combinations of binary risk factors</w:t>
      </w:r>
      <w:r w:rsidR="00093EBC" w:rsidRPr="00093EBC">
        <w:rPr>
          <w:rFonts w:ascii="Times New Roman" w:hAnsi="Times New Roman" w:cs="Times New Roman"/>
        </w:rPr>
        <w:t xml:space="preserve"> </w:t>
      </w:r>
      <w:r w:rsidR="00093EBC" w:rsidRPr="00093EBC">
        <w:rPr>
          <w:rFonts w:ascii="Times New Roman" w:eastAsiaTheme="majorEastAsia" w:hAnsi="Times New Roman" w:cs="Times New Roman"/>
        </w:rPr>
        <w:t>(</w:t>
      </w:r>
      <w:proofErr w:type="spellStart"/>
      <w:r w:rsidR="00093EBC" w:rsidRPr="00093EBC">
        <w:rPr>
          <w:rFonts w:ascii="Times New Roman" w:eastAsiaTheme="majorEastAsia" w:hAnsi="Times New Roman" w:cs="Times New Roman"/>
        </w:rPr>
        <w:t>Nadakinamani</w:t>
      </w:r>
      <w:proofErr w:type="spellEnd"/>
      <w:r w:rsidR="00093EBC" w:rsidRPr="00093EBC">
        <w:rPr>
          <w:rFonts w:ascii="Times New Roman" w:eastAsiaTheme="majorEastAsia" w:hAnsi="Times New Roman" w:cs="Times New Roman"/>
        </w:rPr>
        <w:t>, 2023</w:t>
      </w:r>
      <w:r w:rsidR="00093EBC" w:rsidRPr="00093EBC">
        <w:rPr>
          <w:rFonts w:ascii="Times New Roman" w:eastAsiaTheme="majorEastAsia" w:hAnsi="Times New Roman" w:cs="Times New Roman"/>
        </w:rPr>
        <w:t xml:space="preserve">; </w:t>
      </w:r>
      <w:r w:rsidR="00093EBC" w:rsidRPr="00093EBC">
        <w:rPr>
          <w:rFonts w:ascii="Times New Roman" w:eastAsiaTheme="majorEastAsia" w:hAnsi="Times New Roman" w:cs="Times New Roman"/>
        </w:rPr>
        <w:t>Tandan, 2021)</w:t>
      </w:r>
      <w:r w:rsidRPr="00093EBC">
        <w:rPr>
          <w:rFonts w:ascii="Times New Roman" w:hAnsi="Times New Roman" w:cs="Times New Roman"/>
        </w:rPr>
        <w:t>. In this project, it supports exploratory analysis of age-stratified patterns involving pre-existing conditions.</w:t>
      </w:r>
    </w:p>
    <w:p w14:paraId="76622E4F" w14:textId="77777777" w:rsidR="00674F9C" w:rsidRPr="00676C57" w:rsidRDefault="00000000">
      <w:pPr>
        <w:pStyle w:val="Heading2"/>
        <w:rPr>
          <w:sz w:val="28"/>
          <w:szCs w:val="28"/>
        </w:rPr>
      </w:pPr>
      <w:bookmarkStart w:id="4" w:name="research-gap"/>
      <w:bookmarkEnd w:id="3"/>
      <w:r w:rsidRPr="00676C57">
        <w:rPr>
          <w:sz w:val="28"/>
          <w:szCs w:val="28"/>
        </w:rPr>
        <w:t>2.3 Research Gap</w:t>
      </w:r>
    </w:p>
    <w:p w14:paraId="2F9787CF" w14:textId="77777777" w:rsidR="00674F9C" w:rsidRPr="00093EBC" w:rsidRDefault="00000000" w:rsidP="00093EBC">
      <w:pPr>
        <w:pStyle w:val="FirstParagraph"/>
        <w:spacing w:line="480" w:lineRule="auto"/>
        <w:rPr>
          <w:rFonts w:ascii="Times New Roman" w:hAnsi="Times New Roman" w:cs="Times New Roman"/>
        </w:rPr>
      </w:pPr>
      <w:r w:rsidRPr="00093EBC">
        <w:rPr>
          <w:rFonts w:ascii="Times New Roman" w:hAnsi="Times New Roman" w:cs="Times New Roman"/>
        </w:rPr>
        <w:t xml:space="preserve">Although many studies have examined COVID-19 risk factors, fewer have focused on pre-existing conditions as the primary predictors. Chronic conditions are often overshadowed by </w:t>
      </w:r>
      <w:r w:rsidRPr="00093EBC">
        <w:rPr>
          <w:rFonts w:ascii="Times New Roman" w:hAnsi="Times New Roman" w:cs="Times New Roman"/>
        </w:rPr>
        <w:lastRenderedPageBreak/>
        <w:t>stronger predictors such as age, laboratory values, or acute clinical indicators. Much of the prior research also focuses on a single severe outcome, especially mortality or hospitalization.</w:t>
      </w:r>
    </w:p>
    <w:p w14:paraId="6341D475" w14:textId="77777777"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t>This study addresses that gap by focusing on pre-existing conditions and using a composite adverse outcome defined as ICU admission, intubation, or death. The analysis compares interpretable and flexible supervised models while also using association rule mining to identify condition combinations and possible interaction patterns. This supports both prediction and interpretation using the variables available in the translated Kaggle dataset.</w:t>
      </w:r>
    </w:p>
    <w:p w14:paraId="6F80788C" w14:textId="77777777" w:rsidR="00674F9C" w:rsidRPr="00676C57" w:rsidRDefault="00000000">
      <w:pPr>
        <w:pStyle w:val="Heading1"/>
        <w:rPr>
          <w:sz w:val="36"/>
          <w:szCs w:val="36"/>
        </w:rPr>
      </w:pPr>
      <w:bookmarkStart w:id="5" w:name="research-questions"/>
      <w:bookmarkEnd w:id="1"/>
      <w:bookmarkEnd w:id="4"/>
      <w:r w:rsidRPr="00676C57">
        <w:rPr>
          <w:sz w:val="36"/>
          <w:szCs w:val="36"/>
        </w:rPr>
        <w:t>3. Research Questions</w:t>
      </w:r>
    </w:p>
    <w:p w14:paraId="2E9D9037" w14:textId="77777777" w:rsidR="00674F9C" w:rsidRDefault="00000000" w:rsidP="00093EBC">
      <w:pPr>
        <w:pStyle w:val="FirstParagraph"/>
        <w:spacing w:line="480" w:lineRule="auto"/>
      </w:pPr>
      <w:r w:rsidRPr="00914BF1">
        <w:rPr>
          <w:rFonts w:asciiTheme="majorHAnsi" w:eastAsiaTheme="majorEastAsia" w:hAnsiTheme="majorHAnsi" w:cstheme="majorBidi"/>
          <w:color w:val="0F4761" w:themeColor="accent1" w:themeShade="BF"/>
          <w:sz w:val="28"/>
          <w:szCs w:val="28"/>
        </w:rPr>
        <w:t>Question 1.</w:t>
      </w:r>
      <w:r w:rsidRPr="00914BF1">
        <w:rPr>
          <w:sz w:val="22"/>
          <w:szCs w:val="22"/>
        </w:rPr>
        <w:t xml:space="preserve"> </w:t>
      </w:r>
      <w:r w:rsidRPr="00093EBC">
        <w:rPr>
          <w:rFonts w:ascii="Times New Roman" w:hAnsi="Times New Roman" w:cs="Times New Roman"/>
        </w:rPr>
        <w:t>Which demographic factors, health behaviors, and pre-existing conditions are most strongly associated with severe COVID-19 outcomes across age groups?</w:t>
      </w:r>
    </w:p>
    <w:p w14:paraId="6DB26379" w14:textId="77777777" w:rsidR="00674F9C" w:rsidRDefault="00000000" w:rsidP="00093EBC">
      <w:pPr>
        <w:pStyle w:val="BodyText"/>
        <w:spacing w:line="480" w:lineRule="auto"/>
      </w:pPr>
      <w:r w:rsidRPr="00914BF1">
        <w:rPr>
          <w:rFonts w:asciiTheme="majorHAnsi" w:eastAsiaTheme="majorEastAsia" w:hAnsiTheme="majorHAnsi" w:cstheme="majorBidi"/>
          <w:color w:val="0F4761" w:themeColor="accent1" w:themeShade="BF"/>
          <w:sz w:val="28"/>
          <w:szCs w:val="28"/>
        </w:rPr>
        <w:t>Question 2.</w:t>
      </w:r>
      <w:r>
        <w:t xml:space="preserve"> </w:t>
      </w:r>
      <w:r w:rsidRPr="00093EBC">
        <w:rPr>
          <w:rFonts w:ascii="Times New Roman" w:hAnsi="Times New Roman" w:cs="Times New Roman"/>
        </w:rPr>
        <w:t>Which combinations of pre-existing conditions and tobacco use are associated with elevated severe outcome risk, and how do these patterns vary by age group?</w:t>
      </w:r>
    </w:p>
    <w:p w14:paraId="6F9EFC76" w14:textId="77777777" w:rsidR="00674F9C" w:rsidRDefault="00000000" w:rsidP="00093EBC">
      <w:pPr>
        <w:pStyle w:val="BodyText"/>
        <w:spacing w:line="480" w:lineRule="auto"/>
      </w:pPr>
      <w:r w:rsidRPr="00914BF1">
        <w:rPr>
          <w:rFonts w:asciiTheme="majorHAnsi" w:eastAsiaTheme="majorEastAsia" w:hAnsiTheme="majorHAnsi" w:cstheme="majorBidi"/>
          <w:color w:val="0F4761" w:themeColor="accent1" w:themeShade="BF"/>
          <w:sz w:val="28"/>
          <w:szCs w:val="28"/>
        </w:rPr>
        <w:t>Question 3.</w:t>
      </w:r>
      <w:r>
        <w:t xml:space="preserve"> </w:t>
      </w:r>
      <w:r w:rsidRPr="00093EBC">
        <w:rPr>
          <w:rFonts w:ascii="Times New Roman" w:hAnsi="Times New Roman" w:cs="Times New Roman"/>
        </w:rPr>
        <w:t>How do logistic regression and random forest compare in predicting severe COVID-19 outcomes using accuracy, sensitivity, specificity, F1-score, and AUC?</w:t>
      </w:r>
    </w:p>
    <w:p w14:paraId="41481D19" w14:textId="77777777" w:rsidR="00674F9C" w:rsidRPr="00676C57" w:rsidRDefault="00000000">
      <w:pPr>
        <w:pStyle w:val="Heading1"/>
        <w:rPr>
          <w:sz w:val="36"/>
          <w:szCs w:val="36"/>
        </w:rPr>
      </w:pPr>
      <w:bookmarkStart w:id="6" w:name="dataset-and-methodology"/>
      <w:bookmarkEnd w:id="5"/>
      <w:r w:rsidRPr="00676C57">
        <w:rPr>
          <w:sz w:val="36"/>
          <w:szCs w:val="36"/>
        </w:rPr>
        <w:t>4. Dataset and Methodology</w:t>
      </w:r>
    </w:p>
    <w:p w14:paraId="06912705" w14:textId="77777777" w:rsidR="00674F9C" w:rsidRPr="00676C57" w:rsidRDefault="00000000">
      <w:pPr>
        <w:pStyle w:val="Heading2"/>
        <w:rPr>
          <w:sz w:val="28"/>
          <w:szCs w:val="28"/>
        </w:rPr>
      </w:pPr>
      <w:bookmarkStart w:id="7" w:name="dataset-description"/>
      <w:r w:rsidRPr="00676C57">
        <w:rPr>
          <w:sz w:val="28"/>
          <w:szCs w:val="28"/>
        </w:rPr>
        <w:t>4.1 Dataset Description</w:t>
      </w:r>
    </w:p>
    <w:p w14:paraId="0992A39E" w14:textId="79FCCDBD" w:rsidR="00674F9C" w:rsidRPr="00093EBC" w:rsidRDefault="00000000" w:rsidP="00093EBC">
      <w:pPr>
        <w:pStyle w:val="FirstParagraph"/>
        <w:spacing w:line="480" w:lineRule="auto"/>
        <w:rPr>
          <w:rFonts w:ascii="Times New Roman" w:hAnsi="Times New Roman" w:cs="Times New Roman"/>
        </w:rPr>
      </w:pPr>
      <w:r w:rsidRPr="00093EBC">
        <w:rPr>
          <w:rFonts w:ascii="Times New Roman" w:hAnsi="Times New Roman" w:cs="Times New Roman"/>
        </w:rPr>
        <w:t>This study uses a publicly available COVID-19 dataset from Kaggle (Nizri, 2023), derived from Mexico’s national surveillance system for suspected viral respiratory disease cases identified through health-sector medical units</w:t>
      </w:r>
      <w:r w:rsidR="00093EBC" w:rsidRPr="00093EBC">
        <w:rPr>
          <w:rFonts w:ascii="Times New Roman" w:hAnsi="Times New Roman" w:cs="Times New Roman"/>
        </w:rPr>
        <w:t xml:space="preserve"> </w:t>
      </w:r>
      <w:r w:rsidR="00093EBC" w:rsidRPr="00093EBC">
        <w:rPr>
          <w:rFonts w:ascii="Times New Roman" w:eastAsiaTheme="majorEastAsia" w:hAnsi="Times New Roman" w:cs="Times New Roman"/>
        </w:rPr>
        <w:t>(México, “</w:t>
      </w:r>
      <w:proofErr w:type="spellStart"/>
      <w:r w:rsidR="00093EBC" w:rsidRPr="00093EBC">
        <w:rPr>
          <w:rFonts w:ascii="Times New Roman" w:eastAsiaTheme="majorEastAsia" w:hAnsi="Times New Roman" w:cs="Times New Roman"/>
        </w:rPr>
        <w:t>Información</w:t>
      </w:r>
      <w:proofErr w:type="spellEnd"/>
      <w:r w:rsidR="00093EBC" w:rsidRPr="00093EBC">
        <w:rPr>
          <w:rFonts w:ascii="Times New Roman" w:eastAsiaTheme="majorEastAsia" w:hAnsi="Times New Roman" w:cs="Times New Roman"/>
        </w:rPr>
        <w:t xml:space="preserve"> </w:t>
      </w:r>
      <w:proofErr w:type="spellStart"/>
      <w:r w:rsidR="00093EBC" w:rsidRPr="00093EBC">
        <w:rPr>
          <w:rFonts w:ascii="Times New Roman" w:eastAsiaTheme="majorEastAsia" w:hAnsi="Times New Roman" w:cs="Times New Roman"/>
        </w:rPr>
        <w:t>Referente</w:t>
      </w:r>
      <w:proofErr w:type="spellEnd"/>
      <w:r w:rsidR="00093EBC" w:rsidRPr="00093EBC">
        <w:rPr>
          <w:rFonts w:ascii="Times New Roman" w:eastAsiaTheme="majorEastAsia" w:hAnsi="Times New Roman" w:cs="Times New Roman"/>
        </w:rPr>
        <w:t xml:space="preserve"> a Casos COVID-19 </w:t>
      </w:r>
      <w:proofErr w:type="spellStart"/>
      <w:r w:rsidR="00093EBC" w:rsidRPr="00093EBC">
        <w:rPr>
          <w:rFonts w:ascii="Times New Roman" w:eastAsiaTheme="majorEastAsia" w:hAnsi="Times New Roman" w:cs="Times New Roman"/>
        </w:rPr>
        <w:t>en</w:t>
      </w:r>
      <w:proofErr w:type="spellEnd"/>
      <w:r w:rsidR="00093EBC" w:rsidRPr="00093EBC">
        <w:rPr>
          <w:rFonts w:ascii="Times New Roman" w:eastAsiaTheme="majorEastAsia" w:hAnsi="Times New Roman" w:cs="Times New Roman"/>
        </w:rPr>
        <w:t xml:space="preserve"> México,” 2020)</w:t>
      </w:r>
      <w:r w:rsidRPr="00093EBC">
        <w:rPr>
          <w:rFonts w:ascii="Times New Roman" w:hAnsi="Times New Roman" w:cs="Times New Roman"/>
        </w:rPr>
        <w:t xml:space="preserve">. The original dataset covers 2020 through May 2021 and contains 1,048,575 </w:t>
      </w:r>
      <w:r w:rsidRPr="00093EBC">
        <w:rPr>
          <w:rFonts w:ascii="Times New Roman" w:hAnsi="Times New Roman" w:cs="Times New Roman"/>
        </w:rPr>
        <w:lastRenderedPageBreak/>
        <w:t>observations and 21 variables, including positive and negative COVID-19 test records with demographic, clinical, and comorbidity information.</w:t>
      </w:r>
    </w:p>
    <w:p w14:paraId="599B8BBC" w14:textId="45C00F0A"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t xml:space="preserve">This analysis was restricted to laboratory-confirmed positive cases. After cleaning and </w:t>
      </w:r>
      <w:proofErr w:type="gramStart"/>
      <w:r w:rsidRPr="00093EBC">
        <w:rPr>
          <w:rFonts w:ascii="Times New Roman" w:hAnsi="Times New Roman" w:cs="Times New Roman"/>
        </w:rPr>
        <w:t>recoding</w:t>
      </w:r>
      <w:proofErr w:type="gramEnd"/>
      <w:r w:rsidRPr="00093EBC">
        <w:rPr>
          <w:rFonts w:ascii="Times New Roman" w:hAnsi="Times New Roman" w:cs="Times New Roman"/>
        </w:rPr>
        <w:t>, the final analytic dataset contained 388,719 observations and 1</w:t>
      </w:r>
      <w:r w:rsidR="00D521FE" w:rsidRPr="00093EBC">
        <w:rPr>
          <w:rFonts w:ascii="Times New Roman" w:hAnsi="Times New Roman" w:cs="Times New Roman"/>
        </w:rPr>
        <w:t>4</w:t>
      </w:r>
      <w:r w:rsidRPr="00093EBC">
        <w:rPr>
          <w:rFonts w:ascii="Times New Roman" w:hAnsi="Times New Roman" w:cs="Times New Roman"/>
        </w:rPr>
        <w:t xml:space="preserve"> variables. Because the data were collected through healthcare surveillance reporting, they should not be interpreted as a random sample of the general population. Individuals who did not seek care, were not tested, or were tested outside the reporting structure may not be represented.</w:t>
      </w:r>
    </w:p>
    <w:p w14:paraId="3F4C92FF" w14:textId="77777777"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t>The dataset includes age, sex, pregnancy status, obesity, tobacco use, and several pre-existing conditions, including diabetes, COPD, asthma, immunosuppression, hypertension, cardiovascular disease, chronic renal disease, and “other disease.” ICU admission, intubation, and death were combined into one binary adverse outcome variable.</w:t>
      </w:r>
    </w:p>
    <w:p w14:paraId="77B02975" w14:textId="50E2CA32"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t xml:space="preserve">Because several predictors had near-zero variance, a reduced dataset was also created for modeling comparison. The variables removed from the reduced dataset were pregnancy status, COPD, asthma, immunosuppression, other </w:t>
      </w:r>
      <w:proofErr w:type="gramStart"/>
      <w:r w:rsidRPr="00093EBC">
        <w:rPr>
          <w:rFonts w:ascii="Times New Roman" w:hAnsi="Times New Roman" w:cs="Times New Roman"/>
        </w:rPr>
        <w:t>disease</w:t>
      </w:r>
      <w:proofErr w:type="gramEnd"/>
      <w:r w:rsidRPr="00093EBC">
        <w:rPr>
          <w:rFonts w:ascii="Times New Roman" w:hAnsi="Times New Roman" w:cs="Times New Roman"/>
        </w:rPr>
        <w:t xml:space="preserve">, cardiovascular disease, and chronic renal disease, resulting in a reduced dataset with </w:t>
      </w:r>
      <w:r w:rsidR="00D521FE" w:rsidRPr="00093EBC">
        <w:rPr>
          <w:rFonts w:ascii="Times New Roman" w:hAnsi="Times New Roman" w:cs="Times New Roman"/>
        </w:rPr>
        <w:t>8</w:t>
      </w:r>
      <w:r w:rsidRPr="00093EBC">
        <w:rPr>
          <w:rFonts w:ascii="Times New Roman" w:hAnsi="Times New Roman" w:cs="Times New Roman"/>
        </w:rPr>
        <w:t xml:space="preserve"> variables.</w:t>
      </w:r>
    </w:p>
    <w:p w14:paraId="3C337221" w14:textId="77777777" w:rsidR="00674F9C" w:rsidRPr="00676C57" w:rsidRDefault="00000000">
      <w:pPr>
        <w:pStyle w:val="Heading2"/>
        <w:rPr>
          <w:sz w:val="28"/>
          <w:szCs w:val="28"/>
        </w:rPr>
      </w:pPr>
      <w:bookmarkStart w:id="8" w:name="data-preparation"/>
      <w:bookmarkEnd w:id="7"/>
      <w:r w:rsidRPr="00676C57">
        <w:rPr>
          <w:sz w:val="28"/>
          <w:szCs w:val="28"/>
        </w:rPr>
        <w:t>4.2 Data Preparation</w:t>
      </w:r>
    </w:p>
    <w:p w14:paraId="1CAE22F3" w14:textId="77777777" w:rsidR="00674F9C" w:rsidRPr="00093EBC" w:rsidRDefault="00000000" w:rsidP="00093EBC">
      <w:pPr>
        <w:pStyle w:val="FirstParagraph"/>
        <w:spacing w:line="480" w:lineRule="auto"/>
        <w:rPr>
          <w:rFonts w:ascii="Times New Roman" w:hAnsi="Times New Roman" w:cs="Times New Roman"/>
        </w:rPr>
      </w:pPr>
      <w:r w:rsidRPr="00093EBC">
        <w:rPr>
          <w:rFonts w:ascii="Times New Roman" w:hAnsi="Times New Roman" w:cs="Times New Roman"/>
        </w:rPr>
        <w:t>The analysis was limited to laboratory-confirmed positive COVID-19 cases. Numeric response codes were recoded into readable binary categories, while values representing missing, unknown, or not applicable responses were treated as missing.</w:t>
      </w:r>
    </w:p>
    <w:p w14:paraId="5F7F7847" w14:textId="77777777"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t>Missing values were handled using listwise deletion, removing 3,260 positive observations. Age was grouped into six categories: Under 20, 20-35, 36-50, 51-64, 65-80, and 81+.</w:t>
      </w:r>
    </w:p>
    <w:p w14:paraId="383617E1" w14:textId="77777777"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lastRenderedPageBreak/>
        <w:t>A condition count variable was created by summing the number of pre-existing medical conditions for each patient and grouping counts as 0, 1, 2, 3, or 4+. Tobacco use was kept as a separate behavioral risk factor rather than included in the condition count.</w:t>
      </w:r>
    </w:p>
    <w:p w14:paraId="0E3EF5A6" w14:textId="77777777"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t>A composite adverse outcome variable was created from ICU admission, intubation, and death. After this outcome was created, the original outcome variables and health-system identifiers, such as medical unit and surveillance unit, were removed from the modeling dataset.</w:t>
      </w:r>
    </w:p>
    <w:p w14:paraId="20628BCB" w14:textId="77777777" w:rsidR="00674F9C" w:rsidRPr="00676C57" w:rsidRDefault="00000000">
      <w:pPr>
        <w:pStyle w:val="Heading2"/>
        <w:rPr>
          <w:sz w:val="28"/>
          <w:szCs w:val="28"/>
        </w:rPr>
      </w:pPr>
      <w:bookmarkStart w:id="9" w:name="modeling-strategy"/>
      <w:bookmarkEnd w:id="8"/>
      <w:r w:rsidRPr="00676C57">
        <w:rPr>
          <w:sz w:val="28"/>
          <w:szCs w:val="28"/>
        </w:rPr>
        <w:t>4.3 Modeling Strategy</w:t>
      </w:r>
    </w:p>
    <w:p w14:paraId="7F999DD8" w14:textId="77777777" w:rsidR="00674F9C" w:rsidRPr="00093EBC" w:rsidRDefault="00000000" w:rsidP="00CB5352">
      <w:pPr>
        <w:pStyle w:val="FirstParagraph"/>
        <w:spacing w:line="480" w:lineRule="auto"/>
        <w:rPr>
          <w:rFonts w:ascii="Times New Roman" w:hAnsi="Times New Roman" w:cs="Times New Roman"/>
        </w:rPr>
      </w:pPr>
      <w:r w:rsidRPr="00093EBC">
        <w:rPr>
          <w:rFonts w:ascii="Times New Roman" w:hAnsi="Times New Roman" w:cs="Times New Roman"/>
        </w:rPr>
        <w:t>This project uses both supervised and exploratory methods. Logistic regression and random forest were used to predict adverse outcome and compare model performance. Logistic regression was selected for interpretability, while random forest was selected for its ability to capture nonlinear patterns and interactions.</w:t>
      </w:r>
    </w:p>
    <w:p w14:paraId="43496307" w14:textId="77777777" w:rsidR="00674F9C" w:rsidRPr="00093EBC" w:rsidRDefault="00000000" w:rsidP="00CB5352">
      <w:pPr>
        <w:pStyle w:val="BodyText"/>
        <w:spacing w:line="480" w:lineRule="auto"/>
        <w:rPr>
          <w:rFonts w:ascii="Times New Roman" w:hAnsi="Times New Roman" w:cs="Times New Roman"/>
        </w:rPr>
      </w:pPr>
      <w:r w:rsidRPr="00093EBC">
        <w:rPr>
          <w:rFonts w:ascii="Times New Roman" w:hAnsi="Times New Roman" w:cs="Times New Roman"/>
        </w:rPr>
        <w:t>Model performance was evaluated using accuracy, sensitivity, specificity, F1-score, and AUC. Because adverse outcomes were less common than non-adverse outcomes, sensitivity and F1-score were emphasized over accuracy.</w:t>
      </w:r>
    </w:p>
    <w:p w14:paraId="7168CB3F" w14:textId="77777777" w:rsidR="00674F9C" w:rsidRPr="00093EBC" w:rsidRDefault="00000000" w:rsidP="00CB5352">
      <w:pPr>
        <w:pStyle w:val="BodyText"/>
        <w:spacing w:line="480" w:lineRule="auto"/>
        <w:rPr>
          <w:rFonts w:ascii="Times New Roman" w:hAnsi="Times New Roman" w:cs="Times New Roman"/>
        </w:rPr>
      </w:pPr>
      <w:r w:rsidRPr="00093EBC">
        <w:rPr>
          <w:rFonts w:ascii="Times New Roman" w:hAnsi="Times New Roman" w:cs="Times New Roman"/>
        </w:rPr>
        <w:t>Association rule mining was used as an exploratory method to identify combinations of pre-existing conditions, tobacco use, sex, and age group associated with adverse outcomes. Rules were evaluated using support, confidence, and lift, and were used to guide interpretation and selected logistic regression interaction terms.</w:t>
      </w:r>
    </w:p>
    <w:p w14:paraId="5C4A2992" w14:textId="77777777" w:rsidR="00674F9C" w:rsidRPr="00676C57" w:rsidRDefault="00000000">
      <w:pPr>
        <w:pStyle w:val="Heading1"/>
        <w:rPr>
          <w:sz w:val="36"/>
          <w:szCs w:val="36"/>
        </w:rPr>
      </w:pPr>
      <w:bookmarkStart w:id="10" w:name="exploratory-data-analysis-results"/>
      <w:bookmarkEnd w:id="6"/>
      <w:bookmarkEnd w:id="9"/>
      <w:r w:rsidRPr="00676C57">
        <w:rPr>
          <w:sz w:val="36"/>
          <w:szCs w:val="36"/>
        </w:rPr>
        <w:t>5. Exploratory Data Analysis Results</w:t>
      </w:r>
    </w:p>
    <w:p w14:paraId="24299F48" w14:textId="77777777" w:rsidR="00674F9C" w:rsidRPr="00093EBC" w:rsidRDefault="00000000" w:rsidP="00CB5352">
      <w:pPr>
        <w:pStyle w:val="FirstParagraph"/>
        <w:spacing w:line="480" w:lineRule="auto"/>
        <w:rPr>
          <w:rFonts w:ascii="Times New Roman" w:hAnsi="Times New Roman" w:cs="Times New Roman"/>
        </w:rPr>
      </w:pPr>
      <w:r w:rsidRPr="00093EBC">
        <w:rPr>
          <w:rFonts w:ascii="Times New Roman" w:hAnsi="Times New Roman" w:cs="Times New Roman"/>
        </w:rPr>
        <w:t xml:space="preserve">Three derived features were created for EDA: </w:t>
      </w:r>
      <w:r w:rsidRPr="00093EBC">
        <w:rPr>
          <w:rStyle w:val="VerbatimChar"/>
          <w:rFonts w:ascii="Times New Roman" w:hAnsi="Times New Roman" w:cs="Times New Roman"/>
        </w:rPr>
        <w:t>No_Conditions</w:t>
      </w:r>
      <w:r w:rsidRPr="00093EBC">
        <w:rPr>
          <w:rFonts w:ascii="Times New Roman" w:hAnsi="Times New Roman" w:cs="Times New Roman"/>
        </w:rPr>
        <w:t xml:space="preserve">, </w:t>
      </w:r>
      <w:r w:rsidRPr="00093EBC">
        <w:rPr>
          <w:rStyle w:val="VerbatimChar"/>
          <w:rFonts w:ascii="Times New Roman" w:hAnsi="Times New Roman" w:cs="Times New Roman"/>
        </w:rPr>
        <w:t>Condition_Count</w:t>
      </w:r>
      <w:r w:rsidRPr="00093EBC">
        <w:rPr>
          <w:rFonts w:ascii="Times New Roman" w:hAnsi="Times New Roman" w:cs="Times New Roman"/>
        </w:rPr>
        <w:t xml:space="preserve">, and </w:t>
      </w:r>
      <w:r w:rsidRPr="00093EBC">
        <w:rPr>
          <w:rStyle w:val="VerbatimChar"/>
          <w:rFonts w:ascii="Times New Roman" w:hAnsi="Times New Roman" w:cs="Times New Roman"/>
        </w:rPr>
        <w:t>Age_Group</w:t>
      </w:r>
      <w:r w:rsidRPr="00093EBC">
        <w:rPr>
          <w:rFonts w:ascii="Times New Roman" w:hAnsi="Times New Roman" w:cs="Times New Roman"/>
        </w:rPr>
        <w:t xml:space="preserve">. In the final analytic dataset, 58% of patients had no recorded pre-existing conditions, while only 1.3% </w:t>
      </w:r>
      <w:r w:rsidRPr="00093EBC">
        <w:rPr>
          <w:rFonts w:ascii="Times New Roman" w:hAnsi="Times New Roman" w:cs="Times New Roman"/>
        </w:rPr>
        <w:lastRenderedPageBreak/>
        <w:t xml:space="preserve">had four or more conditions. Counts of four or more were combined into a </w:t>
      </w:r>
      <w:r w:rsidRPr="00093EBC">
        <w:rPr>
          <w:rStyle w:val="VerbatimChar"/>
          <w:rFonts w:ascii="Times New Roman" w:hAnsi="Times New Roman" w:cs="Times New Roman"/>
        </w:rPr>
        <w:t>4+</w:t>
      </w:r>
      <w:r w:rsidRPr="00093EBC">
        <w:rPr>
          <w:rFonts w:ascii="Times New Roman" w:hAnsi="Times New Roman" w:cs="Times New Roman"/>
        </w:rPr>
        <w:t xml:space="preserve"> category to reduce sparsity.</w:t>
      </w:r>
    </w:p>
    <w:p w14:paraId="6BD04D71" w14:textId="77777777" w:rsidR="00674F9C" w:rsidRPr="00093EBC" w:rsidRDefault="00000000" w:rsidP="00CB5352">
      <w:pPr>
        <w:pStyle w:val="BodyText"/>
        <w:spacing w:line="480" w:lineRule="auto"/>
        <w:rPr>
          <w:rFonts w:ascii="Times New Roman" w:hAnsi="Times New Roman" w:cs="Times New Roman"/>
        </w:rPr>
      </w:pPr>
      <w:r w:rsidRPr="00093EBC">
        <w:rPr>
          <w:rFonts w:ascii="Times New Roman" w:hAnsi="Times New Roman" w:cs="Times New Roman"/>
        </w:rPr>
        <w:t>Age was grouped into six categories: Under 20, 20-35, 36-50, 51-64, 65-80, and 81+. These groups supported age-stratified exploratory analysis and association rule mining.</w:t>
      </w:r>
    </w:p>
    <w:p w14:paraId="3137E269" w14:textId="77777777" w:rsidR="00674F9C" w:rsidRPr="00676C57" w:rsidRDefault="00000000">
      <w:pPr>
        <w:pStyle w:val="Heading2"/>
        <w:rPr>
          <w:sz w:val="28"/>
          <w:szCs w:val="28"/>
        </w:rPr>
      </w:pPr>
      <w:bookmarkStart w:id="11" w:name="correlation-plot"/>
      <w:r w:rsidRPr="00676C57">
        <w:rPr>
          <w:sz w:val="28"/>
          <w:szCs w:val="28"/>
        </w:rPr>
        <w:t>5.1 Correlation Plot</w:t>
      </w:r>
    </w:p>
    <w:p w14:paraId="47F5A173" w14:textId="1AB21F08" w:rsidR="00674F9C" w:rsidRDefault="00914BF1">
      <w:pPr>
        <w:pStyle w:val="CaptionedFigure"/>
      </w:pPr>
      <w:r>
        <w:rPr>
          <w:noProof/>
        </w:rPr>
        <w:drawing>
          <wp:inline distT="0" distB="0" distL="0" distR="0" wp14:anchorId="154F466A" wp14:editId="163AC5FA">
            <wp:extent cx="4952390" cy="5002659"/>
            <wp:effectExtent l="0" t="0" r="0" b="0"/>
            <wp:docPr id="207443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6974" r="10455"/>
                    <a:stretch>
                      <a:fillRect/>
                    </a:stretch>
                  </pic:blipFill>
                  <pic:spPr bwMode="auto">
                    <a:xfrm>
                      <a:off x="0" y="0"/>
                      <a:ext cx="5005645" cy="5056454"/>
                    </a:xfrm>
                    <a:prstGeom prst="rect">
                      <a:avLst/>
                    </a:prstGeom>
                    <a:noFill/>
                    <a:ln>
                      <a:noFill/>
                    </a:ln>
                    <a:extLst>
                      <a:ext uri="{53640926-AAD7-44D8-BBD7-CCE9431645EC}">
                        <a14:shadowObscured xmlns:a14="http://schemas.microsoft.com/office/drawing/2010/main"/>
                      </a:ext>
                    </a:extLst>
                  </pic:spPr>
                </pic:pic>
              </a:graphicData>
            </a:graphic>
          </wp:inline>
        </w:drawing>
      </w:r>
    </w:p>
    <w:p w14:paraId="353F814F" w14:textId="77777777" w:rsidR="00674F9C" w:rsidRDefault="00000000">
      <w:pPr>
        <w:pStyle w:val="ImageCaption"/>
      </w:pPr>
      <w:r>
        <w:t>Figure 1. Correlation plot of predictors and adverse outcome.</w:t>
      </w:r>
    </w:p>
    <w:p w14:paraId="0C55C430" w14:textId="77777777" w:rsidR="00674F9C" w:rsidRPr="00093EBC" w:rsidRDefault="00000000" w:rsidP="00093EBC">
      <w:pPr>
        <w:pStyle w:val="FirstParagraph"/>
        <w:spacing w:line="480" w:lineRule="auto"/>
        <w:rPr>
          <w:rFonts w:ascii="Times New Roman" w:hAnsi="Times New Roman" w:cs="Times New Roman"/>
        </w:rPr>
      </w:pPr>
      <w:r w:rsidRPr="00093EBC">
        <w:rPr>
          <w:rFonts w:ascii="Times New Roman" w:hAnsi="Times New Roman" w:cs="Times New Roman"/>
        </w:rPr>
        <w:t>Figure 1 shows the correlation structure among demographic variables, condition indicators, hospitalization, pneumonia, and adverse outcome. Hospitalization had a moderately strong positive correlation with</w:t>
      </w:r>
      <w:r>
        <w:t xml:space="preserve"> </w:t>
      </w:r>
      <w:r>
        <w:rPr>
          <w:rStyle w:val="VerbatimChar"/>
        </w:rPr>
        <w:t>Adverse_Outcome</w:t>
      </w:r>
      <w:r>
        <w:t xml:space="preserve"> </w:t>
      </w:r>
      <w:r w:rsidRPr="00093EBC">
        <w:rPr>
          <w:rFonts w:ascii="Times New Roman" w:hAnsi="Times New Roman" w:cs="Times New Roman"/>
        </w:rPr>
        <w:t xml:space="preserve">at 0.60, which is expected because ICU admission </w:t>
      </w:r>
      <w:r w:rsidRPr="00093EBC">
        <w:rPr>
          <w:rFonts w:ascii="Times New Roman" w:hAnsi="Times New Roman" w:cs="Times New Roman"/>
        </w:rPr>
        <w:lastRenderedPageBreak/>
        <w:t>and intubation generally occur in hospital settings and patients at highest risk of death are more likely to require hospital care.</w:t>
      </w:r>
    </w:p>
    <w:p w14:paraId="515429D9" w14:textId="77777777"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t>Pneumonia was also moderately correlated with both adverse outcome and hospitalization, with correlations of 0.55 and 0.67, respectively. To reduce potential data leakage, hospitalization was excluded from the supervised models. Pneumonia was retained for exploratory analysis but excluded from supervised modeling because the main focus was pre-existing conditions, demographics, and their interactions.</w:t>
      </w:r>
    </w:p>
    <w:p w14:paraId="24D63D74" w14:textId="77777777" w:rsidR="00674F9C" w:rsidRDefault="00000000" w:rsidP="00093EBC">
      <w:pPr>
        <w:pStyle w:val="BodyText"/>
        <w:spacing w:line="480" w:lineRule="auto"/>
      </w:pPr>
      <w:r w:rsidRPr="00093EBC">
        <w:rPr>
          <w:rFonts w:ascii="Times New Roman" w:hAnsi="Times New Roman" w:cs="Times New Roman"/>
        </w:rPr>
        <w:t xml:space="preserve">The strongest feature-redundancy pattern was between </w:t>
      </w:r>
      <w:r>
        <w:rPr>
          <w:rStyle w:val="VerbatimChar"/>
        </w:rPr>
        <w:t>No_Conditions</w:t>
      </w:r>
      <w:r>
        <w:t xml:space="preserve"> </w:t>
      </w:r>
      <w:r w:rsidRPr="00093EBC">
        <w:rPr>
          <w:rFonts w:ascii="Times New Roman" w:hAnsi="Times New Roman" w:cs="Times New Roman"/>
        </w:rPr>
        <w:t>and</w:t>
      </w:r>
      <w:r>
        <w:t xml:space="preserve"> </w:t>
      </w:r>
      <w:r>
        <w:rPr>
          <w:rStyle w:val="VerbatimChar"/>
        </w:rPr>
        <w:t>Condition_Count</w:t>
      </w:r>
      <w:r>
        <w:t xml:space="preserve">, </w:t>
      </w:r>
      <w:r w:rsidRPr="00093EBC">
        <w:rPr>
          <w:rFonts w:ascii="Times New Roman" w:hAnsi="Times New Roman" w:cs="Times New Roman"/>
        </w:rPr>
        <w:t>which was expected because one was derived from the other. Therefore,</w:t>
      </w:r>
      <w:r>
        <w:t xml:space="preserve"> </w:t>
      </w:r>
      <w:r>
        <w:rPr>
          <w:rStyle w:val="VerbatimChar"/>
        </w:rPr>
        <w:t>No_Conditions</w:t>
      </w:r>
      <w:r>
        <w:t xml:space="preserve"> was </w:t>
      </w:r>
      <w:r w:rsidRPr="00093EBC">
        <w:rPr>
          <w:rFonts w:ascii="Times New Roman" w:hAnsi="Times New Roman" w:cs="Times New Roman"/>
        </w:rPr>
        <w:t>removed from the supervised models.</w:t>
      </w:r>
      <w:r>
        <w:t xml:space="preserve"> </w:t>
      </w:r>
      <w:r>
        <w:rPr>
          <w:rStyle w:val="VerbatimChar"/>
        </w:rPr>
        <w:t>Age_Group</w:t>
      </w:r>
      <w:r>
        <w:t xml:space="preserve"> </w:t>
      </w:r>
      <w:r w:rsidRPr="00093EBC">
        <w:rPr>
          <w:rFonts w:ascii="Times New Roman" w:hAnsi="Times New Roman" w:cs="Times New Roman"/>
        </w:rPr>
        <w:t xml:space="preserve">was also excluded when continuous </w:t>
      </w:r>
      <w:r w:rsidRPr="00093EBC">
        <w:rPr>
          <w:rStyle w:val="VerbatimChar"/>
          <w:rFonts w:ascii="Times New Roman" w:hAnsi="Times New Roman" w:cs="Times New Roman"/>
        </w:rPr>
        <w:t>Age</w:t>
      </w:r>
      <w:r w:rsidRPr="00093EBC">
        <w:rPr>
          <w:rFonts w:ascii="Times New Roman" w:hAnsi="Times New Roman" w:cs="Times New Roman"/>
        </w:rPr>
        <w:t xml:space="preserve"> was used to avoid including two versions of the same underlying variable.</w:t>
      </w:r>
    </w:p>
    <w:p w14:paraId="4A0059E4" w14:textId="77777777" w:rsidR="00674F9C" w:rsidRPr="00093EBC" w:rsidRDefault="00000000" w:rsidP="00093EBC">
      <w:pPr>
        <w:pStyle w:val="BodyText"/>
        <w:spacing w:line="480" w:lineRule="auto"/>
        <w:rPr>
          <w:rFonts w:ascii="Times New Roman" w:hAnsi="Times New Roman" w:cs="Times New Roman"/>
        </w:rPr>
      </w:pPr>
      <w:r w:rsidRPr="00093EBC">
        <w:rPr>
          <w:rStyle w:val="VerbatimChar"/>
        </w:rPr>
        <w:t>Age</w:t>
      </w:r>
      <w:r>
        <w:t xml:space="preserve"> </w:t>
      </w:r>
      <w:r w:rsidRPr="00093EBC">
        <w:rPr>
          <w:rFonts w:ascii="Times New Roman" w:hAnsi="Times New Roman" w:cs="Times New Roman"/>
        </w:rPr>
        <w:t>was moderately correlated with condition count, diabetes, hypertension, hospitalization, pneumonia, and adverse outcome, with correlations ranging from 0.33 to 0.41. Male sex had weak correlations with all features, with its largest correlation being 0.10 with adverse outcome. Among pre-existing conditions, diabetes and hypertension had the strongest pairwise correlation at 0.37, while all other condition-to-condition correlations were below 0.18.</w:t>
      </w:r>
    </w:p>
    <w:p w14:paraId="0A855600" w14:textId="77777777" w:rsidR="00674F9C" w:rsidRPr="00676C57" w:rsidRDefault="00000000">
      <w:pPr>
        <w:pStyle w:val="Heading2"/>
        <w:rPr>
          <w:sz w:val="28"/>
          <w:szCs w:val="28"/>
        </w:rPr>
      </w:pPr>
      <w:bookmarkStart w:id="12" w:name="adverse-outcome-and-sex-distribution"/>
      <w:bookmarkEnd w:id="11"/>
      <w:r w:rsidRPr="00676C57">
        <w:rPr>
          <w:sz w:val="28"/>
          <w:szCs w:val="28"/>
        </w:rPr>
        <w:t>5.2 Adverse Outcome and Sex Distribution</w:t>
      </w:r>
    </w:p>
    <w:p w14:paraId="3840ED21" w14:textId="77777777" w:rsidR="00674F9C" w:rsidRPr="00093EBC" w:rsidRDefault="00000000" w:rsidP="00093EBC">
      <w:pPr>
        <w:pStyle w:val="FirstParagraph"/>
        <w:spacing w:line="480" w:lineRule="auto"/>
        <w:rPr>
          <w:rFonts w:ascii="Times New Roman" w:hAnsi="Times New Roman" w:cs="Times New Roman"/>
        </w:rPr>
      </w:pPr>
      <w:r w:rsidRPr="00093EBC">
        <w:rPr>
          <w:rFonts w:ascii="Times New Roman" w:hAnsi="Times New Roman" w:cs="Times New Roman"/>
        </w:rPr>
        <w:t>The target variable,</w:t>
      </w:r>
      <w:r>
        <w:t xml:space="preserve"> </w:t>
      </w:r>
      <w:r>
        <w:rPr>
          <w:rStyle w:val="VerbatimChar"/>
        </w:rPr>
        <w:t>Adverse_Outcome</w:t>
      </w:r>
      <w:r>
        <w:t xml:space="preserve">, </w:t>
      </w:r>
      <w:r w:rsidRPr="00093EBC">
        <w:rPr>
          <w:rFonts w:ascii="Times New Roman" w:hAnsi="Times New Roman" w:cs="Times New Roman"/>
        </w:rPr>
        <w:t>was defined as whether a patient was intubated, admitted to the ICU, or died. Death was the most common component, occurring in 13.6% of confirmed positive cases, followed by intubation at 6.1% and ICU admission at 2.7%.</w:t>
      </w:r>
    </w:p>
    <w:p w14:paraId="2DD5EE7F" w14:textId="77777777"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lastRenderedPageBreak/>
        <w:t>These outcomes were combined because all three represent severe COVID-19 outcomes and reflect the broader concern that healthcare systems could become overwhelmed by critically ill patients.</w:t>
      </w:r>
    </w:p>
    <w:p w14:paraId="032B3A02" w14:textId="77777777" w:rsidR="00674F9C" w:rsidRDefault="00000000" w:rsidP="00093EBC">
      <w:pPr>
        <w:pStyle w:val="BodyText"/>
        <w:spacing w:line="480" w:lineRule="auto"/>
      </w:pPr>
      <w:r w:rsidRPr="00093EBC">
        <w:rPr>
          <w:rFonts w:ascii="Times New Roman" w:hAnsi="Times New Roman" w:cs="Times New Roman"/>
        </w:rPr>
        <w:t>Hospitalization was strongly related to</w:t>
      </w:r>
      <w:r>
        <w:t xml:space="preserve"> </w:t>
      </w:r>
      <w:r>
        <w:rPr>
          <w:rStyle w:val="VerbatimChar"/>
        </w:rPr>
        <w:t>Adverse_Outcome</w:t>
      </w:r>
      <w:r>
        <w:t xml:space="preserve">. </w:t>
      </w:r>
      <w:r w:rsidRPr="00093EBC">
        <w:rPr>
          <w:rFonts w:ascii="Times New Roman" w:hAnsi="Times New Roman" w:cs="Times New Roman"/>
        </w:rPr>
        <w:t>Approximately 28.2% of confirmed positive patients were hospitalized after evaluation at a medical unit. Because hospitalization is closely tied to ICU admission and intubation, it was retained for exploratory analysis but excluded from supervised models to reduce potential data leakage.</w:t>
      </w:r>
    </w:p>
    <w:p w14:paraId="2C5D1739" w14:textId="2BB731AC" w:rsidR="00674F9C" w:rsidRDefault="00000000">
      <w:pPr>
        <w:pStyle w:val="CaptionedFigure"/>
      </w:pPr>
      <w:r>
        <w:rPr>
          <w:noProof/>
        </w:rPr>
        <w:drawing>
          <wp:inline distT="0" distB="0" distL="0" distR="0" wp14:anchorId="3151200D" wp14:editId="53B3814D">
            <wp:extent cx="5896051" cy="3138221"/>
            <wp:effectExtent l="0" t="0" r="0" b="0"/>
            <wp:docPr id="24" name="Picture" descr="Figure 2. Adverse outcome distribution by sex and overall outcome status."/>
            <wp:cNvGraphicFramePr/>
            <a:graphic xmlns:a="http://schemas.openxmlformats.org/drawingml/2006/main">
              <a:graphicData uri="http://schemas.openxmlformats.org/drawingml/2006/picture">
                <pic:pic xmlns:pic="http://schemas.openxmlformats.org/drawingml/2006/picture">
                  <pic:nvPicPr>
                    <pic:cNvPr id="25" name="Picture" descr="FinalProjectCOVIDHobbs_files/figure-docx/unnamed-chunk-24-1.png"/>
                    <pic:cNvPicPr>
                      <a:picLocks noChangeAspect="1" noChangeArrowheads="1"/>
                    </pic:cNvPicPr>
                  </pic:nvPicPr>
                  <pic:blipFill>
                    <a:blip r:embed="rId9"/>
                    <a:stretch>
                      <a:fillRect/>
                    </a:stretch>
                  </pic:blipFill>
                  <pic:spPr bwMode="auto">
                    <a:xfrm>
                      <a:off x="0" y="0"/>
                      <a:ext cx="5908596" cy="3144898"/>
                    </a:xfrm>
                    <a:prstGeom prst="rect">
                      <a:avLst/>
                    </a:prstGeom>
                    <a:noFill/>
                    <a:ln w="9525">
                      <a:noFill/>
                      <a:headEnd/>
                      <a:tailEnd/>
                    </a:ln>
                  </pic:spPr>
                </pic:pic>
              </a:graphicData>
            </a:graphic>
          </wp:inline>
        </w:drawing>
      </w:r>
    </w:p>
    <w:p w14:paraId="0A50BDE7" w14:textId="77777777" w:rsidR="00674F9C" w:rsidRDefault="00000000">
      <w:pPr>
        <w:pStyle w:val="ImageCaption"/>
      </w:pPr>
      <w:r>
        <w:t>Figure 2. Adverse outcome distribution by sex and overall outcome status.</w:t>
      </w:r>
    </w:p>
    <w:p w14:paraId="56920961" w14:textId="77777777" w:rsidR="00674F9C" w:rsidRPr="00093EBC" w:rsidRDefault="00000000" w:rsidP="006C3DCC">
      <w:pPr>
        <w:pStyle w:val="BodyText"/>
        <w:spacing w:line="480" w:lineRule="auto"/>
        <w:rPr>
          <w:rFonts w:ascii="Times New Roman" w:hAnsi="Times New Roman" w:cs="Times New Roman"/>
        </w:rPr>
      </w:pPr>
      <w:r w:rsidRPr="00093EBC">
        <w:rPr>
          <w:rFonts w:ascii="Times New Roman" w:hAnsi="Times New Roman" w:cs="Times New Roman"/>
        </w:rPr>
        <w:t>Among confirmed positive cases evaluated through medical units, 53.4% were male. Adverse outcomes were more common among males, with 18.7% experiencing at least one adverse outcome compared with 11.7% of females.</w:t>
      </w:r>
    </w:p>
    <w:p w14:paraId="3B7EAC80" w14:textId="77777777" w:rsidR="00674F9C" w:rsidRPr="00093EBC" w:rsidRDefault="00000000" w:rsidP="006C3DCC">
      <w:pPr>
        <w:pStyle w:val="BodyText"/>
        <w:spacing w:line="480" w:lineRule="auto"/>
        <w:rPr>
          <w:rFonts w:ascii="Times New Roman" w:hAnsi="Times New Roman" w:cs="Times New Roman"/>
        </w:rPr>
      </w:pPr>
      <w:r w:rsidRPr="00093EBC">
        <w:rPr>
          <w:rFonts w:ascii="Times New Roman" w:hAnsi="Times New Roman" w:cs="Times New Roman"/>
        </w:rPr>
        <w:t xml:space="preserve">This difference may reflect factors such as occupational exposure, delayed testing or treatment, healthcare-seeking behavior, or biological differences. However, these cannot be confirmed from </w:t>
      </w:r>
      <w:r w:rsidRPr="00093EBC">
        <w:rPr>
          <w:rFonts w:ascii="Times New Roman" w:hAnsi="Times New Roman" w:cs="Times New Roman"/>
        </w:rPr>
        <w:lastRenderedPageBreak/>
        <w:t>the dataset, so the sex-based difference should be interpreted as an association rather than a causal effect.</w:t>
      </w:r>
    </w:p>
    <w:p w14:paraId="05AC7150" w14:textId="77777777" w:rsidR="00674F9C" w:rsidRDefault="00000000">
      <w:pPr>
        <w:pStyle w:val="Heading2"/>
      </w:pPr>
      <w:bookmarkStart w:id="13" w:name="age-and-adverse-outcome-distribution"/>
      <w:bookmarkEnd w:id="12"/>
      <w:r>
        <w:t>5.3 Age and Adverse Outcome Distribution</w:t>
      </w:r>
    </w:p>
    <w:p w14:paraId="4383B020" w14:textId="77777777" w:rsidR="00674F9C" w:rsidRDefault="00000000">
      <w:pPr>
        <w:pStyle w:val="CaptionedFigure"/>
      </w:pPr>
      <w:r>
        <w:rPr>
          <w:noProof/>
        </w:rPr>
        <w:drawing>
          <wp:inline distT="0" distB="0" distL="0" distR="0" wp14:anchorId="1A821703" wp14:editId="71753D7E">
            <wp:extent cx="5939790" cy="3138221"/>
            <wp:effectExtent l="0" t="0" r="0" b="0"/>
            <wp:docPr id="28" name="Picture" descr="Figure 3. Age distribution and adverse outcome counts by age group."/>
            <wp:cNvGraphicFramePr/>
            <a:graphic xmlns:a="http://schemas.openxmlformats.org/drawingml/2006/main">
              <a:graphicData uri="http://schemas.openxmlformats.org/drawingml/2006/picture">
                <pic:pic xmlns:pic="http://schemas.openxmlformats.org/drawingml/2006/picture">
                  <pic:nvPicPr>
                    <pic:cNvPr id="29" name="Picture" descr="FinalProjectCOVIDHobbs_files/figure-docx/unnamed-chunk-28-1.png"/>
                    <pic:cNvPicPr>
                      <a:picLocks noChangeAspect="1" noChangeArrowheads="1"/>
                    </pic:cNvPicPr>
                  </pic:nvPicPr>
                  <pic:blipFill rotWithShape="1">
                    <a:blip r:embed="rId10"/>
                    <a:srcRect t="-1" b="2857"/>
                    <a:stretch>
                      <a:fillRect/>
                    </a:stretch>
                  </pic:blipFill>
                  <pic:spPr bwMode="auto">
                    <a:xfrm>
                      <a:off x="0" y="0"/>
                      <a:ext cx="5939790" cy="3138221"/>
                    </a:xfrm>
                    <a:prstGeom prst="rect">
                      <a:avLst/>
                    </a:prstGeom>
                    <a:noFill/>
                    <a:ln>
                      <a:noFill/>
                    </a:ln>
                    <a:extLst>
                      <a:ext uri="{53640926-AAD7-44D8-BBD7-CCE9431645EC}">
                        <a14:shadowObscured xmlns:a14="http://schemas.microsoft.com/office/drawing/2010/main"/>
                      </a:ext>
                    </a:extLst>
                  </pic:spPr>
                </pic:pic>
              </a:graphicData>
            </a:graphic>
          </wp:inline>
        </w:drawing>
      </w:r>
    </w:p>
    <w:p w14:paraId="2E089FF5" w14:textId="77777777" w:rsidR="00674F9C" w:rsidRDefault="00000000">
      <w:pPr>
        <w:pStyle w:val="ImageCaption"/>
      </w:pPr>
      <w:r>
        <w:t>Figure 3. Age distribution and adverse outcome counts by age group.</w:t>
      </w:r>
    </w:p>
    <w:p w14:paraId="1BED35CD" w14:textId="77777777" w:rsidR="00674F9C" w:rsidRPr="00093EBC" w:rsidRDefault="00000000" w:rsidP="006C3DCC">
      <w:pPr>
        <w:pStyle w:val="BodyText"/>
        <w:spacing w:line="480" w:lineRule="auto"/>
        <w:rPr>
          <w:rFonts w:ascii="Times New Roman" w:hAnsi="Times New Roman" w:cs="Times New Roman"/>
        </w:rPr>
      </w:pPr>
      <w:r w:rsidRPr="00093EBC">
        <w:rPr>
          <w:rFonts w:ascii="Times New Roman" w:hAnsi="Times New Roman" w:cs="Times New Roman"/>
        </w:rPr>
        <w:t>The mean age was 45.1 years, and the distribution was slightly right-skewed, with a small number of observations over 100 years old. Age was grouped to make comparisons across age ranges easier and to support age-stratified association rule mining.</w:t>
      </w:r>
    </w:p>
    <w:p w14:paraId="7635AAFF" w14:textId="77777777" w:rsidR="00674F9C" w:rsidRPr="00093EBC" w:rsidRDefault="00000000" w:rsidP="006C3DCC">
      <w:pPr>
        <w:pStyle w:val="BodyText"/>
        <w:spacing w:line="480" w:lineRule="auto"/>
        <w:rPr>
          <w:rFonts w:ascii="Times New Roman" w:hAnsi="Times New Roman" w:cs="Times New Roman"/>
        </w:rPr>
      </w:pPr>
      <w:r w:rsidRPr="00093EBC">
        <w:rPr>
          <w:rFonts w:ascii="Times New Roman" w:hAnsi="Times New Roman" w:cs="Times New Roman"/>
        </w:rPr>
        <w:t>Figure 3 shows that adverse outcomes occurred more often in older age groups. This pattern is consistent with prior COVID-19 research identifying age as one of the strongest predictors of severe outcomes.</w:t>
      </w:r>
    </w:p>
    <w:p w14:paraId="03EDFB51" w14:textId="77777777" w:rsidR="00674F9C" w:rsidRDefault="00000000">
      <w:pPr>
        <w:pStyle w:val="CaptionedFigure"/>
      </w:pPr>
      <w:r>
        <w:rPr>
          <w:noProof/>
        </w:rPr>
        <w:lastRenderedPageBreak/>
        <w:drawing>
          <wp:inline distT="0" distB="0" distL="0" distR="0" wp14:anchorId="66DA6747" wp14:editId="79A4A4BF">
            <wp:extent cx="5638800" cy="2743200"/>
            <wp:effectExtent l="0" t="0" r="0" b="0"/>
            <wp:docPr id="31" name="Picture" descr="Figure 4. Hospitalization and adverse outcome by age group."/>
            <wp:cNvGraphicFramePr/>
            <a:graphic xmlns:a="http://schemas.openxmlformats.org/drawingml/2006/main">
              <a:graphicData uri="http://schemas.openxmlformats.org/drawingml/2006/picture">
                <pic:pic xmlns:pic="http://schemas.openxmlformats.org/drawingml/2006/picture">
                  <pic:nvPicPr>
                    <pic:cNvPr id="32" name="Picture" descr="FinalProjectCOVIDHobbs_files/figure-docx/unnamed-chunk-30-1.png"/>
                    <pic:cNvPicPr>
                      <a:picLocks noChangeAspect="1" noChangeArrowheads="1"/>
                    </pic:cNvPicPr>
                  </pic:nvPicPr>
                  <pic:blipFill rotWithShape="1">
                    <a:blip r:embed="rId11"/>
                    <a:srcRect t="2857" b="3214"/>
                    <a:stretch>
                      <a:fillRect/>
                    </a:stretch>
                  </pic:blipFill>
                  <pic:spPr bwMode="auto">
                    <a:xfrm>
                      <a:off x="0" y="0"/>
                      <a:ext cx="5644266" cy="2745859"/>
                    </a:xfrm>
                    <a:prstGeom prst="rect">
                      <a:avLst/>
                    </a:prstGeom>
                    <a:noFill/>
                    <a:ln>
                      <a:noFill/>
                    </a:ln>
                    <a:extLst>
                      <a:ext uri="{53640926-AAD7-44D8-BBD7-CCE9431645EC}">
                        <a14:shadowObscured xmlns:a14="http://schemas.microsoft.com/office/drawing/2010/main"/>
                      </a:ext>
                    </a:extLst>
                  </pic:spPr>
                </pic:pic>
              </a:graphicData>
            </a:graphic>
          </wp:inline>
        </w:drawing>
      </w:r>
    </w:p>
    <w:p w14:paraId="5BCEFD82" w14:textId="77777777" w:rsidR="00674F9C" w:rsidRDefault="00000000">
      <w:pPr>
        <w:pStyle w:val="ImageCaption"/>
      </w:pPr>
      <w:r>
        <w:t>Figure 4. Hospitalization and adverse outcome by age group.</w:t>
      </w:r>
    </w:p>
    <w:p w14:paraId="2EE04F13" w14:textId="77777777" w:rsidR="00674F9C" w:rsidRPr="00093EBC" w:rsidRDefault="00000000" w:rsidP="006C3DCC">
      <w:pPr>
        <w:pStyle w:val="BodyText"/>
        <w:spacing w:line="480" w:lineRule="auto"/>
        <w:rPr>
          <w:rFonts w:ascii="Times New Roman" w:hAnsi="Times New Roman" w:cs="Times New Roman"/>
        </w:rPr>
      </w:pPr>
      <w:r w:rsidRPr="00093EBC">
        <w:rPr>
          <w:rFonts w:ascii="Times New Roman" w:hAnsi="Times New Roman" w:cs="Times New Roman"/>
        </w:rPr>
        <w:t>Approximately 90% of patients under age 35 were sent home, while hospitalization increased with age, reaching about 70% in the 81+ group. Adverse outcomes also increased with age, showing a clear age-related severity pattern. Patients under age 20 had slightly higher hospitalization and adverse outcome rates than the 20-35 group.</w:t>
      </w:r>
    </w:p>
    <w:p w14:paraId="6E46667D" w14:textId="77777777" w:rsidR="00674F9C" w:rsidRPr="00093EBC" w:rsidRDefault="00000000" w:rsidP="006C3DCC">
      <w:pPr>
        <w:pStyle w:val="BodyText"/>
        <w:spacing w:line="480" w:lineRule="auto"/>
        <w:rPr>
          <w:rFonts w:ascii="Times New Roman" w:hAnsi="Times New Roman" w:cs="Times New Roman"/>
        </w:rPr>
      </w:pPr>
      <w:r w:rsidRPr="00093EBC">
        <w:rPr>
          <w:rFonts w:ascii="Times New Roman" w:hAnsi="Times New Roman" w:cs="Times New Roman"/>
        </w:rPr>
        <w:t>Among patients who were sent home, adverse outcomes still occurred. The rate increased from about 1% in the 36-50 group to nearly 16% in the 81+ group, suggesting that older age remained associated with severe outcomes even among patients who were not initially hospitalized.</w:t>
      </w:r>
    </w:p>
    <w:p w14:paraId="1DD6BA68" w14:textId="77777777" w:rsidR="00674F9C" w:rsidRPr="00676C57" w:rsidRDefault="00000000">
      <w:pPr>
        <w:pStyle w:val="Heading2"/>
        <w:rPr>
          <w:sz w:val="28"/>
          <w:szCs w:val="28"/>
        </w:rPr>
      </w:pPr>
      <w:bookmarkStart w:id="14" w:name="condition-patterns"/>
      <w:bookmarkEnd w:id="13"/>
      <w:r w:rsidRPr="00676C57">
        <w:rPr>
          <w:sz w:val="28"/>
          <w:szCs w:val="28"/>
        </w:rPr>
        <w:lastRenderedPageBreak/>
        <w:t>5.4 Condition Patterns</w:t>
      </w:r>
    </w:p>
    <w:p w14:paraId="51B9D7F6" w14:textId="77777777" w:rsidR="00674F9C" w:rsidRDefault="00000000">
      <w:pPr>
        <w:pStyle w:val="CaptionedFigure"/>
      </w:pPr>
      <w:r>
        <w:rPr>
          <w:noProof/>
        </w:rPr>
        <w:drawing>
          <wp:inline distT="0" distB="0" distL="0" distR="0" wp14:anchorId="494E0EAD" wp14:editId="410AED34">
            <wp:extent cx="5800954" cy="2896819"/>
            <wp:effectExtent l="0" t="0" r="0" b="0"/>
            <wp:docPr id="35" name="Picture" descr="Figure 5. Condition prevalence and adverse outcome rates by condition."/>
            <wp:cNvGraphicFramePr/>
            <a:graphic xmlns:a="http://schemas.openxmlformats.org/drawingml/2006/main">
              <a:graphicData uri="http://schemas.openxmlformats.org/drawingml/2006/picture">
                <pic:pic xmlns:pic="http://schemas.openxmlformats.org/drawingml/2006/picture">
                  <pic:nvPicPr>
                    <pic:cNvPr id="36" name="Picture" descr="FinalProjectCOVIDHobbs_files/figure-docx/unnamed-chunk-35-1.png"/>
                    <pic:cNvPicPr>
                      <a:picLocks noChangeAspect="1" noChangeArrowheads="1"/>
                    </pic:cNvPicPr>
                  </pic:nvPicPr>
                  <pic:blipFill>
                    <a:blip r:embed="rId12"/>
                    <a:stretch>
                      <a:fillRect/>
                    </a:stretch>
                  </pic:blipFill>
                  <pic:spPr bwMode="auto">
                    <a:xfrm>
                      <a:off x="0" y="0"/>
                      <a:ext cx="5807910" cy="2900293"/>
                    </a:xfrm>
                    <a:prstGeom prst="rect">
                      <a:avLst/>
                    </a:prstGeom>
                    <a:noFill/>
                    <a:ln w="9525">
                      <a:noFill/>
                      <a:headEnd/>
                      <a:tailEnd/>
                    </a:ln>
                  </pic:spPr>
                </pic:pic>
              </a:graphicData>
            </a:graphic>
          </wp:inline>
        </w:drawing>
      </w:r>
    </w:p>
    <w:p w14:paraId="619ECA56" w14:textId="77777777" w:rsidR="00674F9C" w:rsidRDefault="00000000">
      <w:pPr>
        <w:pStyle w:val="ImageCaption"/>
      </w:pPr>
      <w:r>
        <w:t>Figure 5. Condition prevalence and adverse outcome rates by condition.</w:t>
      </w:r>
    </w:p>
    <w:p w14:paraId="23C53A82" w14:textId="77777777" w:rsidR="00674F9C" w:rsidRPr="00093EBC" w:rsidRDefault="00000000" w:rsidP="006C3DCC">
      <w:pPr>
        <w:pStyle w:val="BodyText"/>
        <w:spacing w:line="480" w:lineRule="auto"/>
        <w:rPr>
          <w:rFonts w:ascii="Times New Roman" w:hAnsi="Times New Roman" w:cs="Times New Roman"/>
        </w:rPr>
      </w:pPr>
      <w:r w:rsidRPr="00093EBC">
        <w:rPr>
          <w:rFonts w:ascii="Times New Roman" w:hAnsi="Times New Roman" w:cs="Times New Roman"/>
        </w:rPr>
        <w:t>Figure 5 shows condition prevalence and adverse outcome rates by condition. Several near-zero variance conditions had low prevalence, including asthma, immunosuppression, other disease, cardiovascular disease, chronic renal disease, and COPD, with prevalence values ranging from approximately 1.2% to 2.7%.</w:t>
      </w:r>
    </w:p>
    <w:p w14:paraId="60624AF7" w14:textId="77777777" w:rsidR="00674F9C" w:rsidRPr="00093EBC" w:rsidRDefault="00000000" w:rsidP="006C3DCC">
      <w:pPr>
        <w:pStyle w:val="BodyText"/>
        <w:spacing w:line="480" w:lineRule="auto"/>
        <w:rPr>
          <w:rFonts w:ascii="Times New Roman" w:hAnsi="Times New Roman" w:cs="Times New Roman"/>
        </w:rPr>
      </w:pPr>
      <w:r w:rsidRPr="00093EBC">
        <w:rPr>
          <w:rFonts w:ascii="Times New Roman" w:hAnsi="Times New Roman" w:cs="Times New Roman"/>
        </w:rPr>
        <w:t>However, low prevalence did not always mean low clinical importance. Asthma had the lowest adverse outcome rate among the removed variables at 12%, below the overall adverse outcome rate. In contrast, the other removed conditions had adverse outcome rates ranging from 29% to 44%, above the overall average. These variables, along with pregnancy status, were removed from the reduced dataset because of sparse representation but were retained in the full-feature model for comparison.</w:t>
      </w:r>
    </w:p>
    <w:p w14:paraId="35E2D959" w14:textId="77777777" w:rsidR="00674F9C" w:rsidRDefault="00000000">
      <w:pPr>
        <w:pStyle w:val="CaptionedFigure"/>
      </w:pPr>
      <w:r>
        <w:rPr>
          <w:noProof/>
        </w:rPr>
        <w:lastRenderedPageBreak/>
        <w:drawing>
          <wp:inline distT="0" distB="0" distL="0" distR="0" wp14:anchorId="5B3192BF" wp14:editId="3625A706">
            <wp:extent cx="5925312" cy="3043123"/>
            <wp:effectExtent l="0" t="0" r="0" b="0"/>
            <wp:docPr id="38" name="Picture" descr="Figure 6. Hospitalization and adverse outcome by condition count."/>
            <wp:cNvGraphicFramePr/>
            <a:graphic xmlns:a="http://schemas.openxmlformats.org/drawingml/2006/main">
              <a:graphicData uri="http://schemas.openxmlformats.org/drawingml/2006/picture">
                <pic:pic xmlns:pic="http://schemas.openxmlformats.org/drawingml/2006/picture">
                  <pic:nvPicPr>
                    <pic:cNvPr id="39" name="Picture" descr="FinalProjectCOVIDHobbs_files/figure-docx/unnamed-chunk-38-1.png"/>
                    <pic:cNvPicPr>
                      <a:picLocks noChangeAspect="1" noChangeArrowheads="1"/>
                    </pic:cNvPicPr>
                  </pic:nvPicPr>
                  <pic:blipFill>
                    <a:blip r:embed="rId13"/>
                    <a:stretch>
                      <a:fillRect/>
                    </a:stretch>
                  </pic:blipFill>
                  <pic:spPr bwMode="auto">
                    <a:xfrm>
                      <a:off x="0" y="0"/>
                      <a:ext cx="5930793" cy="3045938"/>
                    </a:xfrm>
                    <a:prstGeom prst="rect">
                      <a:avLst/>
                    </a:prstGeom>
                    <a:noFill/>
                    <a:ln w="9525">
                      <a:noFill/>
                      <a:headEnd/>
                      <a:tailEnd/>
                    </a:ln>
                  </pic:spPr>
                </pic:pic>
              </a:graphicData>
            </a:graphic>
          </wp:inline>
        </w:drawing>
      </w:r>
    </w:p>
    <w:p w14:paraId="5AB8E939" w14:textId="77777777" w:rsidR="00674F9C" w:rsidRDefault="00000000">
      <w:pPr>
        <w:pStyle w:val="ImageCaption"/>
      </w:pPr>
      <w:r>
        <w:t>Figure 6. Hospitalization and adverse outcome by condition count.</w:t>
      </w:r>
    </w:p>
    <w:p w14:paraId="02D80AE6" w14:textId="77777777"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t>Figure 6 shows that hospitalization increased with the number of pre-existing conditions. Among patients with no recorded conditions, 18.0% were hospitalized, compared with 67.0% of patients with four or more conditions.</w:t>
      </w:r>
    </w:p>
    <w:p w14:paraId="3526CF34" w14:textId="77777777"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t>Adverse outcomes were uncommon among patients who were sent home, but they still occurred. Among sent-home patients, the adverse outcome rate increased from about 0.9% for those with no recorded conditions to 12.6% for those with four or more conditions.</w:t>
      </w:r>
    </w:p>
    <w:p w14:paraId="2CE7D9D5" w14:textId="77777777"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t>Most confirmed positive cases had few recorded conditions: 58.0% had none, 24.9% had one, 11.5% had two, 4.3% had three, and 1.3% had four or more. Although the 4+ group was small, it had the highest hospitalization rate and the highest adverse outcome rate, suggesting greater vulnerability among patients with multiple pre-existing conditions.</w:t>
      </w:r>
    </w:p>
    <w:p w14:paraId="559C85FC" w14:textId="77777777" w:rsidR="00674F9C" w:rsidRPr="00676C57" w:rsidRDefault="00000000">
      <w:pPr>
        <w:pStyle w:val="Heading2"/>
        <w:rPr>
          <w:sz w:val="28"/>
          <w:szCs w:val="28"/>
        </w:rPr>
      </w:pPr>
      <w:bookmarkStart w:id="15" w:name="key-eda-takeaways-for-modeling"/>
      <w:bookmarkEnd w:id="14"/>
      <w:r w:rsidRPr="00676C57">
        <w:rPr>
          <w:sz w:val="28"/>
          <w:szCs w:val="28"/>
        </w:rPr>
        <w:t>5.5 Key EDA Takeaways for Modeling</w:t>
      </w:r>
    </w:p>
    <w:p w14:paraId="70CD0AEE" w14:textId="77777777" w:rsidR="00674F9C" w:rsidRPr="00093EBC" w:rsidRDefault="00000000" w:rsidP="00093EBC">
      <w:pPr>
        <w:pStyle w:val="FirstParagraph"/>
        <w:spacing w:line="480" w:lineRule="auto"/>
        <w:rPr>
          <w:rFonts w:ascii="Times New Roman" w:hAnsi="Times New Roman" w:cs="Times New Roman"/>
        </w:rPr>
      </w:pPr>
      <w:r w:rsidRPr="00093EBC">
        <w:rPr>
          <w:rFonts w:ascii="Times New Roman" w:hAnsi="Times New Roman" w:cs="Times New Roman"/>
        </w:rPr>
        <w:t xml:space="preserve">EDA suggested that age, chronic renal disease, COPD, diabetes, hypertension, obesity, sex, and tobacco use were important variables for modeling. Several potential interaction patterns were </w:t>
      </w:r>
      <w:r w:rsidRPr="00093EBC">
        <w:rPr>
          <w:rFonts w:ascii="Times New Roman" w:hAnsi="Times New Roman" w:cs="Times New Roman"/>
        </w:rPr>
        <w:lastRenderedPageBreak/>
        <w:t>also observed, especially between hypertension and obesity, diabetes and obesity, sex and selected conditions, and tobacco use across age groups.</w:t>
      </w:r>
    </w:p>
    <w:p w14:paraId="05294C5E" w14:textId="77777777"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t xml:space="preserve">Pneumonia, hospitalization status, age group, pregnancy status, and </w:t>
      </w:r>
      <w:r w:rsidRPr="00093EBC">
        <w:rPr>
          <w:rStyle w:val="VerbatimChar"/>
          <w:rFonts w:ascii="Times New Roman" w:hAnsi="Times New Roman" w:cs="Times New Roman"/>
        </w:rPr>
        <w:t>No_Conditions</w:t>
      </w:r>
      <w:r w:rsidRPr="00093EBC">
        <w:rPr>
          <w:rFonts w:ascii="Times New Roman" w:hAnsi="Times New Roman" w:cs="Times New Roman"/>
        </w:rPr>
        <w:t xml:space="preserve"> were removed from the supervised models because they were highly correlated with the outcome, redundant with other predictors, or outside the main modeling focus. The final supervised models focused on demographic variables and pre-existing conditions.</w:t>
      </w:r>
    </w:p>
    <w:p w14:paraId="1C636806" w14:textId="77777777" w:rsidR="00674F9C" w:rsidRPr="00676C57" w:rsidRDefault="00000000">
      <w:pPr>
        <w:pStyle w:val="Heading1"/>
        <w:rPr>
          <w:sz w:val="36"/>
          <w:szCs w:val="36"/>
        </w:rPr>
      </w:pPr>
      <w:bookmarkStart w:id="16" w:name="association-rule-mining-results"/>
      <w:bookmarkEnd w:id="10"/>
      <w:bookmarkEnd w:id="15"/>
      <w:r w:rsidRPr="00676C57">
        <w:rPr>
          <w:sz w:val="36"/>
          <w:szCs w:val="36"/>
        </w:rPr>
        <w:t>6. Association Rule Mining Results</w:t>
      </w:r>
    </w:p>
    <w:p w14:paraId="2C9A78A9" w14:textId="77777777" w:rsidR="00674F9C" w:rsidRPr="00093EBC" w:rsidRDefault="00000000" w:rsidP="00093EBC">
      <w:pPr>
        <w:pStyle w:val="FirstParagraph"/>
        <w:spacing w:line="480" w:lineRule="auto"/>
        <w:rPr>
          <w:rFonts w:ascii="Times New Roman" w:hAnsi="Times New Roman" w:cs="Times New Roman"/>
        </w:rPr>
      </w:pPr>
      <w:r w:rsidRPr="00093EBC">
        <w:rPr>
          <w:rFonts w:ascii="Times New Roman" w:hAnsi="Times New Roman" w:cs="Times New Roman"/>
        </w:rPr>
        <w:t>Association rule mining, also known as market basket analysis, is an unsupervised method used to identify patterns among binary features. In this study, it was used to find combinations of age group, sex, tobacco use, and pre-existing conditions associated with adverse COVID-19 outcomes.</w:t>
      </w:r>
    </w:p>
    <w:p w14:paraId="3D13B400" w14:textId="77777777"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t xml:space="preserve">Each rule includes a left-hand side, or antecedent, and a right-hand side, or consequent. The right-hand side was fixed as </w:t>
      </w:r>
      <w:r w:rsidRPr="00093EBC">
        <w:rPr>
          <w:rStyle w:val="VerbatimChar"/>
          <w:rFonts w:ascii="Times New Roman" w:hAnsi="Times New Roman" w:cs="Times New Roman"/>
        </w:rPr>
        <w:t>Adverse_Outcome</w:t>
      </w:r>
      <w:r w:rsidRPr="00093EBC">
        <w:rPr>
          <w:rFonts w:ascii="Times New Roman" w:hAnsi="Times New Roman" w:cs="Times New Roman"/>
        </w:rPr>
        <w:t>. Rules were evaluated using support, confidence, and lift. Support measures how often the rule occurs, confidence measures the probability of adverse outcome given the rule conditions, and lift compares that probability to the overall adverse outcome rate.</w:t>
      </w:r>
    </w:p>
    <w:p w14:paraId="37ED3E37" w14:textId="77777777"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t>Association rule mining was not used as a predictive model. Instead, it supported interpretation and helped identify possible interaction patterns for logistic regression.</w:t>
      </w:r>
    </w:p>
    <w:p w14:paraId="23789222" w14:textId="77777777" w:rsidR="00674F9C" w:rsidRPr="00676C57" w:rsidRDefault="00000000">
      <w:pPr>
        <w:pStyle w:val="Heading2"/>
        <w:rPr>
          <w:sz w:val="28"/>
          <w:szCs w:val="28"/>
        </w:rPr>
      </w:pPr>
      <w:bookmarkStart w:id="17" w:name="method"/>
      <w:r w:rsidRPr="00676C57">
        <w:rPr>
          <w:sz w:val="28"/>
          <w:szCs w:val="28"/>
        </w:rPr>
        <w:t>6.1 Method</w:t>
      </w:r>
    </w:p>
    <w:p w14:paraId="638AE722" w14:textId="77777777" w:rsidR="00674F9C" w:rsidRPr="00093EBC" w:rsidRDefault="00000000" w:rsidP="00093EBC">
      <w:pPr>
        <w:pStyle w:val="FirstParagraph"/>
        <w:spacing w:line="480" w:lineRule="auto"/>
        <w:rPr>
          <w:rFonts w:ascii="Times New Roman" w:hAnsi="Times New Roman" w:cs="Times New Roman"/>
        </w:rPr>
      </w:pPr>
      <w:r w:rsidRPr="00093EBC">
        <w:rPr>
          <w:rFonts w:ascii="Times New Roman" w:hAnsi="Times New Roman" w:cs="Times New Roman"/>
        </w:rPr>
        <w:t xml:space="preserve">Two association rule sets were generated: one including sex and one excluding sex. Both used minimum support of 0.002 and minimum confidence of 0.50. Because the overall adverse </w:t>
      </w:r>
      <w:r w:rsidRPr="00093EBC">
        <w:rPr>
          <w:rFonts w:ascii="Times New Roman" w:hAnsi="Times New Roman" w:cs="Times New Roman"/>
        </w:rPr>
        <w:lastRenderedPageBreak/>
        <w:t>outcome rate was approximately 15%, this confidence threshold generally corresponded to lift values above 3.</w:t>
      </w:r>
    </w:p>
    <w:p w14:paraId="62D1F9D0" w14:textId="77777777"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t>The full rule set produced 52 rules, while the rule set excluding sex produced 29 rules. The tables show the top rules by lift, and the scatter plots examine the top 25 rules from each set.</w:t>
      </w:r>
    </w:p>
    <w:p w14:paraId="2C698112" w14:textId="77777777" w:rsidR="00674F9C" w:rsidRPr="00676C57" w:rsidRDefault="00000000">
      <w:pPr>
        <w:pStyle w:val="Heading2"/>
        <w:rPr>
          <w:sz w:val="28"/>
          <w:szCs w:val="28"/>
        </w:rPr>
      </w:pPr>
      <w:bookmarkStart w:id="18" w:name="main-rule-patterns"/>
      <w:bookmarkEnd w:id="17"/>
      <w:r w:rsidRPr="00676C57">
        <w:rPr>
          <w:sz w:val="28"/>
          <w:szCs w:val="28"/>
        </w:rPr>
        <w:t>6.2 Main Rule Patterns</w:t>
      </w:r>
    </w:p>
    <w:p w14:paraId="66896794" w14:textId="77777777" w:rsidR="00674F9C" w:rsidRDefault="00000000">
      <w:pPr>
        <w:pStyle w:val="TableCaption"/>
      </w:pPr>
      <w:r>
        <w:t>Table 1. Top 10 Rules for Adverse Outcome (with sex)</w:t>
      </w:r>
    </w:p>
    <w:tbl>
      <w:tblPr>
        <w:tblStyle w:val="Table"/>
        <w:tblW w:w="5191" w:type="pct"/>
        <w:tblLayout w:type="fixed"/>
        <w:tblLook w:val="0020" w:firstRow="1" w:lastRow="0" w:firstColumn="0" w:lastColumn="0" w:noHBand="0" w:noVBand="0"/>
      </w:tblPr>
      <w:tblGrid>
        <w:gridCol w:w="6498"/>
        <w:gridCol w:w="1136"/>
        <w:gridCol w:w="1421"/>
        <w:gridCol w:w="887"/>
      </w:tblGrid>
      <w:tr w:rsidR="00674F9C" w14:paraId="2B4D7A0D" w14:textId="77777777" w:rsidTr="006D7B72">
        <w:trPr>
          <w:cnfStyle w:val="100000000000" w:firstRow="1" w:lastRow="0" w:firstColumn="0" w:lastColumn="0" w:oddVBand="0" w:evenVBand="0" w:oddHBand="0" w:evenHBand="0" w:firstRowFirstColumn="0" w:firstRowLastColumn="0" w:lastRowFirstColumn="0" w:lastRowLastColumn="0"/>
          <w:tblHeader/>
        </w:trPr>
        <w:tc>
          <w:tcPr>
            <w:tcW w:w="6497" w:type="dxa"/>
          </w:tcPr>
          <w:p w14:paraId="40578304" w14:textId="77777777" w:rsidR="00674F9C" w:rsidRDefault="00000000">
            <w:pPr>
              <w:pStyle w:val="Compact"/>
            </w:pPr>
            <w:r>
              <w:t>lhs</w:t>
            </w:r>
          </w:p>
        </w:tc>
        <w:tc>
          <w:tcPr>
            <w:tcW w:w="1136" w:type="dxa"/>
          </w:tcPr>
          <w:p w14:paraId="7849F9A8" w14:textId="77777777" w:rsidR="00674F9C" w:rsidRDefault="00000000">
            <w:pPr>
              <w:pStyle w:val="Compact"/>
              <w:jc w:val="right"/>
            </w:pPr>
            <w:r>
              <w:t>support</w:t>
            </w:r>
          </w:p>
        </w:tc>
        <w:tc>
          <w:tcPr>
            <w:tcW w:w="1421" w:type="dxa"/>
          </w:tcPr>
          <w:p w14:paraId="48FB8DA1" w14:textId="77777777" w:rsidR="00674F9C" w:rsidRDefault="00000000">
            <w:pPr>
              <w:pStyle w:val="Compact"/>
              <w:jc w:val="right"/>
            </w:pPr>
            <w:r>
              <w:t>confidence</w:t>
            </w:r>
          </w:p>
        </w:tc>
        <w:tc>
          <w:tcPr>
            <w:tcW w:w="887" w:type="dxa"/>
          </w:tcPr>
          <w:p w14:paraId="75752D08" w14:textId="77777777" w:rsidR="00674F9C" w:rsidRDefault="00000000">
            <w:pPr>
              <w:pStyle w:val="Compact"/>
              <w:jc w:val="right"/>
            </w:pPr>
            <w:r>
              <w:t>lift</w:t>
            </w:r>
          </w:p>
        </w:tc>
      </w:tr>
      <w:tr w:rsidR="00674F9C" w14:paraId="230FED37" w14:textId="77777777" w:rsidTr="006D7B72">
        <w:tc>
          <w:tcPr>
            <w:tcW w:w="6497" w:type="dxa"/>
          </w:tcPr>
          <w:p w14:paraId="56501F29" w14:textId="77777777" w:rsidR="00674F9C" w:rsidRDefault="00000000">
            <w:pPr>
              <w:pStyle w:val="Compact"/>
            </w:pPr>
            <w:r>
              <w:t>{Sex=Male,Diabetes,Age_Group=81+}</w:t>
            </w:r>
          </w:p>
        </w:tc>
        <w:tc>
          <w:tcPr>
            <w:tcW w:w="1136" w:type="dxa"/>
          </w:tcPr>
          <w:p w14:paraId="5AC84AF3" w14:textId="77777777" w:rsidR="00674F9C" w:rsidRDefault="00000000">
            <w:pPr>
              <w:pStyle w:val="Compact"/>
              <w:jc w:val="right"/>
            </w:pPr>
            <w:r>
              <w:t>0.002</w:t>
            </w:r>
          </w:p>
        </w:tc>
        <w:tc>
          <w:tcPr>
            <w:tcW w:w="1421" w:type="dxa"/>
          </w:tcPr>
          <w:p w14:paraId="50F02B10" w14:textId="77777777" w:rsidR="00674F9C" w:rsidRDefault="00000000">
            <w:pPr>
              <w:pStyle w:val="Compact"/>
              <w:jc w:val="right"/>
            </w:pPr>
            <w:r>
              <w:t>0.626</w:t>
            </w:r>
          </w:p>
        </w:tc>
        <w:tc>
          <w:tcPr>
            <w:tcW w:w="887" w:type="dxa"/>
          </w:tcPr>
          <w:p w14:paraId="28B0D609" w14:textId="77777777" w:rsidR="00674F9C" w:rsidRDefault="00000000">
            <w:pPr>
              <w:pStyle w:val="Compact"/>
              <w:jc w:val="right"/>
            </w:pPr>
            <w:r>
              <w:t>4.054</w:t>
            </w:r>
          </w:p>
        </w:tc>
      </w:tr>
      <w:tr w:rsidR="00674F9C" w14:paraId="507124CA" w14:textId="77777777" w:rsidTr="006D7B72">
        <w:tc>
          <w:tcPr>
            <w:tcW w:w="6497" w:type="dxa"/>
          </w:tcPr>
          <w:p w14:paraId="350C1792" w14:textId="77777777" w:rsidR="00674F9C" w:rsidRDefault="00000000">
            <w:pPr>
              <w:pStyle w:val="Compact"/>
            </w:pPr>
            <w:r>
              <w:t>{Sex=Male,Hypertension,Age_Group=81+}</w:t>
            </w:r>
          </w:p>
        </w:tc>
        <w:tc>
          <w:tcPr>
            <w:tcW w:w="1136" w:type="dxa"/>
          </w:tcPr>
          <w:p w14:paraId="2BF1058C" w14:textId="77777777" w:rsidR="00674F9C" w:rsidRDefault="00000000">
            <w:pPr>
              <w:pStyle w:val="Compact"/>
              <w:jc w:val="right"/>
            </w:pPr>
            <w:r>
              <w:t>0.004</w:t>
            </w:r>
          </w:p>
        </w:tc>
        <w:tc>
          <w:tcPr>
            <w:tcW w:w="1421" w:type="dxa"/>
          </w:tcPr>
          <w:p w14:paraId="586E869A" w14:textId="77777777" w:rsidR="00674F9C" w:rsidRDefault="00000000">
            <w:pPr>
              <w:pStyle w:val="Compact"/>
              <w:jc w:val="right"/>
            </w:pPr>
            <w:r>
              <w:t>0.617</w:t>
            </w:r>
          </w:p>
        </w:tc>
        <w:tc>
          <w:tcPr>
            <w:tcW w:w="887" w:type="dxa"/>
          </w:tcPr>
          <w:p w14:paraId="232EAB5F" w14:textId="77777777" w:rsidR="00674F9C" w:rsidRDefault="00000000">
            <w:pPr>
              <w:pStyle w:val="Compact"/>
              <w:jc w:val="right"/>
            </w:pPr>
            <w:r>
              <w:t>3.997</w:t>
            </w:r>
          </w:p>
        </w:tc>
      </w:tr>
      <w:tr w:rsidR="00674F9C" w14:paraId="163F8EE0" w14:textId="77777777" w:rsidTr="006D7B72">
        <w:tc>
          <w:tcPr>
            <w:tcW w:w="6497" w:type="dxa"/>
          </w:tcPr>
          <w:p w14:paraId="1F9D4BF3" w14:textId="77777777" w:rsidR="00674F9C" w:rsidRDefault="00000000">
            <w:pPr>
              <w:pStyle w:val="Compact"/>
            </w:pPr>
            <w:r>
              <w:t>{Diabetes,Chronic_Renal_Disease,Age_Group=65-80}</w:t>
            </w:r>
          </w:p>
        </w:tc>
        <w:tc>
          <w:tcPr>
            <w:tcW w:w="1136" w:type="dxa"/>
          </w:tcPr>
          <w:p w14:paraId="707778B3" w14:textId="77777777" w:rsidR="00674F9C" w:rsidRDefault="00000000">
            <w:pPr>
              <w:pStyle w:val="Compact"/>
              <w:jc w:val="right"/>
            </w:pPr>
            <w:r>
              <w:t>0.002</w:t>
            </w:r>
          </w:p>
        </w:tc>
        <w:tc>
          <w:tcPr>
            <w:tcW w:w="1421" w:type="dxa"/>
          </w:tcPr>
          <w:p w14:paraId="325E598C" w14:textId="77777777" w:rsidR="00674F9C" w:rsidRDefault="00000000">
            <w:pPr>
              <w:pStyle w:val="Compact"/>
              <w:jc w:val="right"/>
            </w:pPr>
            <w:r>
              <w:t>0.605</w:t>
            </w:r>
          </w:p>
        </w:tc>
        <w:tc>
          <w:tcPr>
            <w:tcW w:w="887" w:type="dxa"/>
          </w:tcPr>
          <w:p w14:paraId="689E26B3" w14:textId="77777777" w:rsidR="00674F9C" w:rsidRDefault="00000000">
            <w:pPr>
              <w:pStyle w:val="Compact"/>
              <w:jc w:val="right"/>
            </w:pPr>
            <w:r>
              <w:t>3.919</w:t>
            </w:r>
          </w:p>
        </w:tc>
      </w:tr>
      <w:tr w:rsidR="00674F9C" w14:paraId="77E784B2" w14:textId="77777777" w:rsidTr="006D7B72">
        <w:tc>
          <w:tcPr>
            <w:tcW w:w="6497" w:type="dxa"/>
          </w:tcPr>
          <w:p w14:paraId="1F58E5CB" w14:textId="77777777" w:rsidR="00674F9C" w:rsidRDefault="00000000">
            <w:pPr>
              <w:pStyle w:val="Compact"/>
            </w:pPr>
            <w:r>
              <w:t>{Sex=Male,Age_Group=81+}</w:t>
            </w:r>
          </w:p>
        </w:tc>
        <w:tc>
          <w:tcPr>
            <w:tcW w:w="1136" w:type="dxa"/>
          </w:tcPr>
          <w:p w14:paraId="30745BFD" w14:textId="77777777" w:rsidR="00674F9C" w:rsidRDefault="00000000">
            <w:pPr>
              <w:pStyle w:val="Compact"/>
              <w:jc w:val="right"/>
            </w:pPr>
            <w:r>
              <w:t>0.007</w:t>
            </w:r>
          </w:p>
        </w:tc>
        <w:tc>
          <w:tcPr>
            <w:tcW w:w="1421" w:type="dxa"/>
          </w:tcPr>
          <w:p w14:paraId="7AF9B812" w14:textId="77777777" w:rsidR="00674F9C" w:rsidRDefault="00000000">
            <w:pPr>
              <w:pStyle w:val="Compact"/>
              <w:jc w:val="right"/>
            </w:pPr>
            <w:r>
              <w:t>0.602</w:t>
            </w:r>
          </w:p>
        </w:tc>
        <w:tc>
          <w:tcPr>
            <w:tcW w:w="887" w:type="dxa"/>
          </w:tcPr>
          <w:p w14:paraId="59178F76" w14:textId="77777777" w:rsidR="00674F9C" w:rsidRDefault="00000000">
            <w:pPr>
              <w:pStyle w:val="Compact"/>
              <w:jc w:val="right"/>
            </w:pPr>
            <w:r>
              <w:t>3.898</w:t>
            </w:r>
          </w:p>
        </w:tc>
      </w:tr>
      <w:tr w:rsidR="00674F9C" w14:paraId="5E1064BF" w14:textId="77777777" w:rsidTr="006D7B72">
        <w:tc>
          <w:tcPr>
            <w:tcW w:w="6497" w:type="dxa"/>
          </w:tcPr>
          <w:p w14:paraId="07DA90E9" w14:textId="77777777" w:rsidR="00674F9C" w:rsidRDefault="00000000">
            <w:pPr>
              <w:pStyle w:val="Compact"/>
            </w:pPr>
            <w:r>
              <w:t>{Chronic_Renal_Disease,Age_Group=65-80}</w:t>
            </w:r>
          </w:p>
        </w:tc>
        <w:tc>
          <w:tcPr>
            <w:tcW w:w="1136" w:type="dxa"/>
          </w:tcPr>
          <w:p w14:paraId="66F5F204" w14:textId="77777777" w:rsidR="00674F9C" w:rsidRDefault="00000000">
            <w:pPr>
              <w:pStyle w:val="Compact"/>
              <w:jc w:val="right"/>
            </w:pPr>
            <w:r>
              <w:t>0.003</w:t>
            </w:r>
          </w:p>
        </w:tc>
        <w:tc>
          <w:tcPr>
            <w:tcW w:w="1421" w:type="dxa"/>
          </w:tcPr>
          <w:p w14:paraId="04526636" w14:textId="77777777" w:rsidR="00674F9C" w:rsidRDefault="00000000">
            <w:pPr>
              <w:pStyle w:val="Compact"/>
              <w:jc w:val="right"/>
            </w:pPr>
            <w:r>
              <w:t>0.596</w:t>
            </w:r>
          </w:p>
        </w:tc>
        <w:tc>
          <w:tcPr>
            <w:tcW w:w="887" w:type="dxa"/>
          </w:tcPr>
          <w:p w14:paraId="6827E887" w14:textId="77777777" w:rsidR="00674F9C" w:rsidRDefault="00000000">
            <w:pPr>
              <w:pStyle w:val="Compact"/>
              <w:jc w:val="right"/>
            </w:pPr>
            <w:r>
              <w:t>3.860</w:t>
            </w:r>
          </w:p>
        </w:tc>
      </w:tr>
      <w:tr w:rsidR="00674F9C" w14:paraId="2C455B69" w14:textId="77777777" w:rsidTr="006D7B72">
        <w:tc>
          <w:tcPr>
            <w:tcW w:w="6497" w:type="dxa"/>
          </w:tcPr>
          <w:p w14:paraId="35F5EE32" w14:textId="77777777" w:rsidR="00674F9C" w:rsidRDefault="00000000">
            <w:pPr>
              <w:pStyle w:val="Compact"/>
            </w:pPr>
            <w:r>
              <w:t>{Hypertension,Chronic_Renal_Disease,Age_Group=65-80}</w:t>
            </w:r>
          </w:p>
        </w:tc>
        <w:tc>
          <w:tcPr>
            <w:tcW w:w="1136" w:type="dxa"/>
          </w:tcPr>
          <w:p w14:paraId="36BFC2D7" w14:textId="77777777" w:rsidR="00674F9C" w:rsidRDefault="00000000">
            <w:pPr>
              <w:pStyle w:val="Compact"/>
              <w:jc w:val="right"/>
            </w:pPr>
            <w:r>
              <w:t>0.003</w:t>
            </w:r>
          </w:p>
        </w:tc>
        <w:tc>
          <w:tcPr>
            <w:tcW w:w="1421" w:type="dxa"/>
          </w:tcPr>
          <w:p w14:paraId="75A2814D" w14:textId="77777777" w:rsidR="00674F9C" w:rsidRDefault="00000000">
            <w:pPr>
              <w:pStyle w:val="Compact"/>
              <w:jc w:val="right"/>
            </w:pPr>
            <w:r>
              <w:t>0.590</w:t>
            </w:r>
          </w:p>
        </w:tc>
        <w:tc>
          <w:tcPr>
            <w:tcW w:w="887" w:type="dxa"/>
          </w:tcPr>
          <w:p w14:paraId="764766F2" w14:textId="77777777" w:rsidR="00674F9C" w:rsidRDefault="00000000">
            <w:pPr>
              <w:pStyle w:val="Compact"/>
              <w:jc w:val="right"/>
            </w:pPr>
            <w:r>
              <w:t>3.820</w:t>
            </w:r>
          </w:p>
        </w:tc>
      </w:tr>
      <w:tr w:rsidR="00674F9C" w14:paraId="24F1167B" w14:textId="77777777" w:rsidTr="006D7B72">
        <w:tc>
          <w:tcPr>
            <w:tcW w:w="6497" w:type="dxa"/>
          </w:tcPr>
          <w:p w14:paraId="7BD08A9B" w14:textId="77777777" w:rsidR="00674F9C" w:rsidRDefault="00000000">
            <w:pPr>
              <w:pStyle w:val="Compact"/>
            </w:pPr>
            <w:r>
              <w:t>{Sex=Male,Diabetes,Chronic_Renal_Disease}</w:t>
            </w:r>
          </w:p>
        </w:tc>
        <w:tc>
          <w:tcPr>
            <w:tcW w:w="1136" w:type="dxa"/>
          </w:tcPr>
          <w:p w14:paraId="0A6256BF" w14:textId="77777777" w:rsidR="00674F9C" w:rsidRDefault="00000000">
            <w:pPr>
              <w:pStyle w:val="Compact"/>
              <w:jc w:val="right"/>
            </w:pPr>
            <w:r>
              <w:t>0.004</w:t>
            </w:r>
          </w:p>
        </w:tc>
        <w:tc>
          <w:tcPr>
            <w:tcW w:w="1421" w:type="dxa"/>
          </w:tcPr>
          <w:p w14:paraId="79A6895E" w14:textId="77777777" w:rsidR="00674F9C" w:rsidRDefault="00000000">
            <w:pPr>
              <w:pStyle w:val="Compact"/>
              <w:jc w:val="right"/>
            </w:pPr>
            <w:r>
              <w:t>0.585</w:t>
            </w:r>
          </w:p>
        </w:tc>
        <w:tc>
          <w:tcPr>
            <w:tcW w:w="887" w:type="dxa"/>
          </w:tcPr>
          <w:p w14:paraId="04F0CCE5" w14:textId="77777777" w:rsidR="00674F9C" w:rsidRDefault="00000000">
            <w:pPr>
              <w:pStyle w:val="Compact"/>
              <w:jc w:val="right"/>
            </w:pPr>
            <w:r>
              <w:t>3.790</w:t>
            </w:r>
          </w:p>
        </w:tc>
      </w:tr>
      <w:tr w:rsidR="00674F9C" w14:paraId="4D7B3C09" w14:textId="77777777" w:rsidTr="006D7B72">
        <w:tc>
          <w:tcPr>
            <w:tcW w:w="6497" w:type="dxa"/>
          </w:tcPr>
          <w:p w14:paraId="4FF82361" w14:textId="6D392135" w:rsidR="00674F9C" w:rsidRDefault="00000000">
            <w:pPr>
              <w:pStyle w:val="Compact"/>
            </w:pPr>
            <w:r>
              <w:t>{Sex=</w:t>
            </w:r>
            <w:proofErr w:type="spellStart"/>
            <w:proofErr w:type="gramStart"/>
            <w:r>
              <w:t>Male,Diabetes</w:t>
            </w:r>
            <w:proofErr w:type="gramEnd"/>
            <w:r>
              <w:t>,</w:t>
            </w:r>
            <w:proofErr w:type="gramStart"/>
            <w:r>
              <w:t>Hypertension,Chronic</w:t>
            </w:r>
            <w:proofErr w:type="gramEnd"/>
            <w:r>
              <w:t>_Renal_Disease</w:t>
            </w:r>
            <w:proofErr w:type="spellEnd"/>
            <w:r w:rsidR="006D7B72">
              <w:t>}</w:t>
            </w:r>
          </w:p>
        </w:tc>
        <w:tc>
          <w:tcPr>
            <w:tcW w:w="1136" w:type="dxa"/>
          </w:tcPr>
          <w:p w14:paraId="7D723100" w14:textId="77777777" w:rsidR="00674F9C" w:rsidRDefault="00000000">
            <w:pPr>
              <w:pStyle w:val="Compact"/>
              <w:jc w:val="right"/>
            </w:pPr>
            <w:r>
              <w:t>0.003</w:t>
            </w:r>
          </w:p>
        </w:tc>
        <w:tc>
          <w:tcPr>
            <w:tcW w:w="1421" w:type="dxa"/>
          </w:tcPr>
          <w:p w14:paraId="20CEDB5E" w14:textId="77777777" w:rsidR="00674F9C" w:rsidRDefault="00000000">
            <w:pPr>
              <w:pStyle w:val="Compact"/>
              <w:jc w:val="right"/>
            </w:pPr>
            <w:r>
              <w:t>0.585</w:t>
            </w:r>
          </w:p>
        </w:tc>
        <w:tc>
          <w:tcPr>
            <w:tcW w:w="887" w:type="dxa"/>
          </w:tcPr>
          <w:p w14:paraId="3AC25D1F" w14:textId="77777777" w:rsidR="00674F9C" w:rsidRDefault="00000000">
            <w:pPr>
              <w:pStyle w:val="Compact"/>
              <w:jc w:val="right"/>
            </w:pPr>
            <w:r>
              <w:t>3.789</w:t>
            </w:r>
          </w:p>
        </w:tc>
      </w:tr>
      <w:tr w:rsidR="00674F9C" w14:paraId="34CCB924" w14:textId="77777777" w:rsidTr="006D7B72">
        <w:tc>
          <w:tcPr>
            <w:tcW w:w="6497" w:type="dxa"/>
          </w:tcPr>
          <w:p w14:paraId="0BBB13F1" w14:textId="77777777" w:rsidR="00674F9C" w:rsidRDefault="00000000">
            <w:pPr>
              <w:pStyle w:val="Compact"/>
            </w:pPr>
            <w:r>
              <w:t>{Diabetes,Age_Group=81+}</w:t>
            </w:r>
          </w:p>
        </w:tc>
        <w:tc>
          <w:tcPr>
            <w:tcW w:w="1136" w:type="dxa"/>
          </w:tcPr>
          <w:p w14:paraId="22F8C2E5" w14:textId="77777777" w:rsidR="00674F9C" w:rsidRDefault="00000000">
            <w:pPr>
              <w:pStyle w:val="Compact"/>
              <w:jc w:val="right"/>
            </w:pPr>
            <w:r>
              <w:t>0.004</w:t>
            </w:r>
          </w:p>
        </w:tc>
        <w:tc>
          <w:tcPr>
            <w:tcW w:w="1421" w:type="dxa"/>
          </w:tcPr>
          <w:p w14:paraId="3C598377" w14:textId="77777777" w:rsidR="00674F9C" w:rsidRDefault="00000000">
            <w:pPr>
              <w:pStyle w:val="Compact"/>
              <w:jc w:val="right"/>
            </w:pPr>
            <w:r>
              <w:t>0.584</w:t>
            </w:r>
          </w:p>
        </w:tc>
        <w:tc>
          <w:tcPr>
            <w:tcW w:w="887" w:type="dxa"/>
          </w:tcPr>
          <w:p w14:paraId="51152F84" w14:textId="77777777" w:rsidR="00674F9C" w:rsidRDefault="00000000">
            <w:pPr>
              <w:pStyle w:val="Compact"/>
              <w:jc w:val="right"/>
            </w:pPr>
            <w:r>
              <w:t>3.780</w:t>
            </w:r>
          </w:p>
        </w:tc>
      </w:tr>
      <w:tr w:rsidR="00674F9C" w14:paraId="67C99182" w14:textId="77777777" w:rsidTr="006D7B72">
        <w:tc>
          <w:tcPr>
            <w:tcW w:w="6497" w:type="dxa"/>
          </w:tcPr>
          <w:p w14:paraId="11909E63" w14:textId="77777777" w:rsidR="006D7B72" w:rsidRDefault="00000000">
            <w:pPr>
              <w:pStyle w:val="Compact"/>
            </w:pPr>
            <w:r>
              <w:t>{</w:t>
            </w:r>
            <w:proofErr w:type="spellStart"/>
            <w:proofErr w:type="gramStart"/>
            <w:r>
              <w:t>Diabetes,Hypertension</w:t>
            </w:r>
            <w:proofErr w:type="gramEnd"/>
            <w:r>
              <w:t>,Chronic_Renal_Disease</w:t>
            </w:r>
            <w:proofErr w:type="spellEnd"/>
            <w:r>
              <w:t>,</w:t>
            </w:r>
          </w:p>
          <w:p w14:paraId="2CE759EB" w14:textId="39AF34FD" w:rsidR="00674F9C" w:rsidRDefault="00000000">
            <w:pPr>
              <w:pStyle w:val="Compact"/>
            </w:pPr>
            <w:proofErr w:type="spellStart"/>
            <w:r>
              <w:t>Age_Group</w:t>
            </w:r>
            <w:proofErr w:type="spellEnd"/>
            <w:r>
              <w:t>=51-64}</w:t>
            </w:r>
          </w:p>
        </w:tc>
        <w:tc>
          <w:tcPr>
            <w:tcW w:w="1136" w:type="dxa"/>
          </w:tcPr>
          <w:p w14:paraId="42715CEB" w14:textId="77777777" w:rsidR="00674F9C" w:rsidRDefault="00000000">
            <w:pPr>
              <w:pStyle w:val="Compact"/>
              <w:jc w:val="right"/>
            </w:pPr>
            <w:r>
              <w:t>0.002</w:t>
            </w:r>
          </w:p>
        </w:tc>
        <w:tc>
          <w:tcPr>
            <w:tcW w:w="1421" w:type="dxa"/>
          </w:tcPr>
          <w:p w14:paraId="12068754" w14:textId="77777777" w:rsidR="00674F9C" w:rsidRDefault="00000000">
            <w:pPr>
              <w:pStyle w:val="Compact"/>
              <w:jc w:val="right"/>
            </w:pPr>
            <w:r>
              <w:t>0.582</w:t>
            </w:r>
          </w:p>
        </w:tc>
        <w:tc>
          <w:tcPr>
            <w:tcW w:w="887" w:type="dxa"/>
          </w:tcPr>
          <w:p w14:paraId="1F8260D5" w14:textId="77777777" w:rsidR="00674F9C" w:rsidRDefault="00000000">
            <w:pPr>
              <w:pStyle w:val="Compact"/>
              <w:jc w:val="right"/>
            </w:pPr>
            <w:r>
              <w:t>3.772</w:t>
            </w:r>
          </w:p>
        </w:tc>
      </w:tr>
    </w:tbl>
    <w:p w14:paraId="3AE02907" w14:textId="77777777"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t>In the rule set that included sex, the top-ranked rules were dominated by males. The highest-lift rules involved males ages 81+, with lift values around 4. Other high-ranking rules involved individuals ages 65-80 with chronic renal disease, with lift values around 3.9. No female rules appeared among the top-ranked rules, although female-specific patterns are shown in Figure 7.</w:t>
      </w:r>
    </w:p>
    <w:p w14:paraId="4492D499" w14:textId="77777777" w:rsidR="00674F9C" w:rsidRDefault="00000000">
      <w:pPr>
        <w:pStyle w:val="TableCaption"/>
      </w:pPr>
      <w:r>
        <w:t>Table 2. Top 10 Rules for Adverse Outcome (without sex)</w:t>
      </w:r>
    </w:p>
    <w:tbl>
      <w:tblPr>
        <w:tblStyle w:val="Table"/>
        <w:tblW w:w="5123" w:type="pct"/>
        <w:tblLayout w:type="fixed"/>
        <w:tblLook w:val="0020" w:firstRow="1" w:lastRow="0" w:firstColumn="0" w:lastColumn="0" w:noHBand="0" w:noVBand="0"/>
      </w:tblPr>
      <w:tblGrid>
        <w:gridCol w:w="6329"/>
        <w:gridCol w:w="1150"/>
        <w:gridCol w:w="1439"/>
        <w:gridCol w:w="894"/>
      </w:tblGrid>
      <w:tr w:rsidR="00674F9C" w14:paraId="0E5C5C3A" w14:textId="77777777" w:rsidTr="006D7B72">
        <w:trPr>
          <w:cnfStyle w:val="100000000000" w:firstRow="1" w:lastRow="0" w:firstColumn="0" w:lastColumn="0" w:oddVBand="0" w:evenVBand="0" w:oddHBand="0" w:evenHBand="0" w:firstRowFirstColumn="0" w:firstRowLastColumn="0" w:lastRowFirstColumn="0" w:lastRowLastColumn="0"/>
          <w:tblHeader/>
        </w:trPr>
        <w:tc>
          <w:tcPr>
            <w:tcW w:w="6329" w:type="dxa"/>
          </w:tcPr>
          <w:p w14:paraId="4FF2D05E" w14:textId="77777777" w:rsidR="00674F9C" w:rsidRDefault="00000000">
            <w:pPr>
              <w:pStyle w:val="Compact"/>
            </w:pPr>
            <w:r>
              <w:t>lhs</w:t>
            </w:r>
          </w:p>
        </w:tc>
        <w:tc>
          <w:tcPr>
            <w:tcW w:w="1150" w:type="dxa"/>
          </w:tcPr>
          <w:p w14:paraId="3130775F" w14:textId="77777777" w:rsidR="00674F9C" w:rsidRDefault="00000000">
            <w:pPr>
              <w:pStyle w:val="Compact"/>
              <w:jc w:val="right"/>
            </w:pPr>
            <w:r>
              <w:t>support</w:t>
            </w:r>
          </w:p>
        </w:tc>
        <w:tc>
          <w:tcPr>
            <w:tcW w:w="1439" w:type="dxa"/>
          </w:tcPr>
          <w:p w14:paraId="2B604D75" w14:textId="77777777" w:rsidR="00674F9C" w:rsidRDefault="00000000">
            <w:pPr>
              <w:pStyle w:val="Compact"/>
              <w:jc w:val="right"/>
            </w:pPr>
            <w:r>
              <w:t>confidence</w:t>
            </w:r>
          </w:p>
        </w:tc>
        <w:tc>
          <w:tcPr>
            <w:tcW w:w="894" w:type="dxa"/>
          </w:tcPr>
          <w:p w14:paraId="28884218" w14:textId="77777777" w:rsidR="00674F9C" w:rsidRDefault="00000000">
            <w:pPr>
              <w:pStyle w:val="Compact"/>
              <w:jc w:val="right"/>
            </w:pPr>
            <w:r>
              <w:t>lift</w:t>
            </w:r>
          </w:p>
        </w:tc>
      </w:tr>
      <w:tr w:rsidR="00674F9C" w14:paraId="79C27FC9" w14:textId="77777777" w:rsidTr="006D7B72">
        <w:tc>
          <w:tcPr>
            <w:tcW w:w="6329" w:type="dxa"/>
          </w:tcPr>
          <w:p w14:paraId="084AD7D1" w14:textId="77777777" w:rsidR="00674F9C" w:rsidRDefault="00000000">
            <w:pPr>
              <w:pStyle w:val="Compact"/>
            </w:pPr>
            <w:r>
              <w:t>{Diabetes,Chronic_Renal_Disease,Age_Group=65-80}</w:t>
            </w:r>
          </w:p>
        </w:tc>
        <w:tc>
          <w:tcPr>
            <w:tcW w:w="1150" w:type="dxa"/>
          </w:tcPr>
          <w:p w14:paraId="3A462FFD" w14:textId="77777777" w:rsidR="00674F9C" w:rsidRDefault="00000000">
            <w:pPr>
              <w:pStyle w:val="Compact"/>
              <w:jc w:val="right"/>
            </w:pPr>
            <w:r>
              <w:t>0.002</w:t>
            </w:r>
          </w:p>
        </w:tc>
        <w:tc>
          <w:tcPr>
            <w:tcW w:w="1439" w:type="dxa"/>
          </w:tcPr>
          <w:p w14:paraId="31ABC631" w14:textId="77777777" w:rsidR="00674F9C" w:rsidRDefault="00000000">
            <w:pPr>
              <w:pStyle w:val="Compact"/>
              <w:jc w:val="right"/>
            </w:pPr>
            <w:r>
              <w:t>0.605</w:t>
            </w:r>
          </w:p>
        </w:tc>
        <w:tc>
          <w:tcPr>
            <w:tcW w:w="894" w:type="dxa"/>
          </w:tcPr>
          <w:p w14:paraId="25DF1201" w14:textId="77777777" w:rsidR="00674F9C" w:rsidRDefault="00000000">
            <w:pPr>
              <w:pStyle w:val="Compact"/>
              <w:jc w:val="right"/>
            </w:pPr>
            <w:r>
              <w:t>3.919</w:t>
            </w:r>
          </w:p>
        </w:tc>
      </w:tr>
      <w:tr w:rsidR="00674F9C" w14:paraId="4B12135A" w14:textId="77777777" w:rsidTr="006D7B72">
        <w:tc>
          <w:tcPr>
            <w:tcW w:w="6329" w:type="dxa"/>
          </w:tcPr>
          <w:p w14:paraId="35AD308A" w14:textId="77777777" w:rsidR="00674F9C" w:rsidRDefault="00000000">
            <w:pPr>
              <w:pStyle w:val="Compact"/>
            </w:pPr>
            <w:r>
              <w:t>{Chronic_Renal_Disease,Age_Group=65-80}</w:t>
            </w:r>
          </w:p>
        </w:tc>
        <w:tc>
          <w:tcPr>
            <w:tcW w:w="1150" w:type="dxa"/>
          </w:tcPr>
          <w:p w14:paraId="502BF4F9" w14:textId="77777777" w:rsidR="00674F9C" w:rsidRDefault="00000000">
            <w:pPr>
              <w:pStyle w:val="Compact"/>
              <w:jc w:val="right"/>
            </w:pPr>
            <w:r>
              <w:t>0.003</w:t>
            </w:r>
          </w:p>
        </w:tc>
        <w:tc>
          <w:tcPr>
            <w:tcW w:w="1439" w:type="dxa"/>
          </w:tcPr>
          <w:p w14:paraId="4161E24D" w14:textId="77777777" w:rsidR="00674F9C" w:rsidRDefault="00000000">
            <w:pPr>
              <w:pStyle w:val="Compact"/>
              <w:jc w:val="right"/>
            </w:pPr>
            <w:r>
              <w:t>0.596</w:t>
            </w:r>
          </w:p>
        </w:tc>
        <w:tc>
          <w:tcPr>
            <w:tcW w:w="894" w:type="dxa"/>
          </w:tcPr>
          <w:p w14:paraId="633388C0" w14:textId="77777777" w:rsidR="00674F9C" w:rsidRDefault="00000000">
            <w:pPr>
              <w:pStyle w:val="Compact"/>
              <w:jc w:val="right"/>
            </w:pPr>
            <w:r>
              <w:t>3.860</w:t>
            </w:r>
          </w:p>
        </w:tc>
      </w:tr>
      <w:tr w:rsidR="00674F9C" w14:paraId="00F8E81D" w14:textId="77777777" w:rsidTr="006D7B72">
        <w:tc>
          <w:tcPr>
            <w:tcW w:w="6329" w:type="dxa"/>
          </w:tcPr>
          <w:p w14:paraId="0F7D493A" w14:textId="77777777" w:rsidR="00674F9C" w:rsidRDefault="00000000">
            <w:pPr>
              <w:pStyle w:val="Compact"/>
            </w:pPr>
            <w:r>
              <w:t>{Hypertension,Chronic_Renal_Disease,Age_Group=65-80}</w:t>
            </w:r>
          </w:p>
        </w:tc>
        <w:tc>
          <w:tcPr>
            <w:tcW w:w="1150" w:type="dxa"/>
          </w:tcPr>
          <w:p w14:paraId="546EEE44" w14:textId="77777777" w:rsidR="00674F9C" w:rsidRDefault="00000000">
            <w:pPr>
              <w:pStyle w:val="Compact"/>
              <w:jc w:val="right"/>
            </w:pPr>
            <w:r>
              <w:t>0.003</w:t>
            </w:r>
          </w:p>
        </w:tc>
        <w:tc>
          <w:tcPr>
            <w:tcW w:w="1439" w:type="dxa"/>
          </w:tcPr>
          <w:p w14:paraId="3EB78962" w14:textId="77777777" w:rsidR="00674F9C" w:rsidRDefault="00000000">
            <w:pPr>
              <w:pStyle w:val="Compact"/>
              <w:jc w:val="right"/>
            </w:pPr>
            <w:r>
              <w:t>0.590</w:t>
            </w:r>
          </w:p>
        </w:tc>
        <w:tc>
          <w:tcPr>
            <w:tcW w:w="894" w:type="dxa"/>
          </w:tcPr>
          <w:p w14:paraId="221E56E9" w14:textId="77777777" w:rsidR="00674F9C" w:rsidRDefault="00000000">
            <w:pPr>
              <w:pStyle w:val="Compact"/>
              <w:jc w:val="right"/>
            </w:pPr>
            <w:r>
              <w:t>3.820</w:t>
            </w:r>
          </w:p>
        </w:tc>
      </w:tr>
      <w:tr w:rsidR="00674F9C" w14:paraId="29779C02" w14:textId="77777777" w:rsidTr="006D7B72">
        <w:tc>
          <w:tcPr>
            <w:tcW w:w="6329" w:type="dxa"/>
          </w:tcPr>
          <w:p w14:paraId="67ED4E3D" w14:textId="77777777" w:rsidR="00674F9C" w:rsidRDefault="00000000">
            <w:pPr>
              <w:pStyle w:val="Compact"/>
            </w:pPr>
            <w:r>
              <w:t>{Diabetes,Age_Group=81+}</w:t>
            </w:r>
          </w:p>
        </w:tc>
        <w:tc>
          <w:tcPr>
            <w:tcW w:w="1150" w:type="dxa"/>
          </w:tcPr>
          <w:p w14:paraId="15DF72B9" w14:textId="77777777" w:rsidR="00674F9C" w:rsidRDefault="00000000">
            <w:pPr>
              <w:pStyle w:val="Compact"/>
              <w:jc w:val="right"/>
            </w:pPr>
            <w:r>
              <w:t>0.004</w:t>
            </w:r>
          </w:p>
        </w:tc>
        <w:tc>
          <w:tcPr>
            <w:tcW w:w="1439" w:type="dxa"/>
          </w:tcPr>
          <w:p w14:paraId="3840EC1D" w14:textId="77777777" w:rsidR="00674F9C" w:rsidRDefault="00000000">
            <w:pPr>
              <w:pStyle w:val="Compact"/>
              <w:jc w:val="right"/>
            </w:pPr>
            <w:r>
              <w:t>0.584</w:t>
            </w:r>
          </w:p>
        </w:tc>
        <w:tc>
          <w:tcPr>
            <w:tcW w:w="894" w:type="dxa"/>
          </w:tcPr>
          <w:p w14:paraId="2DAEE443" w14:textId="77777777" w:rsidR="00674F9C" w:rsidRDefault="00000000">
            <w:pPr>
              <w:pStyle w:val="Compact"/>
              <w:jc w:val="right"/>
            </w:pPr>
            <w:r>
              <w:t>3.780</w:t>
            </w:r>
          </w:p>
        </w:tc>
      </w:tr>
      <w:tr w:rsidR="00674F9C" w14:paraId="21CB64A9" w14:textId="77777777" w:rsidTr="006D7B72">
        <w:tc>
          <w:tcPr>
            <w:tcW w:w="6329" w:type="dxa"/>
          </w:tcPr>
          <w:p w14:paraId="66A59AE9" w14:textId="77777777" w:rsidR="006D7B72" w:rsidRDefault="00000000">
            <w:pPr>
              <w:pStyle w:val="Compact"/>
            </w:pPr>
            <w:r>
              <w:t>{</w:t>
            </w:r>
            <w:proofErr w:type="spellStart"/>
            <w:proofErr w:type="gramStart"/>
            <w:r>
              <w:t>Diabetes,Hypertension</w:t>
            </w:r>
            <w:proofErr w:type="gramEnd"/>
            <w:r>
              <w:t>,Chronic_Renal_Disease</w:t>
            </w:r>
            <w:proofErr w:type="spellEnd"/>
            <w:r>
              <w:t>,</w:t>
            </w:r>
          </w:p>
          <w:p w14:paraId="6CA8BF02" w14:textId="111ED387" w:rsidR="00674F9C" w:rsidRDefault="00000000">
            <w:pPr>
              <w:pStyle w:val="Compact"/>
            </w:pPr>
            <w:proofErr w:type="spellStart"/>
            <w:r>
              <w:lastRenderedPageBreak/>
              <w:t>Age_Group</w:t>
            </w:r>
            <w:proofErr w:type="spellEnd"/>
            <w:r>
              <w:t>=51-64}</w:t>
            </w:r>
          </w:p>
        </w:tc>
        <w:tc>
          <w:tcPr>
            <w:tcW w:w="1150" w:type="dxa"/>
          </w:tcPr>
          <w:p w14:paraId="20B4981B" w14:textId="77777777" w:rsidR="00674F9C" w:rsidRDefault="00000000">
            <w:pPr>
              <w:pStyle w:val="Compact"/>
              <w:jc w:val="right"/>
            </w:pPr>
            <w:r>
              <w:lastRenderedPageBreak/>
              <w:t>0.002</w:t>
            </w:r>
          </w:p>
        </w:tc>
        <w:tc>
          <w:tcPr>
            <w:tcW w:w="1439" w:type="dxa"/>
          </w:tcPr>
          <w:p w14:paraId="4B3BF855" w14:textId="77777777" w:rsidR="00674F9C" w:rsidRDefault="00000000">
            <w:pPr>
              <w:pStyle w:val="Compact"/>
              <w:jc w:val="right"/>
            </w:pPr>
            <w:r>
              <w:t>0.582</w:t>
            </w:r>
          </w:p>
        </w:tc>
        <w:tc>
          <w:tcPr>
            <w:tcW w:w="894" w:type="dxa"/>
          </w:tcPr>
          <w:p w14:paraId="56B2BB61" w14:textId="77777777" w:rsidR="00674F9C" w:rsidRDefault="00000000">
            <w:pPr>
              <w:pStyle w:val="Compact"/>
              <w:jc w:val="right"/>
            </w:pPr>
            <w:r>
              <w:t>3.772</w:t>
            </w:r>
          </w:p>
        </w:tc>
      </w:tr>
      <w:tr w:rsidR="00674F9C" w14:paraId="77867251" w14:textId="77777777" w:rsidTr="006D7B72">
        <w:tc>
          <w:tcPr>
            <w:tcW w:w="6329" w:type="dxa"/>
          </w:tcPr>
          <w:p w14:paraId="12E17ADE" w14:textId="77777777" w:rsidR="00674F9C" w:rsidRDefault="00000000">
            <w:pPr>
              <w:pStyle w:val="Compact"/>
            </w:pPr>
            <w:r>
              <w:t>{Diabetes,Hypertension,Age_Group=81+}</w:t>
            </w:r>
          </w:p>
        </w:tc>
        <w:tc>
          <w:tcPr>
            <w:tcW w:w="1150" w:type="dxa"/>
          </w:tcPr>
          <w:p w14:paraId="6F335775" w14:textId="77777777" w:rsidR="00674F9C" w:rsidRDefault="00000000">
            <w:pPr>
              <w:pStyle w:val="Compact"/>
              <w:jc w:val="right"/>
            </w:pPr>
            <w:r>
              <w:t>0.003</w:t>
            </w:r>
          </w:p>
        </w:tc>
        <w:tc>
          <w:tcPr>
            <w:tcW w:w="1439" w:type="dxa"/>
          </w:tcPr>
          <w:p w14:paraId="1FAF2847" w14:textId="77777777" w:rsidR="00674F9C" w:rsidRDefault="00000000">
            <w:pPr>
              <w:pStyle w:val="Compact"/>
              <w:jc w:val="right"/>
            </w:pPr>
            <w:r>
              <w:t>0.576</w:t>
            </w:r>
          </w:p>
        </w:tc>
        <w:tc>
          <w:tcPr>
            <w:tcW w:w="894" w:type="dxa"/>
          </w:tcPr>
          <w:p w14:paraId="1DA9008A" w14:textId="77777777" w:rsidR="00674F9C" w:rsidRDefault="00000000">
            <w:pPr>
              <w:pStyle w:val="Compact"/>
              <w:jc w:val="right"/>
            </w:pPr>
            <w:r>
              <w:t>3.733</w:t>
            </w:r>
          </w:p>
        </w:tc>
      </w:tr>
      <w:tr w:rsidR="00674F9C" w14:paraId="2B21E4A8" w14:textId="77777777" w:rsidTr="006D7B72">
        <w:tc>
          <w:tcPr>
            <w:tcW w:w="6329" w:type="dxa"/>
          </w:tcPr>
          <w:p w14:paraId="7BDC7280" w14:textId="77777777" w:rsidR="00674F9C" w:rsidRDefault="00000000">
            <w:pPr>
              <w:pStyle w:val="Compact"/>
            </w:pPr>
            <w:r>
              <w:t>{Diabetes,Chronic_Renal_Disease,Age_Group=51-64}</w:t>
            </w:r>
          </w:p>
        </w:tc>
        <w:tc>
          <w:tcPr>
            <w:tcW w:w="1150" w:type="dxa"/>
          </w:tcPr>
          <w:p w14:paraId="53219A0D" w14:textId="77777777" w:rsidR="00674F9C" w:rsidRDefault="00000000">
            <w:pPr>
              <w:pStyle w:val="Compact"/>
              <w:jc w:val="right"/>
            </w:pPr>
            <w:r>
              <w:t>0.003</w:t>
            </w:r>
          </w:p>
        </w:tc>
        <w:tc>
          <w:tcPr>
            <w:tcW w:w="1439" w:type="dxa"/>
          </w:tcPr>
          <w:p w14:paraId="4B1FC0CF" w14:textId="77777777" w:rsidR="00674F9C" w:rsidRDefault="00000000">
            <w:pPr>
              <w:pStyle w:val="Compact"/>
              <w:jc w:val="right"/>
            </w:pPr>
            <w:r>
              <w:t>0.576</w:t>
            </w:r>
          </w:p>
        </w:tc>
        <w:tc>
          <w:tcPr>
            <w:tcW w:w="894" w:type="dxa"/>
          </w:tcPr>
          <w:p w14:paraId="1C34A81B" w14:textId="77777777" w:rsidR="00674F9C" w:rsidRDefault="00000000">
            <w:pPr>
              <w:pStyle w:val="Compact"/>
              <w:jc w:val="right"/>
            </w:pPr>
            <w:r>
              <w:t>3.733</w:t>
            </w:r>
          </w:p>
        </w:tc>
      </w:tr>
      <w:tr w:rsidR="00674F9C" w14:paraId="732F82E9" w14:textId="77777777" w:rsidTr="006D7B72">
        <w:tc>
          <w:tcPr>
            <w:tcW w:w="6329" w:type="dxa"/>
          </w:tcPr>
          <w:p w14:paraId="4E4DDA7F" w14:textId="77777777" w:rsidR="00674F9C" w:rsidRDefault="00000000">
            <w:pPr>
              <w:pStyle w:val="Compact"/>
            </w:pPr>
            <w:r>
              <w:t>{Hypertension,Age_Group=81+}</w:t>
            </w:r>
          </w:p>
        </w:tc>
        <w:tc>
          <w:tcPr>
            <w:tcW w:w="1150" w:type="dxa"/>
          </w:tcPr>
          <w:p w14:paraId="1BC40F55" w14:textId="77777777" w:rsidR="00674F9C" w:rsidRDefault="00000000">
            <w:pPr>
              <w:pStyle w:val="Compact"/>
              <w:jc w:val="right"/>
            </w:pPr>
            <w:r>
              <w:t>0.007</w:t>
            </w:r>
          </w:p>
        </w:tc>
        <w:tc>
          <w:tcPr>
            <w:tcW w:w="1439" w:type="dxa"/>
          </w:tcPr>
          <w:p w14:paraId="4B8CF783" w14:textId="77777777" w:rsidR="00674F9C" w:rsidRDefault="00000000">
            <w:pPr>
              <w:pStyle w:val="Compact"/>
              <w:jc w:val="right"/>
            </w:pPr>
            <w:r>
              <w:t>0.573</w:t>
            </w:r>
          </w:p>
        </w:tc>
        <w:tc>
          <w:tcPr>
            <w:tcW w:w="894" w:type="dxa"/>
          </w:tcPr>
          <w:p w14:paraId="7A0028F0" w14:textId="77777777" w:rsidR="00674F9C" w:rsidRDefault="00000000">
            <w:pPr>
              <w:pStyle w:val="Compact"/>
              <w:jc w:val="right"/>
            </w:pPr>
            <w:r>
              <w:t>3.714</w:t>
            </w:r>
          </w:p>
        </w:tc>
      </w:tr>
      <w:tr w:rsidR="00674F9C" w14:paraId="38E7D850" w14:textId="77777777" w:rsidTr="006D7B72">
        <w:tc>
          <w:tcPr>
            <w:tcW w:w="6329" w:type="dxa"/>
          </w:tcPr>
          <w:p w14:paraId="00BE0B13" w14:textId="77777777" w:rsidR="00674F9C" w:rsidRDefault="00000000">
            <w:pPr>
              <w:pStyle w:val="Compact"/>
            </w:pPr>
            <w:r>
              <w:t>{Other_Disease,Age_Group=65-80}</w:t>
            </w:r>
          </w:p>
        </w:tc>
        <w:tc>
          <w:tcPr>
            <w:tcW w:w="1150" w:type="dxa"/>
          </w:tcPr>
          <w:p w14:paraId="15BB9712" w14:textId="77777777" w:rsidR="00674F9C" w:rsidRDefault="00000000">
            <w:pPr>
              <w:pStyle w:val="Compact"/>
              <w:jc w:val="right"/>
            </w:pPr>
            <w:r>
              <w:t>0.002</w:t>
            </w:r>
          </w:p>
        </w:tc>
        <w:tc>
          <w:tcPr>
            <w:tcW w:w="1439" w:type="dxa"/>
          </w:tcPr>
          <w:p w14:paraId="589F45BC" w14:textId="77777777" w:rsidR="00674F9C" w:rsidRDefault="00000000">
            <w:pPr>
              <w:pStyle w:val="Compact"/>
              <w:jc w:val="right"/>
            </w:pPr>
            <w:r>
              <w:t>0.571</w:t>
            </w:r>
          </w:p>
        </w:tc>
        <w:tc>
          <w:tcPr>
            <w:tcW w:w="894" w:type="dxa"/>
          </w:tcPr>
          <w:p w14:paraId="71432B7A" w14:textId="77777777" w:rsidR="00674F9C" w:rsidRDefault="00000000">
            <w:pPr>
              <w:pStyle w:val="Compact"/>
              <w:jc w:val="right"/>
            </w:pPr>
            <w:r>
              <w:t>3.698</w:t>
            </w:r>
          </w:p>
        </w:tc>
      </w:tr>
      <w:tr w:rsidR="00674F9C" w14:paraId="5410A60D" w14:textId="77777777" w:rsidTr="006D7B72">
        <w:tc>
          <w:tcPr>
            <w:tcW w:w="6329" w:type="dxa"/>
          </w:tcPr>
          <w:p w14:paraId="31624B9B" w14:textId="77777777" w:rsidR="00674F9C" w:rsidRDefault="00000000">
            <w:pPr>
              <w:pStyle w:val="Compact"/>
            </w:pPr>
            <w:r>
              <w:t>{Diabetes,Hypertension,Chronic_Renal_Disease}</w:t>
            </w:r>
          </w:p>
        </w:tc>
        <w:tc>
          <w:tcPr>
            <w:tcW w:w="1150" w:type="dxa"/>
          </w:tcPr>
          <w:p w14:paraId="22FB4B48" w14:textId="77777777" w:rsidR="00674F9C" w:rsidRDefault="00000000">
            <w:pPr>
              <w:pStyle w:val="Compact"/>
              <w:jc w:val="right"/>
            </w:pPr>
            <w:r>
              <w:t>0.005</w:t>
            </w:r>
          </w:p>
        </w:tc>
        <w:tc>
          <w:tcPr>
            <w:tcW w:w="1439" w:type="dxa"/>
          </w:tcPr>
          <w:p w14:paraId="1D83D80F" w14:textId="77777777" w:rsidR="00674F9C" w:rsidRDefault="00000000">
            <w:pPr>
              <w:pStyle w:val="Compact"/>
              <w:jc w:val="right"/>
            </w:pPr>
            <w:r>
              <w:t>0.566</w:t>
            </w:r>
          </w:p>
        </w:tc>
        <w:tc>
          <w:tcPr>
            <w:tcW w:w="894" w:type="dxa"/>
          </w:tcPr>
          <w:p w14:paraId="66047530" w14:textId="77777777" w:rsidR="00674F9C" w:rsidRDefault="00000000">
            <w:pPr>
              <w:pStyle w:val="Compact"/>
              <w:jc w:val="right"/>
            </w:pPr>
            <w:r>
              <w:t>3.669</w:t>
            </w:r>
          </w:p>
        </w:tc>
      </w:tr>
    </w:tbl>
    <w:p w14:paraId="1DBF24FB" w14:textId="77777777"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t>The sexless rule set was dominated by chronic renal disease among individuals ages 65-80, with lift values ranging from 3.86 to 3.92. These rules had slightly higher lift than the 81+ age group rules, where lift ranged from about 3.60 to 3.78.</w:t>
      </w:r>
    </w:p>
    <w:p w14:paraId="48FA6602" w14:textId="77777777"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t>The 51-64 age group also appeared several times, mostly with chronic renal disease combined with diabetes or hypertension. Overall, the sexless rules suggest that age group and chronic renal disease were among the strongest association patterns for adverse outcomes.</w:t>
      </w:r>
    </w:p>
    <w:p w14:paraId="492836BD" w14:textId="77777777"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t>The top 25 rules had lift values ranging from 3.55 to 4.05 when sex was included, and support ranged from 0.002 to 0.012. This indicates that the strongest rules represented small but high-risk subgroups. Because the full rule plots were crowded, Figures 7-10 separate the association rule results by sex, age group, sex-excluded patterns, and selected conditions.</w:t>
      </w:r>
    </w:p>
    <w:p w14:paraId="26C8CC99" w14:textId="77777777"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t>The highest-ranking female rules generally involved chronic renal disease combined with one or two additional conditions, with lift values around 3.5. Among females ages 81+, hypertension also appeared as an important rule, with a lift of approximately 3.4.</w:t>
      </w:r>
    </w:p>
    <w:p w14:paraId="005DDE8E" w14:textId="77777777" w:rsidR="00674F9C" w:rsidRDefault="00000000">
      <w:pPr>
        <w:pStyle w:val="CaptionedFigure"/>
      </w:pPr>
      <w:r>
        <w:rPr>
          <w:noProof/>
        </w:rPr>
        <w:lastRenderedPageBreak/>
        <w:drawing>
          <wp:inline distT="0" distB="0" distL="0" distR="0" wp14:anchorId="419E5C12" wp14:editId="681AF68E">
            <wp:extent cx="6035040" cy="3247949"/>
            <wp:effectExtent l="0" t="0" r="0" b="0"/>
            <wp:docPr id="45" name="Picture" descr="Figure 7. Association rules by sex."/>
            <wp:cNvGraphicFramePr/>
            <a:graphic xmlns:a="http://schemas.openxmlformats.org/drawingml/2006/main">
              <a:graphicData uri="http://schemas.openxmlformats.org/drawingml/2006/picture">
                <pic:pic xmlns:pic="http://schemas.openxmlformats.org/drawingml/2006/picture">
                  <pic:nvPicPr>
                    <pic:cNvPr id="46" name="Picture" descr="FinalProjectCOVIDHobbs_files/figure-docx/unnamed-chunk-54-1.png"/>
                    <pic:cNvPicPr>
                      <a:picLocks noChangeAspect="1" noChangeArrowheads="1"/>
                    </pic:cNvPicPr>
                  </pic:nvPicPr>
                  <pic:blipFill>
                    <a:blip r:embed="rId14"/>
                    <a:stretch>
                      <a:fillRect/>
                    </a:stretch>
                  </pic:blipFill>
                  <pic:spPr bwMode="auto">
                    <a:xfrm>
                      <a:off x="0" y="0"/>
                      <a:ext cx="6076725" cy="3270383"/>
                    </a:xfrm>
                    <a:prstGeom prst="rect">
                      <a:avLst/>
                    </a:prstGeom>
                    <a:noFill/>
                    <a:ln w="9525">
                      <a:noFill/>
                      <a:headEnd/>
                      <a:tailEnd/>
                    </a:ln>
                  </pic:spPr>
                </pic:pic>
              </a:graphicData>
            </a:graphic>
          </wp:inline>
        </w:drawing>
      </w:r>
    </w:p>
    <w:p w14:paraId="2C2FA050" w14:textId="77777777" w:rsidR="00674F9C" w:rsidRDefault="00000000">
      <w:pPr>
        <w:pStyle w:val="ImageCaption"/>
      </w:pPr>
      <w:r>
        <w:t>Figure 7. Association rules by sex.</w:t>
      </w:r>
    </w:p>
    <w:p w14:paraId="3A25F5C8" w14:textId="77777777"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t>Of the 52 generated rules, 7 involved females and 18 involved males. Male rules were more common and stronger: 12 appeared in the global top 25, while no female rules appeared in that group.</w:t>
      </w:r>
    </w:p>
    <w:p w14:paraId="5D52BDEA" w14:textId="77777777"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t>Males ages 65-80 had nearly the same lift as females ages 81+, regardless of additional conditions, with lift values of approximately 3.26 and 3.24. Most female rules also appeared among the male rules, but the corresponding male rules had higher lift values. The only female-specific rule involved females ages 65-80 with obesity, diabetes, and hypertension, with a lift of about 3.3.</w:t>
      </w:r>
    </w:p>
    <w:p w14:paraId="4A4CA60E" w14:textId="77777777"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t>Additional male patterns included tobacco use among males ages 65-80, with a lift near 3.5, and diabetes with chronic renal disease among males ages 51-64, with a lift around 3.75.</w:t>
      </w:r>
    </w:p>
    <w:p w14:paraId="798B3E13" w14:textId="77777777" w:rsidR="00674F9C" w:rsidRDefault="00000000">
      <w:pPr>
        <w:pStyle w:val="CaptionedFigure"/>
      </w:pPr>
      <w:r>
        <w:rPr>
          <w:noProof/>
        </w:rPr>
        <w:lastRenderedPageBreak/>
        <w:drawing>
          <wp:inline distT="0" distB="0" distL="0" distR="0" wp14:anchorId="51587815" wp14:editId="31AE4122">
            <wp:extent cx="6013094" cy="3364992"/>
            <wp:effectExtent l="0" t="0" r="0" b="0"/>
            <wp:docPr id="48" name="Picture" descr="Figure 8. Top association rules excluding sex."/>
            <wp:cNvGraphicFramePr/>
            <a:graphic xmlns:a="http://schemas.openxmlformats.org/drawingml/2006/main">
              <a:graphicData uri="http://schemas.openxmlformats.org/drawingml/2006/picture">
                <pic:pic xmlns:pic="http://schemas.openxmlformats.org/drawingml/2006/picture">
                  <pic:nvPicPr>
                    <pic:cNvPr id="49" name="Picture" descr="FinalProjectCOVIDHobbs_files/figure-docx/unnamed-chunk-57-1.png"/>
                    <pic:cNvPicPr>
                      <a:picLocks noChangeAspect="1" noChangeArrowheads="1"/>
                    </pic:cNvPicPr>
                  </pic:nvPicPr>
                  <pic:blipFill>
                    <a:blip r:embed="rId15"/>
                    <a:stretch>
                      <a:fillRect/>
                    </a:stretch>
                  </pic:blipFill>
                  <pic:spPr bwMode="auto">
                    <a:xfrm>
                      <a:off x="0" y="0"/>
                      <a:ext cx="6037020" cy="3378381"/>
                    </a:xfrm>
                    <a:prstGeom prst="rect">
                      <a:avLst/>
                    </a:prstGeom>
                    <a:noFill/>
                    <a:ln w="9525">
                      <a:noFill/>
                      <a:headEnd/>
                      <a:tailEnd/>
                    </a:ln>
                  </pic:spPr>
                </pic:pic>
              </a:graphicData>
            </a:graphic>
          </wp:inline>
        </w:drawing>
      </w:r>
    </w:p>
    <w:p w14:paraId="6DD95AAE" w14:textId="77777777" w:rsidR="00674F9C" w:rsidRDefault="00000000">
      <w:pPr>
        <w:pStyle w:val="ImageCaption"/>
      </w:pPr>
      <w:r>
        <w:t>Figure 8. Top association rules excluding sex.</w:t>
      </w:r>
    </w:p>
    <w:p w14:paraId="4678C81C" w14:textId="77777777"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t>The black reference line marks the minimum lift value for the global top 25 rules when sex was included. Figures 9-10 use the same x- and y-axis limits for comparison, but the reference line is removed.</w:t>
      </w:r>
    </w:p>
    <w:p w14:paraId="22A1C09A" w14:textId="77777777"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t>When sex was excluded, maximum support increased from 0.012 to 0.022, while minimum lift decreased from 3.55 to 3.31. The highest-lift rules were still driven mainly by age group and pre-existing conditions. Tobacco use among individuals ages 65-80 also appeared, with lift values around 3.4 to 3.5.</w:t>
      </w:r>
    </w:p>
    <w:p w14:paraId="32669309" w14:textId="77777777"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t>The following age-group comparisons show how these rule patterns differ across the 51-64, 65-80, and 81+ groups.</w:t>
      </w:r>
    </w:p>
    <w:p w14:paraId="242397DD" w14:textId="77777777" w:rsidR="00674F9C" w:rsidRDefault="00000000">
      <w:pPr>
        <w:pStyle w:val="CaptionedFigure"/>
      </w:pPr>
      <w:r>
        <w:rPr>
          <w:noProof/>
        </w:rPr>
        <w:lastRenderedPageBreak/>
        <w:drawing>
          <wp:inline distT="0" distB="0" distL="0" distR="0" wp14:anchorId="08801521" wp14:editId="08305761">
            <wp:extent cx="5925312" cy="3101645"/>
            <wp:effectExtent l="0" t="0" r="0" b="0"/>
            <wp:docPr id="51" name="Picture" descr="Figure 9. Association rules by age group."/>
            <wp:cNvGraphicFramePr/>
            <a:graphic xmlns:a="http://schemas.openxmlformats.org/drawingml/2006/main">
              <a:graphicData uri="http://schemas.openxmlformats.org/drawingml/2006/picture">
                <pic:pic xmlns:pic="http://schemas.openxmlformats.org/drawingml/2006/picture">
                  <pic:nvPicPr>
                    <pic:cNvPr id="52" name="Picture" descr="FinalProjectCOVIDHobbs_files/figure-docx/unnamed-chunk-66-1.png"/>
                    <pic:cNvPicPr>
                      <a:picLocks noChangeAspect="1" noChangeArrowheads="1"/>
                    </pic:cNvPicPr>
                  </pic:nvPicPr>
                  <pic:blipFill>
                    <a:blip r:embed="rId16"/>
                    <a:stretch>
                      <a:fillRect/>
                    </a:stretch>
                  </pic:blipFill>
                  <pic:spPr bwMode="auto">
                    <a:xfrm>
                      <a:off x="0" y="0"/>
                      <a:ext cx="5934267" cy="3106332"/>
                    </a:xfrm>
                    <a:prstGeom prst="rect">
                      <a:avLst/>
                    </a:prstGeom>
                    <a:noFill/>
                    <a:ln w="9525">
                      <a:noFill/>
                      <a:headEnd/>
                      <a:tailEnd/>
                    </a:ln>
                  </pic:spPr>
                </pic:pic>
              </a:graphicData>
            </a:graphic>
          </wp:inline>
        </w:drawing>
      </w:r>
    </w:p>
    <w:p w14:paraId="0485B9BA" w14:textId="77777777" w:rsidR="00674F9C" w:rsidRDefault="00000000">
      <w:pPr>
        <w:pStyle w:val="ImageCaption"/>
      </w:pPr>
      <w:r>
        <w:t>Figure 9. Association rules by age group.</w:t>
      </w:r>
    </w:p>
    <w:p w14:paraId="1932D024" w14:textId="77777777"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t>Across the age-specific rules, chronic renal disease was the most consistent high-lift condition. In the 65-80 group, many top rules involved chronic renal disease alone or combined with diabetes or hypertension, with lift values around 3.86 to 3.92. The 51-64 group appeared less often, but its strongest rules showed the same chronic renal disease pattern, with lift values around 3.63 to 3.77.</w:t>
      </w:r>
    </w:p>
    <w:p w14:paraId="4D67B810" w14:textId="77777777"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t>For the 81+ group, age alone had a high lift of approximately 3.60, while adding diabetes, hypertension, or both increased lift to approximately 3.71 to 3.78. However, only four rules were generated for this group, suggesting that rarer conditions may not have met the minimum support threshold. Figure 9 shows that chronic renal disease among individuals ages 65-80 had higher lift than any 81+ rule, suggesting that chronic renal disease identified a particularly high-risk subgroup before the oldest age category.</w:t>
      </w:r>
    </w:p>
    <w:p w14:paraId="1F0D267D" w14:textId="77777777"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t xml:space="preserve">Among the top 25 rules, chronic renal disease appeared more often and with stronger lift values than obesity. Nine rules involved chronic renal disease, often combined with diabetes, </w:t>
      </w:r>
      <w:r w:rsidRPr="00093EBC">
        <w:rPr>
          <w:rFonts w:ascii="Times New Roman" w:hAnsi="Times New Roman" w:cs="Times New Roman"/>
        </w:rPr>
        <w:lastRenderedPageBreak/>
        <w:t>hypertension, or both. In contrast, only three rules involved obesity, all among individuals ages 65-80 with diabetes, hypertension, or both, with lift values ranging from approximately 3.37 to 3.50.</w:t>
      </w:r>
    </w:p>
    <w:p w14:paraId="568A59BB" w14:textId="77777777" w:rsidR="00674F9C" w:rsidRDefault="00000000">
      <w:pPr>
        <w:pStyle w:val="CaptionedFigure"/>
      </w:pPr>
      <w:r>
        <w:rPr>
          <w:noProof/>
        </w:rPr>
        <w:drawing>
          <wp:inline distT="0" distB="0" distL="0" distR="0" wp14:anchorId="769B4EF3" wp14:editId="14D04214">
            <wp:extent cx="5837530" cy="2523744"/>
            <wp:effectExtent l="0" t="0" r="0" b="0"/>
            <wp:docPr id="54" name="Picture" descr="Figure 10. Rules involving chronic renal disease and obesity."/>
            <wp:cNvGraphicFramePr/>
            <a:graphic xmlns:a="http://schemas.openxmlformats.org/drawingml/2006/main">
              <a:graphicData uri="http://schemas.openxmlformats.org/drawingml/2006/picture">
                <pic:pic xmlns:pic="http://schemas.openxmlformats.org/drawingml/2006/picture">
                  <pic:nvPicPr>
                    <pic:cNvPr id="55" name="Picture" descr="FinalProjectCOVIDHobbs_files/figure-docx/unnamed-chunk-72-1.png"/>
                    <pic:cNvPicPr>
                      <a:picLocks noChangeAspect="1" noChangeArrowheads="1"/>
                    </pic:cNvPicPr>
                  </pic:nvPicPr>
                  <pic:blipFill>
                    <a:blip r:embed="rId17"/>
                    <a:stretch>
                      <a:fillRect/>
                    </a:stretch>
                  </pic:blipFill>
                  <pic:spPr bwMode="auto">
                    <a:xfrm>
                      <a:off x="0" y="0"/>
                      <a:ext cx="5887101" cy="2545175"/>
                    </a:xfrm>
                    <a:prstGeom prst="rect">
                      <a:avLst/>
                    </a:prstGeom>
                    <a:noFill/>
                    <a:ln w="9525">
                      <a:noFill/>
                      <a:headEnd/>
                      <a:tailEnd/>
                    </a:ln>
                  </pic:spPr>
                </pic:pic>
              </a:graphicData>
            </a:graphic>
          </wp:inline>
        </w:drawing>
      </w:r>
    </w:p>
    <w:p w14:paraId="14A15059" w14:textId="77777777" w:rsidR="00674F9C" w:rsidRDefault="00000000">
      <w:pPr>
        <w:pStyle w:val="ImageCaption"/>
      </w:pPr>
      <w:r>
        <w:t>Figure 10. Rules involving chronic renal disease and obesity.</w:t>
      </w:r>
    </w:p>
    <w:p w14:paraId="0B943203" w14:textId="77777777"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t>Figure 10 shows that chronic renal disease had stronger and more varied rule patterns than obesity. Chronic renal disease appeared across more rules, including combinations with diabetes, hypertension, and age groups 51-64 and 65-80. Its rules also had higher confidence and lift overall, with the strongest rules reaching lift values near 3.9.</w:t>
      </w:r>
    </w:p>
    <w:p w14:paraId="4F4F6219" w14:textId="77777777" w:rsidR="00674F9C" w:rsidRPr="00093EBC" w:rsidRDefault="00000000" w:rsidP="00093EBC">
      <w:pPr>
        <w:pStyle w:val="BodyText"/>
        <w:spacing w:line="480" w:lineRule="auto"/>
        <w:rPr>
          <w:rFonts w:ascii="Times New Roman" w:hAnsi="Times New Roman" w:cs="Times New Roman"/>
        </w:rPr>
      </w:pPr>
      <w:r w:rsidRPr="00093EBC">
        <w:rPr>
          <w:rFonts w:ascii="Times New Roman" w:hAnsi="Times New Roman" w:cs="Times New Roman"/>
        </w:rPr>
        <w:t>Obesity appeared in fewer rules, all limited to individuals ages 65-80 with diabetes, hypertension, or both. These rules had lower confidence and lift, with lift values around 3.4 to 3.5.</w:t>
      </w:r>
    </w:p>
    <w:p w14:paraId="33733E16" w14:textId="77777777" w:rsidR="00674F9C" w:rsidRPr="00676C57" w:rsidRDefault="00000000">
      <w:pPr>
        <w:pStyle w:val="Heading2"/>
        <w:rPr>
          <w:sz w:val="28"/>
          <w:szCs w:val="28"/>
        </w:rPr>
      </w:pPr>
      <w:bookmarkStart w:id="19" w:name="interpretation-for-modeling"/>
      <w:bookmarkEnd w:id="18"/>
      <w:r w:rsidRPr="00676C57">
        <w:rPr>
          <w:sz w:val="28"/>
          <w:szCs w:val="28"/>
        </w:rPr>
        <w:t>6.3 Interpretation for Modeling</w:t>
      </w:r>
    </w:p>
    <w:p w14:paraId="6721A622" w14:textId="77777777" w:rsidR="00674F9C" w:rsidRPr="00093EBC" w:rsidRDefault="00000000" w:rsidP="00DE606B">
      <w:pPr>
        <w:pStyle w:val="FirstParagraph"/>
        <w:spacing w:line="480" w:lineRule="auto"/>
        <w:rPr>
          <w:rFonts w:ascii="Times New Roman" w:hAnsi="Times New Roman" w:cs="Times New Roman"/>
        </w:rPr>
      </w:pPr>
      <w:r w:rsidRPr="00093EBC">
        <w:rPr>
          <w:rFonts w:ascii="Times New Roman" w:hAnsi="Times New Roman" w:cs="Times New Roman"/>
        </w:rPr>
        <w:t xml:space="preserve">Association rule mining was useful as an exploratory bridge between EDA and supervised modeling. It identified repeated high-risk patterns involving chronic renal disease, diabetes, hypertension, sex, tobacco use, and older age groups. These findings helped guide the interaction </w:t>
      </w:r>
      <w:r w:rsidRPr="00093EBC">
        <w:rPr>
          <w:rFonts w:ascii="Times New Roman" w:hAnsi="Times New Roman" w:cs="Times New Roman"/>
        </w:rPr>
        <w:lastRenderedPageBreak/>
        <w:t>terms tested in logistic regression, while random forest provided a more flexible predictive comparison.</w:t>
      </w:r>
    </w:p>
    <w:p w14:paraId="10EF65E2" w14:textId="77777777" w:rsidR="00674F9C" w:rsidRPr="00DE606B" w:rsidRDefault="00000000" w:rsidP="00DE606B">
      <w:pPr>
        <w:pStyle w:val="BodyText"/>
        <w:spacing w:line="480" w:lineRule="auto"/>
        <w:rPr>
          <w:rFonts w:ascii="Times New Roman" w:hAnsi="Times New Roman" w:cs="Times New Roman"/>
        </w:rPr>
      </w:pPr>
      <w:r w:rsidRPr="00093EBC">
        <w:rPr>
          <w:rFonts w:ascii="Times New Roman" w:hAnsi="Times New Roman" w:cs="Times New Roman"/>
        </w:rPr>
        <w:t>Based on EDA and association rule mining, selected interaction terms were added to the logistic regression models:</w:t>
      </w:r>
      <w:r>
        <w:t xml:space="preserve"> </w:t>
      </w:r>
      <w:r>
        <w:rPr>
          <w:rStyle w:val="VerbatimChar"/>
        </w:rPr>
        <w:t>Diabetes:Hypertension</w:t>
      </w:r>
      <w:r>
        <w:t xml:space="preserve">, </w:t>
      </w:r>
      <w:r>
        <w:rPr>
          <w:rStyle w:val="VerbatimChar"/>
        </w:rPr>
        <w:t>Sex:Diabetes</w:t>
      </w:r>
      <w:r>
        <w:t xml:space="preserve">, </w:t>
      </w:r>
      <w:r>
        <w:rPr>
          <w:rStyle w:val="VerbatimChar"/>
        </w:rPr>
        <w:t>Sex:Hypertension</w:t>
      </w:r>
      <w:r>
        <w:t xml:space="preserve">, </w:t>
      </w:r>
      <w:r>
        <w:rPr>
          <w:rStyle w:val="VerbatimChar"/>
        </w:rPr>
        <w:t>Sex:Age</w:t>
      </w:r>
      <w:r>
        <w:t xml:space="preserve">, </w:t>
      </w:r>
      <w:r>
        <w:rPr>
          <w:rStyle w:val="VerbatimChar"/>
        </w:rPr>
        <w:t>Tobacco:Age</w:t>
      </w:r>
      <w:r>
        <w:t xml:space="preserve">, </w:t>
      </w:r>
      <w:r w:rsidRPr="00DE606B">
        <w:rPr>
          <w:rFonts w:ascii="Times New Roman" w:hAnsi="Times New Roman" w:cs="Times New Roman"/>
        </w:rPr>
        <w:t>and</w:t>
      </w:r>
      <w:r>
        <w:t xml:space="preserve"> </w:t>
      </w:r>
      <w:r>
        <w:rPr>
          <w:rStyle w:val="VerbatimChar"/>
        </w:rPr>
        <w:t>Other_Disease:Age</w:t>
      </w:r>
      <w:r>
        <w:t xml:space="preserve">. </w:t>
      </w:r>
      <w:r w:rsidRPr="00DE606B">
        <w:rPr>
          <w:rFonts w:ascii="Times New Roman" w:hAnsi="Times New Roman" w:cs="Times New Roman"/>
        </w:rPr>
        <w:t>The</w:t>
      </w:r>
      <w:r>
        <w:t xml:space="preserve"> </w:t>
      </w:r>
      <w:r>
        <w:rPr>
          <w:rStyle w:val="VerbatimChar"/>
        </w:rPr>
        <w:t>Diabetes:Obesity</w:t>
      </w:r>
      <w:r>
        <w:t xml:space="preserve"> </w:t>
      </w:r>
      <w:r w:rsidRPr="00DE606B">
        <w:rPr>
          <w:rFonts w:ascii="Times New Roman" w:hAnsi="Times New Roman" w:cs="Times New Roman"/>
        </w:rPr>
        <w:t>interaction was tested but removed because it was not statistically significant in the logistic regression model.</w:t>
      </w:r>
    </w:p>
    <w:p w14:paraId="4B24486C" w14:textId="77777777" w:rsidR="00674F9C" w:rsidRPr="00676C57" w:rsidRDefault="00000000">
      <w:pPr>
        <w:pStyle w:val="Heading1"/>
        <w:rPr>
          <w:sz w:val="36"/>
          <w:szCs w:val="36"/>
        </w:rPr>
      </w:pPr>
      <w:bookmarkStart w:id="20" w:name="supervised-modeling-results"/>
      <w:bookmarkEnd w:id="16"/>
      <w:bookmarkEnd w:id="19"/>
      <w:r w:rsidRPr="00676C57">
        <w:rPr>
          <w:sz w:val="36"/>
          <w:szCs w:val="36"/>
        </w:rPr>
        <w:t>7. Supervised Modeling Results</w:t>
      </w:r>
    </w:p>
    <w:p w14:paraId="49FB2F5A" w14:textId="77777777" w:rsidR="00674F9C" w:rsidRPr="00DE606B" w:rsidRDefault="00000000" w:rsidP="00DE606B">
      <w:pPr>
        <w:pStyle w:val="FirstParagraph"/>
        <w:spacing w:line="480" w:lineRule="auto"/>
        <w:rPr>
          <w:rFonts w:ascii="Times New Roman" w:hAnsi="Times New Roman" w:cs="Times New Roman"/>
        </w:rPr>
      </w:pPr>
      <w:r w:rsidRPr="00DE606B">
        <w:rPr>
          <w:rFonts w:ascii="Times New Roman" w:hAnsi="Times New Roman" w:cs="Times New Roman"/>
        </w:rPr>
        <w:t>The target variable showed moderate class imbalance, with adverse outcomes representing 15.4% of observations. To address this, hybrid sampling was applied to the training data only, using minority-class oversampling and majority-class undersampling to create a 2:1 non-adverse to adverse outcome ratio.</w:t>
      </w:r>
    </w:p>
    <w:p w14:paraId="44545A8C" w14:textId="77777777" w:rsidR="00674F9C" w:rsidRPr="00DE606B" w:rsidRDefault="00000000" w:rsidP="00DE606B">
      <w:pPr>
        <w:pStyle w:val="BodyText"/>
        <w:spacing w:line="480" w:lineRule="auto"/>
        <w:rPr>
          <w:rFonts w:ascii="Times New Roman" w:hAnsi="Times New Roman" w:cs="Times New Roman"/>
        </w:rPr>
      </w:pPr>
      <w:r w:rsidRPr="00DE606B">
        <w:rPr>
          <w:rFonts w:ascii="Times New Roman" w:hAnsi="Times New Roman" w:cs="Times New Roman"/>
        </w:rPr>
        <w:t>The test set was not resampled, so model performance was evaluated on the original outcome distribution. Because of the class imbalance, ROC AUC, sensitivity, specificity, and F1-score were emphasized over accuracy alone.</w:t>
      </w:r>
    </w:p>
    <w:p w14:paraId="7322984E" w14:textId="77777777" w:rsidR="00674F9C" w:rsidRPr="00676C57" w:rsidRDefault="00000000">
      <w:pPr>
        <w:pStyle w:val="Heading2"/>
        <w:rPr>
          <w:sz w:val="28"/>
          <w:szCs w:val="28"/>
        </w:rPr>
      </w:pPr>
      <w:bookmarkStart w:id="21" w:name="logistic-regression"/>
      <w:r w:rsidRPr="00676C57">
        <w:rPr>
          <w:sz w:val="28"/>
          <w:szCs w:val="28"/>
        </w:rPr>
        <w:t>7.1 Logistic Regression</w:t>
      </w:r>
    </w:p>
    <w:p w14:paraId="1139D450" w14:textId="77777777" w:rsidR="00674F9C" w:rsidRPr="00DE606B" w:rsidRDefault="00000000" w:rsidP="00DE606B">
      <w:pPr>
        <w:pStyle w:val="FirstParagraph"/>
        <w:spacing w:line="480" w:lineRule="auto"/>
        <w:rPr>
          <w:rFonts w:ascii="Times New Roman" w:hAnsi="Times New Roman" w:cs="Times New Roman"/>
        </w:rPr>
      </w:pPr>
      <w:r w:rsidRPr="00DE606B">
        <w:rPr>
          <w:rFonts w:ascii="Times New Roman" w:hAnsi="Times New Roman" w:cs="Times New Roman"/>
        </w:rPr>
        <w:t>Logistic regression was selected because it is commonly used in COVID-19 severity research and provides interpretable coefficients. These coefficients estimate changes in the log-odds of adverse outcome while holding other variables constant. Its main limitation is that nonlinear patterns and interaction effects must be specified manually.</w:t>
      </w:r>
    </w:p>
    <w:p w14:paraId="7292AACB" w14:textId="77777777" w:rsidR="00674F9C" w:rsidRPr="00DE606B" w:rsidRDefault="00000000" w:rsidP="00DE606B">
      <w:pPr>
        <w:pStyle w:val="BodyText"/>
        <w:spacing w:line="480" w:lineRule="auto"/>
        <w:rPr>
          <w:rFonts w:ascii="Times New Roman" w:hAnsi="Times New Roman" w:cs="Times New Roman"/>
        </w:rPr>
      </w:pPr>
      <w:r w:rsidRPr="00DE606B">
        <w:rPr>
          <w:rFonts w:ascii="Times New Roman" w:hAnsi="Times New Roman" w:cs="Times New Roman"/>
        </w:rPr>
        <w:t xml:space="preserve">Based on EDA and association rule mining, selected interaction terms were added to the logistic regression models. All four logistic regression models performed similarly. After testing several </w:t>
      </w:r>
      <w:r w:rsidRPr="00DE606B">
        <w:rPr>
          <w:rFonts w:ascii="Times New Roman" w:hAnsi="Times New Roman" w:cs="Times New Roman"/>
        </w:rPr>
        <w:lastRenderedPageBreak/>
        <w:t>classification thresholds, a cutoff of 0.75 was used because it reduced the error rate from about 0.17 to 0.15 while maintaining a reasonable balance across evaluation metrics.</w:t>
      </w:r>
    </w:p>
    <w:p w14:paraId="7FAF349D" w14:textId="77777777" w:rsidR="00674F9C" w:rsidRPr="00676C57" w:rsidRDefault="00000000">
      <w:pPr>
        <w:pStyle w:val="Heading2"/>
        <w:rPr>
          <w:sz w:val="28"/>
          <w:szCs w:val="28"/>
        </w:rPr>
      </w:pPr>
      <w:bookmarkStart w:id="22" w:name="random-forest"/>
      <w:bookmarkEnd w:id="21"/>
      <w:r w:rsidRPr="00676C57">
        <w:rPr>
          <w:sz w:val="28"/>
          <w:szCs w:val="28"/>
        </w:rPr>
        <w:t>7.2 Random Forest</w:t>
      </w:r>
    </w:p>
    <w:p w14:paraId="7F826970" w14:textId="77777777" w:rsidR="00674F9C" w:rsidRPr="00DE606B" w:rsidRDefault="00000000" w:rsidP="00DE606B">
      <w:pPr>
        <w:pStyle w:val="FirstParagraph"/>
        <w:spacing w:line="480" w:lineRule="auto"/>
        <w:rPr>
          <w:rFonts w:ascii="Times New Roman" w:hAnsi="Times New Roman" w:cs="Times New Roman"/>
        </w:rPr>
      </w:pPr>
      <w:r w:rsidRPr="00DE606B">
        <w:rPr>
          <w:rFonts w:ascii="Times New Roman" w:hAnsi="Times New Roman" w:cs="Times New Roman"/>
        </w:rPr>
        <w:t>Random forest was selected as a nonlinear tree-based ensemble model that can capture complex relationships and interactions. It also provides variable importance measures for interpretation. Its main limitation is lower interpretability compared with logistic regression coefficients.</w:t>
      </w:r>
    </w:p>
    <w:p w14:paraId="4913D803" w14:textId="77777777" w:rsidR="00674F9C" w:rsidRPr="00DE606B" w:rsidRDefault="00000000" w:rsidP="00DE606B">
      <w:pPr>
        <w:pStyle w:val="BodyText"/>
        <w:spacing w:line="480" w:lineRule="auto"/>
        <w:rPr>
          <w:rFonts w:ascii="Times New Roman" w:hAnsi="Times New Roman" w:cs="Times New Roman"/>
        </w:rPr>
      </w:pPr>
      <w:r w:rsidRPr="00DE606B">
        <w:rPr>
          <w:rFonts w:ascii="Times New Roman" w:hAnsi="Times New Roman" w:cs="Times New Roman"/>
        </w:rPr>
        <w:t xml:space="preserve">Hyperparameter tuning used grid search over four random forest parameters: </w:t>
      </w:r>
      <w:r w:rsidRPr="00DE606B">
        <w:rPr>
          <w:rStyle w:val="VerbatimChar"/>
          <w:rFonts w:ascii="Times New Roman" w:hAnsi="Times New Roman" w:cs="Times New Roman"/>
        </w:rPr>
        <w:t>mtry</w:t>
      </w:r>
      <w:r w:rsidRPr="00DE606B">
        <w:rPr>
          <w:rFonts w:ascii="Times New Roman" w:hAnsi="Times New Roman" w:cs="Times New Roman"/>
        </w:rPr>
        <w:t xml:space="preserve">, </w:t>
      </w:r>
      <w:r w:rsidRPr="00DE606B">
        <w:rPr>
          <w:rStyle w:val="VerbatimChar"/>
          <w:rFonts w:ascii="Times New Roman" w:hAnsi="Times New Roman" w:cs="Times New Roman"/>
        </w:rPr>
        <w:t>min.node.size</w:t>
      </w:r>
      <w:r w:rsidRPr="00DE606B">
        <w:rPr>
          <w:rFonts w:ascii="Times New Roman" w:hAnsi="Times New Roman" w:cs="Times New Roman"/>
        </w:rPr>
        <w:t xml:space="preserve">, </w:t>
      </w:r>
      <w:r w:rsidRPr="00DE606B">
        <w:rPr>
          <w:rStyle w:val="VerbatimChar"/>
          <w:rFonts w:ascii="Times New Roman" w:hAnsi="Times New Roman" w:cs="Times New Roman"/>
        </w:rPr>
        <w:t>replace</w:t>
      </w:r>
      <w:r w:rsidRPr="00DE606B">
        <w:rPr>
          <w:rFonts w:ascii="Times New Roman" w:hAnsi="Times New Roman" w:cs="Times New Roman"/>
        </w:rPr>
        <w:t xml:space="preserve">, and </w:t>
      </w:r>
      <w:r w:rsidRPr="00DE606B">
        <w:rPr>
          <w:rStyle w:val="VerbatimChar"/>
          <w:rFonts w:ascii="Times New Roman" w:hAnsi="Times New Roman" w:cs="Times New Roman"/>
        </w:rPr>
        <w:t>sample.fraction</w:t>
      </w:r>
      <w:r w:rsidRPr="00DE606B">
        <w:rPr>
          <w:rFonts w:ascii="Times New Roman" w:hAnsi="Times New Roman" w:cs="Times New Roman"/>
        </w:rPr>
        <w:t xml:space="preserve">. The </w:t>
      </w:r>
      <w:r w:rsidRPr="00DE606B">
        <w:rPr>
          <w:rStyle w:val="VerbatimChar"/>
          <w:rFonts w:ascii="Times New Roman" w:hAnsi="Times New Roman" w:cs="Times New Roman"/>
        </w:rPr>
        <w:t>mtry</w:t>
      </w:r>
      <w:r w:rsidRPr="00DE606B">
        <w:rPr>
          <w:rFonts w:ascii="Times New Roman" w:hAnsi="Times New Roman" w:cs="Times New Roman"/>
        </w:rPr>
        <w:t xml:space="preserve"> values were set to 5%, 25%, and 40% of the number of predictors, rounded up. Minimum node size was tested at 1, 5, and 10. Sampling was tested both with and without replacement, and sample fractions of 0.50 and 0.80 were compared. This produced 36 candidate models. The number of trees was set to </w:t>
      </w:r>
      <w:r w:rsidRPr="00DE606B">
        <w:rPr>
          <w:rStyle w:val="VerbatimChar"/>
          <w:rFonts w:ascii="Times New Roman" w:hAnsi="Times New Roman" w:cs="Times New Roman"/>
        </w:rPr>
        <w:t>n_features * 10</w:t>
      </w:r>
      <w:r w:rsidRPr="00DE606B">
        <w:rPr>
          <w:rFonts w:ascii="Times New Roman" w:hAnsi="Times New Roman" w:cs="Times New Roman"/>
        </w:rPr>
        <w:t xml:space="preserve"> to manage runtime, and the final tuned model was selected using the lowest out-of-bag error rate.</w:t>
      </w:r>
    </w:p>
    <w:p w14:paraId="1952BB57" w14:textId="77777777" w:rsidR="00674F9C" w:rsidRPr="00676C57" w:rsidRDefault="00000000">
      <w:pPr>
        <w:pStyle w:val="Heading2"/>
        <w:rPr>
          <w:sz w:val="28"/>
          <w:szCs w:val="28"/>
        </w:rPr>
      </w:pPr>
      <w:bookmarkStart w:id="23" w:name="evaluation-and-comparison"/>
      <w:bookmarkEnd w:id="22"/>
      <w:r w:rsidRPr="00676C57">
        <w:rPr>
          <w:sz w:val="28"/>
          <w:szCs w:val="28"/>
        </w:rPr>
        <w:t>7.3 Evaluation and Comparison</w:t>
      </w:r>
    </w:p>
    <w:p w14:paraId="15E9C0B0" w14:textId="51DB02E1" w:rsidR="00674F9C" w:rsidRDefault="00000000">
      <w:pPr>
        <w:pStyle w:val="CaptionedFigure"/>
      </w:pPr>
      <w:r>
        <w:rPr>
          <w:noProof/>
        </w:rPr>
        <w:drawing>
          <wp:inline distT="0" distB="0" distL="0" distR="0" wp14:anchorId="4C99FD53" wp14:editId="1976FBE9">
            <wp:extent cx="2686050" cy="2667000"/>
            <wp:effectExtent l="0" t="0" r="0" b="0"/>
            <wp:docPr id="62" name="Picture" descr="Figure 11. Logistic regression ROC curves."/>
            <wp:cNvGraphicFramePr/>
            <a:graphic xmlns:a="http://schemas.openxmlformats.org/drawingml/2006/main">
              <a:graphicData uri="http://schemas.openxmlformats.org/drawingml/2006/picture">
                <pic:pic xmlns:pic="http://schemas.openxmlformats.org/drawingml/2006/picture">
                  <pic:nvPicPr>
                    <pic:cNvPr id="63" name="Picture" descr="FinalProjectCOVIDHobbs_files/figure-docx/unnamed-chunk-104-1.png"/>
                    <pic:cNvPicPr>
                      <a:picLocks noChangeAspect="1" noChangeArrowheads="1"/>
                    </pic:cNvPicPr>
                  </pic:nvPicPr>
                  <pic:blipFill rotWithShape="1">
                    <a:blip r:embed="rId18"/>
                    <a:srcRect l="27321" r="22321"/>
                    <a:stretch>
                      <a:fillRect/>
                    </a:stretch>
                  </pic:blipFill>
                  <pic:spPr bwMode="auto">
                    <a:xfrm>
                      <a:off x="0" y="0"/>
                      <a:ext cx="2686050" cy="2667000"/>
                    </a:xfrm>
                    <a:prstGeom prst="rect">
                      <a:avLst/>
                    </a:prstGeom>
                    <a:noFill/>
                    <a:ln>
                      <a:noFill/>
                    </a:ln>
                    <a:extLst>
                      <a:ext uri="{53640926-AAD7-44D8-BBD7-CCE9431645EC}">
                        <a14:shadowObscured xmlns:a14="http://schemas.microsoft.com/office/drawing/2010/main"/>
                      </a:ext>
                    </a:extLst>
                  </pic:spPr>
                </pic:pic>
              </a:graphicData>
            </a:graphic>
          </wp:inline>
        </w:drawing>
      </w:r>
      <w:r w:rsidR="006D7B72">
        <w:rPr>
          <w:noProof/>
        </w:rPr>
        <w:drawing>
          <wp:inline distT="0" distB="0" distL="0" distR="0" wp14:anchorId="5A0A5791" wp14:editId="59CE29BE">
            <wp:extent cx="2447925" cy="2667000"/>
            <wp:effectExtent l="0" t="0" r="0" b="0"/>
            <wp:docPr id="65" name="Picture" descr="Figure 12. Random forest ROC curves."/>
            <wp:cNvGraphicFramePr/>
            <a:graphic xmlns:a="http://schemas.openxmlformats.org/drawingml/2006/main">
              <a:graphicData uri="http://schemas.openxmlformats.org/drawingml/2006/picture">
                <pic:pic xmlns:pic="http://schemas.openxmlformats.org/drawingml/2006/picture">
                  <pic:nvPicPr>
                    <pic:cNvPr id="66" name="Picture" descr="FinalProjectCOVIDHobbs_files/figure-docx/unnamed-chunk-107-1.png"/>
                    <pic:cNvPicPr>
                      <a:picLocks noChangeAspect="1" noChangeArrowheads="1"/>
                    </pic:cNvPicPr>
                  </pic:nvPicPr>
                  <pic:blipFill rotWithShape="1">
                    <a:blip r:embed="rId19"/>
                    <a:srcRect l="27144" r="26964"/>
                    <a:stretch>
                      <a:fillRect/>
                    </a:stretch>
                  </pic:blipFill>
                  <pic:spPr bwMode="auto">
                    <a:xfrm>
                      <a:off x="0" y="0"/>
                      <a:ext cx="2447925" cy="2667000"/>
                    </a:xfrm>
                    <a:prstGeom prst="rect">
                      <a:avLst/>
                    </a:prstGeom>
                    <a:noFill/>
                    <a:ln>
                      <a:noFill/>
                    </a:ln>
                    <a:extLst>
                      <a:ext uri="{53640926-AAD7-44D8-BBD7-CCE9431645EC}">
                        <a14:shadowObscured xmlns:a14="http://schemas.microsoft.com/office/drawing/2010/main"/>
                      </a:ext>
                    </a:extLst>
                  </pic:spPr>
                </pic:pic>
              </a:graphicData>
            </a:graphic>
          </wp:inline>
        </w:drawing>
      </w:r>
    </w:p>
    <w:p w14:paraId="2E7727C6" w14:textId="70D6B088" w:rsidR="00674F9C" w:rsidRDefault="00000000">
      <w:pPr>
        <w:pStyle w:val="ImageCaption"/>
      </w:pPr>
      <w:r>
        <w:t>Figure 11. Logistic regression ROC curves.</w:t>
      </w:r>
      <w:r w:rsidR="006D7B72" w:rsidRPr="006D7B72">
        <w:rPr>
          <w:noProof/>
        </w:rPr>
        <w:t xml:space="preserve"> </w:t>
      </w:r>
      <w:r>
        <w:t>Figure 12. Random forest ROC curves.</w:t>
      </w:r>
    </w:p>
    <w:p w14:paraId="2C3D9951" w14:textId="23A58AD4" w:rsidR="00674F9C" w:rsidRPr="00DE606B" w:rsidRDefault="00000000" w:rsidP="00DE606B">
      <w:pPr>
        <w:pStyle w:val="BodyText"/>
        <w:spacing w:line="480" w:lineRule="auto"/>
        <w:rPr>
          <w:rFonts w:ascii="Times New Roman" w:hAnsi="Times New Roman" w:cs="Times New Roman"/>
        </w:rPr>
      </w:pPr>
      <w:r w:rsidRPr="00DE606B">
        <w:rPr>
          <w:rFonts w:ascii="Times New Roman" w:hAnsi="Times New Roman" w:cs="Times New Roman"/>
        </w:rPr>
        <w:lastRenderedPageBreak/>
        <w:t>The target outcome occurred in 15.4% of confirmed COVID-19 cases. All four logistic regression models performed similarly. The full dataset model with interaction effects performed slightly best, with 85.2% accuracy, 21.</w:t>
      </w:r>
      <w:r w:rsidR="007A57D3" w:rsidRPr="00DE606B">
        <w:rPr>
          <w:rFonts w:ascii="Times New Roman" w:hAnsi="Times New Roman" w:cs="Times New Roman"/>
        </w:rPr>
        <w:t>3</w:t>
      </w:r>
      <w:r w:rsidRPr="00DE606B">
        <w:rPr>
          <w:rFonts w:ascii="Times New Roman" w:hAnsi="Times New Roman" w:cs="Times New Roman"/>
        </w:rPr>
        <w:t>% sensitivity, 96.</w:t>
      </w:r>
      <w:r w:rsidR="007A57D3" w:rsidRPr="00DE606B">
        <w:rPr>
          <w:rFonts w:ascii="Times New Roman" w:hAnsi="Times New Roman" w:cs="Times New Roman"/>
        </w:rPr>
        <w:t>9</w:t>
      </w:r>
      <w:r w:rsidRPr="00DE606B">
        <w:rPr>
          <w:rFonts w:ascii="Times New Roman" w:hAnsi="Times New Roman" w:cs="Times New Roman"/>
        </w:rPr>
        <w:t>% specificity, an F1-score of 0.3</w:t>
      </w:r>
      <w:r w:rsidR="007A57D3" w:rsidRPr="00DE606B">
        <w:rPr>
          <w:rFonts w:ascii="Times New Roman" w:hAnsi="Times New Roman" w:cs="Times New Roman"/>
        </w:rPr>
        <w:t>08</w:t>
      </w:r>
      <w:r w:rsidRPr="00DE606B">
        <w:rPr>
          <w:rFonts w:ascii="Times New Roman" w:hAnsi="Times New Roman" w:cs="Times New Roman"/>
        </w:rPr>
        <w:t>, and an AUC of 0.8</w:t>
      </w:r>
      <w:r w:rsidR="007A57D3" w:rsidRPr="00DE606B">
        <w:rPr>
          <w:rFonts w:ascii="Times New Roman" w:hAnsi="Times New Roman" w:cs="Times New Roman"/>
        </w:rPr>
        <w:t>31</w:t>
      </w:r>
      <w:r w:rsidRPr="00DE606B">
        <w:rPr>
          <w:rFonts w:ascii="Times New Roman" w:hAnsi="Times New Roman" w:cs="Times New Roman"/>
        </w:rPr>
        <w:t>. However, the high accuracy was mainly driven by correct classification of the majority class, while the low sensitivity showed poor detection of adverse outcome cases.</w:t>
      </w:r>
    </w:p>
    <w:p w14:paraId="522F8FB7" w14:textId="02810963" w:rsidR="00674F9C" w:rsidRPr="00DE606B" w:rsidRDefault="00000000" w:rsidP="00DE606B">
      <w:pPr>
        <w:pStyle w:val="BodyText"/>
        <w:spacing w:line="480" w:lineRule="auto"/>
        <w:rPr>
          <w:rFonts w:ascii="Times New Roman" w:hAnsi="Times New Roman" w:cs="Times New Roman"/>
        </w:rPr>
      </w:pPr>
      <w:r w:rsidRPr="00DE606B">
        <w:rPr>
          <w:rFonts w:ascii="Times New Roman" w:hAnsi="Times New Roman" w:cs="Times New Roman"/>
        </w:rPr>
        <w:t>The random forest models also performed similarly to one another, and tuning did not produce meaningful improvement. The tuned full random forest model had 8</w:t>
      </w:r>
      <w:r w:rsidR="00973D4F" w:rsidRPr="00DE606B">
        <w:rPr>
          <w:rFonts w:ascii="Times New Roman" w:hAnsi="Times New Roman" w:cs="Times New Roman"/>
        </w:rPr>
        <w:t>2</w:t>
      </w:r>
      <w:r w:rsidRPr="00DE606B">
        <w:rPr>
          <w:rFonts w:ascii="Times New Roman" w:hAnsi="Times New Roman" w:cs="Times New Roman"/>
        </w:rPr>
        <w:t xml:space="preserve">% accuracy, </w:t>
      </w:r>
      <w:r w:rsidR="00973D4F" w:rsidRPr="00DE606B">
        <w:rPr>
          <w:rFonts w:ascii="Times New Roman" w:hAnsi="Times New Roman" w:cs="Times New Roman"/>
        </w:rPr>
        <w:t>55.7</w:t>
      </w:r>
      <w:r w:rsidRPr="00DE606B">
        <w:rPr>
          <w:rFonts w:ascii="Times New Roman" w:hAnsi="Times New Roman" w:cs="Times New Roman"/>
        </w:rPr>
        <w:t>% sensitivity, 86.</w:t>
      </w:r>
      <w:r w:rsidR="00973D4F" w:rsidRPr="00DE606B">
        <w:rPr>
          <w:rFonts w:ascii="Times New Roman" w:hAnsi="Times New Roman" w:cs="Times New Roman"/>
        </w:rPr>
        <w:t>8</w:t>
      </w:r>
      <w:r w:rsidRPr="00DE606B">
        <w:rPr>
          <w:rFonts w:ascii="Times New Roman" w:hAnsi="Times New Roman" w:cs="Times New Roman"/>
        </w:rPr>
        <w:t>% specificity, an F1-score of 0.4</w:t>
      </w:r>
      <w:r w:rsidR="00973D4F" w:rsidRPr="00DE606B">
        <w:rPr>
          <w:rFonts w:ascii="Times New Roman" w:hAnsi="Times New Roman" w:cs="Times New Roman"/>
        </w:rPr>
        <w:t>88</w:t>
      </w:r>
      <w:r w:rsidRPr="00DE606B">
        <w:rPr>
          <w:rFonts w:ascii="Times New Roman" w:hAnsi="Times New Roman" w:cs="Times New Roman"/>
        </w:rPr>
        <w:t>, and an AUC of 0.8</w:t>
      </w:r>
      <w:r w:rsidR="007A57D3" w:rsidRPr="00DE606B">
        <w:rPr>
          <w:rFonts w:ascii="Times New Roman" w:hAnsi="Times New Roman" w:cs="Times New Roman"/>
        </w:rPr>
        <w:t>252</w:t>
      </w:r>
      <w:r w:rsidRPr="00DE606B">
        <w:rPr>
          <w:rFonts w:ascii="Times New Roman" w:hAnsi="Times New Roman" w:cs="Times New Roman"/>
        </w:rPr>
        <w:t>. Although specificity was lower than logistic regression, random forest substantially improved sensitivity and F1-score.</w:t>
      </w:r>
    </w:p>
    <w:p w14:paraId="05A950C7" w14:textId="5754CA06" w:rsidR="00674F9C" w:rsidRPr="00DE606B" w:rsidRDefault="00000000" w:rsidP="00DE606B">
      <w:pPr>
        <w:pStyle w:val="BodyText"/>
        <w:spacing w:line="480" w:lineRule="auto"/>
        <w:rPr>
          <w:rFonts w:ascii="Times New Roman" w:hAnsi="Times New Roman" w:cs="Times New Roman"/>
        </w:rPr>
      </w:pPr>
      <w:r w:rsidRPr="00DE606B">
        <w:rPr>
          <w:rFonts w:ascii="Times New Roman" w:hAnsi="Times New Roman" w:cs="Times New Roman"/>
        </w:rPr>
        <w:t>Overall, random forest provided the better balance between detecting adverse outcomes and controlling false positives. The F1-score improved from 0.3</w:t>
      </w:r>
      <w:r w:rsidR="009D0E77" w:rsidRPr="00DE606B">
        <w:rPr>
          <w:rFonts w:ascii="Times New Roman" w:hAnsi="Times New Roman" w:cs="Times New Roman"/>
        </w:rPr>
        <w:t>08</w:t>
      </w:r>
      <w:r w:rsidRPr="00DE606B">
        <w:rPr>
          <w:rFonts w:ascii="Times New Roman" w:hAnsi="Times New Roman" w:cs="Times New Roman"/>
        </w:rPr>
        <w:t xml:space="preserve"> for logistic regression to 0.4</w:t>
      </w:r>
      <w:r w:rsidR="009D0E77" w:rsidRPr="00DE606B">
        <w:rPr>
          <w:rFonts w:ascii="Times New Roman" w:hAnsi="Times New Roman" w:cs="Times New Roman"/>
        </w:rPr>
        <w:t>88</w:t>
      </w:r>
      <w:r w:rsidRPr="00DE606B">
        <w:rPr>
          <w:rFonts w:ascii="Times New Roman" w:hAnsi="Times New Roman" w:cs="Times New Roman"/>
        </w:rPr>
        <w:t xml:space="preserve"> for random forest, an increase of about 0.18. The main trade-off was interpretability: logistic regression provided directly interpretable log-odds coefficients, while random forest was more flexible but required variable importance measures for interpretation.</w:t>
      </w:r>
    </w:p>
    <w:p w14:paraId="4B8C87FB" w14:textId="77777777" w:rsidR="00674F9C" w:rsidRPr="00676C57" w:rsidRDefault="00000000">
      <w:pPr>
        <w:pStyle w:val="Heading1"/>
        <w:rPr>
          <w:sz w:val="36"/>
          <w:szCs w:val="36"/>
        </w:rPr>
      </w:pPr>
      <w:bookmarkStart w:id="24" w:name="interpretation"/>
      <w:bookmarkEnd w:id="20"/>
      <w:bookmarkEnd w:id="23"/>
      <w:r w:rsidRPr="00676C57">
        <w:rPr>
          <w:sz w:val="36"/>
          <w:szCs w:val="36"/>
        </w:rPr>
        <w:t>8. Interpretation</w:t>
      </w:r>
    </w:p>
    <w:p w14:paraId="69499008" w14:textId="77777777" w:rsidR="00674F9C" w:rsidRDefault="00000000">
      <w:pPr>
        <w:pStyle w:val="TableCaption"/>
      </w:pPr>
      <w:r>
        <w:t>Table 3. Top 10 logistic regression coefficients by absolute value for the full interaction model.</w:t>
      </w:r>
    </w:p>
    <w:tbl>
      <w:tblPr>
        <w:tblStyle w:val="Table"/>
        <w:tblW w:w="5000" w:type="pct"/>
        <w:tblLayout w:type="fixed"/>
        <w:tblLook w:val="0020" w:firstRow="1" w:lastRow="0" w:firstColumn="0" w:lastColumn="0" w:noHBand="0" w:noVBand="0"/>
      </w:tblPr>
      <w:tblGrid>
        <w:gridCol w:w="3470"/>
        <w:gridCol w:w="1665"/>
        <w:gridCol w:w="2915"/>
        <w:gridCol w:w="1526"/>
      </w:tblGrid>
      <w:tr w:rsidR="00674F9C" w14:paraId="1AAF7BF0" w14:textId="77777777" w:rsidTr="00674F9C">
        <w:trPr>
          <w:cnfStyle w:val="100000000000" w:firstRow="1" w:lastRow="0" w:firstColumn="0" w:lastColumn="0" w:oddVBand="0" w:evenVBand="0" w:oddHBand="0" w:evenHBand="0" w:firstRowFirstColumn="0" w:firstRowLastColumn="0" w:lastRowFirstColumn="0" w:lastRowLastColumn="0"/>
          <w:tblHeader/>
        </w:trPr>
        <w:tc>
          <w:tcPr>
            <w:tcW w:w="2869" w:type="dxa"/>
          </w:tcPr>
          <w:p w14:paraId="462779AB" w14:textId="77777777" w:rsidR="00674F9C" w:rsidRDefault="00000000">
            <w:pPr>
              <w:pStyle w:val="Compact"/>
            </w:pPr>
            <w:r>
              <w:t>Predictor</w:t>
            </w:r>
          </w:p>
        </w:tc>
        <w:tc>
          <w:tcPr>
            <w:tcW w:w="1377" w:type="dxa"/>
          </w:tcPr>
          <w:p w14:paraId="73736B23" w14:textId="77777777" w:rsidR="00674F9C" w:rsidRDefault="00000000">
            <w:pPr>
              <w:pStyle w:val="Compact"/>
              <w:jc w:val="right"/>
            </w:pPr>
            <w:r>
              <w:t>Coefficient</w:t>
            </w:r>
          </w:p>
        </w:tc>
        <w:tc>
          <w:tcPr>
            <w:tcW w:w="2410" w:type="dxa"/>
          </w:tcPr>
          <w:p w14:paraId="2DE20BA3" w14:textId="77777777" w:rsidR="00674F9C" w:rsidRDefault="00000000">
            <w:pPr>
              <w:pStyle w:val="Compact"/>
              <w:jc w:val="right"/>
            </w:pPr>
            <w:r>
              <w:t>Absolute Coefficient</w:t>
            </w:r>
          </w:p>
        </w:tc>
        <w:tc>
          <w:tcPr>
            <w:tcW w:w="1262" w:type="dxa"/>
          </w:tcPr>
          <w:p w14:paraId="53E531AC" w14:textId="77777777" w:rsidR="00674F9C" w:rsidRDefault="00000000">
            <w:pPr>
              <w:pStyle w:val="Compact"/>
              <w:jc w:val="right"/>
            </w:pPr>
            <w:r>
              <w:t>Odds Ratio</w:t>
            </w:r>
          </w:p>
        </w:tc>
      </w:tr>
      <w:tr w:rsidR="00674F9C" w14:paraId="6D5EF58B" w14:textId="77777777">
        <w:tc>
          <w:tcPr>
            <w:tcW w:w="2869" w:type="dxa"/>
          </w:tcPr>
          <w:p w14:paraId="5932619B" w14:textId="77777777" w:rsidR="00674F9C" w:rsidRDefault="00000000">
            <w:pPr>
              <w:pStyle w:val="Compact"/>
            </w:pPr>
            <w:r>
              <w:t>(Intercept)</w:t>
            </w:r>
          </w:p>
        </w:tc>
        <w:tc>
          <w:tcPr>
            <w:tcW w:w="1377" w:type="dxa"/>
          </w:tcPr>
          <w:p w14:paraId="7CD752B8" w14:textId="77777777" w:rsidR="00674F9C" w:rsidRDefault="00000000">
            <w:pPr>
              <w:pStyle w:val="Compact"/>
              <w:jc w:val="right"/>
            </w:pPr>
            <w:r>
              <w:t>-5.042</w:t>
            </w:r>
          </w:p>
        </w:tc>
        <w:tc>
          <w:tcPr>
            <w:tcW w:w="2410" w:type="dxa"/>
          </w:tcPr>
          <w:p w14:paraId="6B8D4DC2" w14:textId="77777777" w:rsidR="00674F9C" w:rsidRDefault="00000000">
            <w:pPr>
              <w:pStyle w:val="Compact"/>
              <w:jc w:val="right"/>
            </w:pPr>
            <w:r>
              <w:t>5.042</w:t>
            </w:r>
          </w:p>
        </w:tc>
        <w:tc>
          <w:tcPr>
            <w:tcW w:w="1262" w:type="dxa"/>
          </w:tcPr>
          <w:p w14:paraId="26ED017E" w14:textId="77777777" w:rsidR="00674F9C" w:rsidRDefault="00000000">
            <w:pPr>
              <w:pStyle w:val="Compact"/>
              <w:jc w:val="right"/>
            </w:pPr>
            <w:r>
              <w:t>0.006</w:t>
            </w:r>
          </w:p>
        </w:tc>
      </w:tr>
      <w:tr w:rsidR="00674F9C" w14:paraId="261BC470" w14:textId="77777777">
        <w:tc>
          <w:tcPr>
            <w:tcW w:w="2869" w:type="dxa"/>
          </w:tcPr>
          <w:p w14:paraId="6EFECD3B" w14:textId="77777777" w:rsidR="00674F9C" w:rsidRDefault="00000000">
            <w:pPr>
              <w:pStyle w:val="Compact"/>
            </w:pPr>
            <w:r>
              <w:t>Condition_Count4+</w:t>
            </w:r>
          </w:p>
        </w:tc>
        <w:tc>
          <w:tcPr>
            <w:tcW w:w="1377" w:type="dxa"/>
          </w:tcPr>
          <w:p w14:paraId="40143477" w14:textId="77777777" w:rsidR="00674F9C" w:rsidRDefault="00000000">
            <w:pPr>
              <w:pStyle w:val="Compact"/>
              <w:jc w:val="right"/>
            </w:pPr>
            <w:r>
              <w:t>1.771</w:t>
            </w:r>
          </w:p>
        </w:tc>
        <w:tc>
          <w:tcPr>
            <w:tcW w:w="2410" w:type="dxa"/>
          </w:tcPr>
          <w:p w14:paraId="622D7F96" w14:textId="77777777" w:rsidR="00674F9C" w:rsidRDefault="00000000">
            <w:pPr>
              <w:pStyle w:val="Compact"/>
              <w:jc w:val="right"/>
            </w:pPr>
            <w:r>
              <w:t>1.771</w:t>
            </w:r>
          </w:p>
        </w:tc>
        <w:tc>
          <w:tcPr>
            <w:tcW w:w="1262" w:type="dxa"/>
          </w:tcPr>
          <w:p w14:paraId="06848CD7" w14:textId="77777777" w:rsidR="00674F9C" w:rsidRDefault="00000000">
            <w:pPr>
              <w:pStyle w:val="Compact"/>
              <w:jc w:val="right"/>
            </w:pPr>
            <w:r>
              <w:t>5.877</w:t>
            </w:r>
          </w:p>
        </w:tc>
      </w:tr>
      <w:tr w:rsidR="00674F9C" w14:paraId="2729EB9E" w14:textId="77777777">
        <w:tc>
          <w:tcPr>
            <w:tcW w:w="2869" w:type="dxa"/>
          </w:tcPr>
          <w:p w14:paraId="124BB63C" w14:textId="77777777" w:rsidR="00674F9C" w:rsidRDefault="00000000">
            <w:pPr>
              <w:pStyle w:val="Compact"/>
            </w:pPr>
            <w:r>
              <w:t>Other_DiseaseYes</w:t>
            </w:r>
          </w:p>
        </w:tc>
        <w:tc>
          <w:tcPr>
            <w:tcW w:w="1377" w:type="dxa"/>
          </w:tcPr>
          <w:p w14:paraId="7D9AE273" w14:textId="77777777" w:rsidR="00674F9C" w:rsidRDefault="00000000">
            <w:pPr>
              <w:pStyle w:val="Compact"/>
              <w:jc w:val="right"/>
            </w:pPr>
            <w:r>
              <w:t>1.680</w:t>
            </w:r>
          </w:p>
        </w:tc>
        <w:tc>
          <w:tcPr>
            <w:tcW w:w="2410" w:type="dxa"/>
          </w:tcPr>
          <w:p w14:paraId="39EE60FF" w14:textId="77777777" w:rsidR="00674F9C" w:rsidRDefault="00000000">
            <w:pPr>
              <w:pStyle w:val="Compact"/>
              <w:jc w:val="right"/>
            </w:pPr>
            <w:r>
              <w:t>1.680</w:t>
            </w:r>
          </w:p>
        </w:tc>
        <w:tc>
          <w:tcPr>
            <w:tcW w:w="1262" w:type="dxa"/>
          </w:tcPr>
          <w:p w14:paraId="090BDD00" w14:textId="77777777" w:rsidR="00674F9C" w:rsidRDefault="00000000">
            <w:pPr>
              <w:pStyle w:val="Compact"/>
              <w:jc w:val="right"/>
            </w:pPr>
            <w:r>
              <w:t>5.365</w:t>
            </w:r>
          </w:p>
        </w:tc>
      </w:tr>
      <w:tr w:rsidR="00674F9C" w14:paraId="67AF7C00" w14:textId="77777777">
        <w:tc>
          <w:tcPr>
            <w:tcW w:w="2869" w:type="dxa"/>
          </w:tcPr>
          <w:p w14:paraId="0E40E318" w14:textId="77777777" w:rsidR="00674F9C" w:rsidRDefault="00000000">
            <w:pPr>
              <w:pStyle w:val="Compact"/>
            </w:pPr>
            <w:r>
              <w:t>Condition_Count3</w:t>
            </w:r>
          </w:p>
        </w:tc>
        <w:tc>
          <w:tcPr>
            <w:tcW w:w="1377" w:type="dxa"/>
          </w:tcPr>
          <w:p w14:paraId="6A54C943" w14:textId="77777777" w:rsidR="00674F9C" w:rsidRDefault="00000000">
            <w:pPr>
              <w:pStyle w:val="Compact"/>
              <w:jc w:val="right"/>
            </w:pPr>
            <w:r>
              <w:t>1.470</w:t>
            </w:r>
          </w:p>
        </w:tc>
        <w:tc>
          <w:tcPr>
            <w:tcW w:w="2410" w:type="dxa"/>
          </w:tcPr>
          <w:p w14:paraId="51B9FC5C" w14:textId="77777777" w:rsidR="00674F9C" w:rsidRDefault="00000000">
            <w:pPr>
              <w:pStyle w:val="Compact"/>
              <w:jc w:val="right"/>
            </w:pPr>
            <w:r>
              <w:t>1.470</w:t>
            </w:r>
          </w:p>
        </w:tc>
        <w:tc>
          <w:tcPr>
            <w:tcW w:w="1262" w:type="dxa"/>
          </w:tcPr>
          <w:p w14:paraId="67133A46" w14:textId="77777777" w:rsidR="00674F9C" w:rsidRDefault="00000000">
            <w:pPr>
              <w:pStyle w:val="Compact"/>
              <w:jc w:val="right"/>
            </w:pPr>
            <w:r>
              <w:t>4.349</w:t>
            </w:r>
          </w:p>
        </w:tc>
      </w:tr>
      <w:tr w:rsidR="00674F9C" w14:paraId="71D26C7E" w14:textId="77777777">
        <w:tc>
          <w:tcPr>
            <w:tcW w:w="2869" w:type="dxa"/>
          </w:tcPr>
          <w:p w14:paraId="5234ED68" w14:textId="77777777" w:rsidR="00674F9C" w:rsidRDefault="00000000">
            <w:pPr>
              <w:pStyle w:val="Compact"/>
            </w:pPr>
            <w:r>
              <w:t>Condition_Count2</w:t>
            </w:r>
          </w:p>
        </w:tc>
        <w:tc>
          <w:tcPr>
            <w:tcW w:w="1377" w:type="dxa"/>
          </w:tcPr>
          <w:p w14:paraId="53848DB7" w14:textId="77777777" w:rsidR="00674F9C" w:rsidRDefault="00000000">
            <w:pPr>
              <w:pStyle w:val="Compact"/>
              <w:jc w:val="right"/>
            </w:pPr>
            <w:r>
              <w:t>1.135</w:t>
            </w:r>
          </w:p>
        </w:tc>
        <w:tc>
          <w:tcPr>
            <w:tcW w:w="2410" w:type="dxa"/>
          </w:tcPr>
          <w:p w14:paraId="1F3D84A4" w14:textId="77777777" w:rsidR="00674F9C" w:rsidRDefault="00000000">
            <w:pPr>
              <w:pStyle w:val="Compact"/>
              <w:jc w:val="right"/>
            </w:pPr>
            <w:r>
              <w:t>1.135</w:t>
            </w:r>
          </w:p>
        </w:tc>
        <w:tc>
          <w:tcPr>
            <w:tcW w:w="1262" w:type="dxa"/>
          </w:tcPr>
          <w:p w14:paraId="16165548" w14:textId="77777777" w:rsidR="00674F9C" w:rsidRDefault="00000000">
            <w:pPr>
              <w:pStyle w:val="Compact"/>
              <w:jc w:val="right"/>
            </w:pPr>
            <w:r>
              <w:t>3.113</w:t>
            </w:r>
          </w:p>
        </w:tc>
      </w:tr>
      <w:tr w:rsidR="00674F9C" w14:paraId="03F0F29F" w14:textId="77777777">
        <w:tc>
          <w:tcPr>
            <w:tcW w:w="2869" w:type="dxa"/>
          </w:tcPr>
          <w:p w14:paraId="30990699" w14:textId="77777777" w:rsidR="00674F9C" w:rsidRDefault="00000000">
            <w:pPr>
              <w:pStyle w:val="Compact"/>
            </w:pPr>
            <w:r>
              <w:t>Condition_Count1</w:t>
            </w:r>
          </w:p>
        </w:tc>
        <w:tc>
          <w:tcPr>
            <w:tcW w:w="1377" w:type="dxa"/>
          </w:tcPr>
          <w:p w14:paraId="799EF9EA" w14:textId="77777777" w:rsidR="00674F9C" w:rsidRDefault="00000000">
            <w:pPr>
              <w:pStyle w:val="Compact"/>
              <w:jc w:val="right"/>
            </w:pPr>
            <w:r>
              <w:t>0.706</w:t>
            </w:r>
          </w:p>
        </w:tc>
        <w:tc>
          <w:tcPr>
            <w:tcW w:w="2410" w:type="dxa"/>
          </w:tcPr>
          <w:p w14:paraId="62E67A25" w14:textId="77777777" w:rsidR="00674F9C" w:rsidRDefault="00000000">
            <w:pPr>
              <w:pStyle w:val="Compact"/>
              <w:jc w:val="right"/>
            </w:pPr>
            <w:r>
              <w:t>0.706</w:t>
            </w:r>
          </w:p>
        </w:tc>
        <w:tc>
          <w:tcPr>
            <w:tcW w:w="1262" w:type="dxa"/>
          </w:tcPr>
          <w:p w14:paraId="3EE8CC43" w14:textId="77777777" w:rsidR="00674F9C" w:rsidRDefault="00000000">
            <w:pPr>
              <w:pStyle w:val="Compact"/>
              <w:jc w:val="right"/>
            </w:pPr>
            <w:r>
              <w:t>2.026</w:t>
            </w:r>
          </w:p>
        </w:tc>
      </w:tr>
      <w:tr w:rsidR="00674F9C" w14:paraId="1C947966" w14:textId="77777777">
        <w:tc>
          <w:tcPr>
            <w:tcW w:w="2869" w:type="dxa"/>
          </w:tcPr>
          <w:p w14:paraId="4D986DCA" w14:textId="77777777" w:rsidR="00674F9C" w:rsidRDefault="00000000">
            <w:pPr>
              <w:pStyle w:val="Compact"/>
            </w:pPr>
            <w:r>
              <w:t>Chronic_Renal_DiseaseYes</w:t>
            </w:r>
          </w:p>
        </w:tc>
        <w:tc>
          <w:tcPr>
            <w:tcW w:w="1377" w:type="dxa"/>
          </w:tcPr>
          <w:p w14:paraId="6BB8C8C7" w14:textId="77777777" w:rsidR="00674F9C" w:rsidRDefault="00000000">
            <w:pPr>
              <w:pStyle w:val="Compact"/>
              <w:jc w:val="right"/>
            </w:pPr>
            <w:r>
              <w:t>0.697</w:t>
            </w:r>
          </w:p>
        </w:tc>
        <w:tc>
          <w:tcPr>
            <w:tcW w:w="2410" w:type="dxa"/>
          </w:tcPr>
          <w:p w14:paraId="2AFB77CD" w14:textId="77777777" w:rsidR="00674F9C" w:rsidRDefault="00000000">
            <w:pPr>
              <w:pStyle w:val="Compact"/>
              <w:jc w:val="right"/>
            </w:pPr>
            <w:r>
              <w:t>0.697</w:t>
            </w:r>
          </w:p>
        </w:tc>
        <w:tc>
          <w:tcPr>
            <w:tcW w:w="1262" w:type="dxa"/>
          </w:tcPr>
          <w:p w14:paraId="0C2FB08B" w14:textId="77777777" w:rsidR="00674F9C" w:rsidRDefault="00000000">
            <w:pPr>
              <w:pStyle w:val="Compact"/>
              <w:jc w:val="right"/>
            </w:pPr>
            <w:r>
              <w:t>2.007</w:t>
            </w:r>
          </w:p>
        </w:tc>
      </w:tr>
      <w:tr w:rsidR="00674F9C" w14:paraId="7EC1B99D" w14:textId="77777777">
        <w:tc>
          <w:tcPr>
            <w:tcW w:w="2869" w:type="dxa"/>
          </w:tcPr>
          <w:p w14:paraId="0701FAAD" w14:textId="77777777" w:rsidR="00674F9C" w:rsidRDefault="00000000">
            <w:pPr>
              <w:pStyle w:val="Compact"/>
            </w:pPr>
            <w:r>
              <w:t>TobaccoYes</w:t>
            </w:r>
          </w:p>
        </w:tc>
        <w:tc>
          <w:tcPr>
            <w:tcW w:w="1377" w:type="dxa"/>
          </w:tcPr>
          <w:p w14:paraId="71FA704C" w14:textId="77777777" w:rsidR="00674F9C" w:rsidRDefault="00000000">
            <w:pPr>
              <w:pStyle w:val="Compact"/>
              <w:jc w:val="right"/>
            </w:pPr>
            <w:r>
              <w:t>-0.683</w:t>
            </w:r>
          </w:p>
        </w:tc>
        <w:tc>
          <w:tcPr>
            <w:tcW w:w="2410" w:type="dxa"/>
          </w:tcPr>
          <w:p w14:paraId="2FB30F51" w14:textId="77777777" w:rsidR="00674F9C" w:rsidRDefault="00000000">
            <w:pPr>
              <w:pStyle w:val="Compact"/>
              <w:jc w:val="right"/>
            </w:pPr>
            <w:r>
              <w:t>0.683</w:t>
            </w:r>
          </w:p>
        </w:tc>
        <w:tc>
          <w:tcPr>
            <w:tcW w:w="1262" w:type="dxa"/>
          </w:tcPr>
          <w:p w14:paraId="035F6C13" w14:textId="77777777" w:rsidR="00674F9C" w:rsidRDefault="00000000">
            <w:pPr>
              <w:pStyle w:val="Compact"/>
              <w:jc w:val="right"/>
            </w:pPr>
            <w:r>
              <w:t>0.505</w:t>
            </w:r>
          </w:p>
        </w:tc>
      </w:tr>
      <w:tr w:rsidR="00674F9C" w14:paraId="25728671" w14:textId="77777777">
        <w:tc>
          <w:tcPr>
            <w:tcW w:w="2869" w:type="dxa"/>
          </w:tcPr>
          <w:p w14:paraId="68FABC63" w14:textId="77777777" w:rsidR="00674F9C" w:rsidRDefault="00000000">
            <w:pPr>
              <w:pStyle w:val="Compact"/>
            </w:pPr>
            <w:r>
              <w:lastRenderedPageBreak/>
              <w:t>AsthmaYes</w:t>
            </w:r>
          </w:p>
        </w:tc>
        <w:tc>
          <w:tcPr>
            <w:tcW w:w="1377" w:type="dxa"/>
          </w:tcPr>
          <w:p w14:paraId="761A01A5" w14:textId="77777777" w:rsidR="00674F9C" w:rsidRDefault="00000000">
            <w:pPr>
              <w:pStyle w:val="Compact"/>
              <w:jc w:val="right"/>
            </w:pPr>
            <w:r>
              <w:t>-0.637</w:t>
            </w:r>
          </w:p>
        </w:tc>
        <w:tc>
          <w:tcPr>
            <w:tcW w:w="2410" w:type="dxa"/>
          </w:tcPr>
          <w:p w14:paraId="5EBE156B" w14:textId="77777777" w:rsidR="00674F9C" w:rsidRDefault="00000000">
            <w:pPr>
              <w:pStyle w:val="Compact"/>
              <w:jc w:val="right"/>
            </w:pPr>
            <w:r>
              <w:t>0.637</w:t>
            </w:r>
          </w:p>
        </w:tc>
        <w:tc>
          <w:tcPr>
            <w:tcW w:w="1262" w:type="dxa"/>
          </w:tcPr>
          <w:p w14:paraId="3D489B17" w14:textId="77777777" w:rsidR="00674F9C" w:rsidRDefault="00000000">
            <w:pPr>
              <w:pStyle w:val="Compact"/>
              <w:jc w:val="right"/>
            </w:pPr>
            <w:r>
              <w:t>0.529</w:t>
            </w:r>
          </w:p>
        </w:tc>
      </w:tr>
      <w:tr w:rsidR="00674F9C" w14:paraId="09C3F537" w14:textId="77777777">
        <w:tc>
          <w:tcPr>
            <w:tcW w:w="2869" w:type="dxa"/>
          </w:tcPr>
          <w:p w14:paraId="359C62A9" w14:textId="77777777" w:rsidR="00674F9C" w:rsidRDefault="00000000">
            <w:pPr>
              <w:pStyle w:val="Compact"/>
            </w:pPr>
            <w:r>
              <w:t>SexMale</w:t>
            </w:r>
          </w:p>
        </w:tc>
        <w:tc>
          <w:tcPr>
            <w:tcW w:w="1377" w:type="dxa"/>
          </w:tcPr>
          <w:p w14:paraId="4B81BD6B" w14:textId="77777777" w:rsidR="00674F9C" w:rsidRDefault="00000000">
            <w:pPr>
              <w:pStyle w:val="Compact"/>
              <w:jc w:val="right"/>
            </w:pPr>
            <w:r>
              <w:t>0.626</w:t>
            </w:r>
          </w:p>
        </w:tc>
        <w:tc>
          <w:tcPr>
            <w:tcW w:w="2410" w:type="dxa"/>
          </w:tcPr>
          <w:p w14:paraId="4B4C8B69" w14:textId="77777777" w:rsidR="00674F9C" w:rsidRDefault="00000000">
            <w:pPr>
              <w:pStyle w:val="Compact"/>
              <w:jc w:val="right"/>
            </w:pPr>
            <w:r>
              <w:t>0.626</w:t>
            </w:r>
          </w:p>
        </w:tc>
        <w:tc>
          <w:tcPr>
            <w:tcW w:w="1262" w:type="dxa"/>
          </w:tcPr>
          <w:p w14:paraId="528D174E" w14:textId="77777777" w:rsidR="00674F9C" w:rsidRDefault="00000000">
            <w:pPr>
              <w:pStyle w:val="Compact"/>
              <w:jc w:val="right"/>
            </w:pPr>
            <w:r>
              <w:t>1.871</w:t>
            </w:r>
          </w:p>
        </w:tc>
      </w:tr>
    </w:tbl>
    <w:p w14:paraId="3DA2E558" w14:textId="77777777" w:rsidR="00674F9C" w:rsidRDefault="00000000">
      <w:pPr>
        <w:pStyle w:val="CaptionedFigure"/>
      </w:pPr>
      <w:r>
        <w:rPr>
          <w:noProof/>
        </w:rPr>
        <w:drawing>
          <wp:inline distT="0" distB="0" distL="0" distR="0" wp14:anchorId="09A99801" wp14:editId="062BC86B">
            <wp:extent cx="5852160" cy="2948026"/>
            <wp:effectExtent l="0" t="0" r="0" b="0"/>
            <wp:docPr id="70" name="Picture" descr="Figure 13. Logistic regression variable importance."/>
            <wp:cNvGraphicFramePr/>
            <a:graphic xmlns:a="http://schemas.openxmlformats.org/drawingml/2006/main">
              <a:graphicData uri="http://schemas.openxmlformats.org/drawingml/2006/picture">
                <pic:pic xmlns:pic="http://schemas.openxmlformats.org/drawingml/2006/picture">
                  <pic:nvPicPr>
                    <pic:cNvPr id="71" name="Picture" descr="FinalProjectCOVIDHobbs_files/figure-docx/unnamed-chunk-110-1.png"/>
                    <pic:cNvPicPr>
                      <a:picLocks noChangeAspect="1" noChangeArrowheads="1"/>
                    </pic:cNvPicPr>
                  </pic:nvPicPr>
                  <pic:blipFill>
                    <a:blip r:embed="rId20"/>
                    <a:stretch>
                      <a:fillRect/>
                    </a:stretch>
                  </pic:blipFill>
                  <pic:spPr bwMode="auto">
                    <a:xfrm>
                      <a:off x="0" y="0"/>
                      <a:ext cx="5858019" cy="2950977"/>
                    </a:xfrm>
                    <a:prstGeom prst="rect">
                      <a:avLst/>
                    </a:prstGeom>
                    <a:noFill/>
                    <a:ln w="9525">
                      <a:noFill/>
                      <a:headEnd/>
                      <a:tailEnd/>
                    </a:ln>
                  </pic:spPr>
                </pic:pic>
              </a:graphicData>
            </a:graphic>
          </wp:inline>
        </w:drawing>
      </w:r>
    </w:p>
    <w:p w14:paraId="2D453ACF" w14:textId="77777777" w:rsidR="00674F9C" w:rsidRDefault="00000000">
      <w:pPr>
        <w:pStyle w:val="ImageCaption"/>
      </w:pPr>
      <w:r>
        <w:t>Figure 13. Logistic regression variable importance.</w:t>
      </w:r>
    </w:p>
    <w:p w14:paraId="53EDE8DF" w14:textId="77777777" w:rsidR="00674F9C" w:rsidRDefault="00000000">
      <w:pPr>
        <w:pStyle w:val="CaptionedFigure"/>
      </w:pPr>
      <w:r>
        <w:rPr>
          <w:noProof/>
        </w:rPr>
        <w:drawing>
          <wp:inline distT="0" distB="0" distL="0" distR="0" wp14:anchorId="0962E2CF" wp14:editId="274485F0">
            <wp:extent cx="5815584" cy="2999232"/>
            <wp:effectExtent l="0" t="0" r="0" b="0"/>
            <wp:docPr id="73" name="Picture" descr="Figure 14. Random forest variable importance."/>
            <wp:cNvGraphicFramePr/>
            <a:graphic xmlns:a="http://schemas.openxmlformats.org/drawingml/2006/main">
              <a:graphicData uri="http://schemas.openxmlformats.org/drawingml/2006/picture">
                <pic:pic xmlns:pic="http://schemas.openxmlformats.org/drawingml/2006/picture">
                  <pic:nvPicPr>
                    <pic:cNvPr id="74" name="Picture" descr="FinalProjectCOVIDHobbs_files/figure-docx/unnamed-chunk-112-1.png"/>
                    <pic:cNvPicPr>
                      <a:picLocks noChangeAspect="1" noChangeArrowheads="1"/>
                    </pic:cNvPicPr>
                  </pic:nvPicPr>
                  <pic:blipFill>
                    <a:blip r:embed="rId21"/>
                    <a:stretch>
                      <a:fillRect/>
                    </a:stretch>
                  </pic:blipFill>
                  <pic:spPr bwMode="auto">
                    <a:xfrm>
                      <a:off x="0" y="0"/>
                      <a:ext cx="5827293" cy="3005270"/>
                    </a:xfrm>
                    <a:prstGeom prst="rect">
                      <a:avLst/>
                    </a:prstGeom>
                    <a:noFill/>
                    <a:ln w="9525">
                      <a:noFill/>
                      <a:headEnd/>
                      <a:tailEnd/>
                    </a:ln>
                  </pic:spPr>
                </pic:pic>
              </a:graphicData>
            </a:graphic>
          </wp:inline>
        </w:drawing>
      </w:r>
    </w:p>
    <w:p w14:paraId="690B8C66" w14:textId="77777777" w:rsidR="00674F9C" w:rsidRDefault="00000000">
      <w:pPr>
        <w:pStyle w:val="ImageCaption"/>
      </w:pPr>
      <w:r>
        <w:t>Figure 14. Random forest variable importance.</w:t>
      </w:r>
    </w:p>
    <w:p w14:paraId="7B1619A4" w14:textId="77777777" w:rsidR="00674F9C" w:rsidRPr="00676C57" w:rsidRDefault="00000000">
      <w:pPr>
        <w:pStyle w:val="Heading2"/>
        <w:rPr>
          <w:sz w:val="28"/>
          <w:szCs w:val="28"/>
        </w:rPr>
      </w:pPr>
      <w:bookmarkStart w:id="25" w:name="most-important-predictors"/>
      <w:r w:rsidRPr="00676C57">
        <w:rPr>
          <w:sz w:val="28"/>
          <w:szCs w:val="28"/>
        </w:rPr>
        <w:lastRenderedPageBreak/>
        <w:t>8.1 Most Important Predictors</w:t>
      </w:r>
    </w:p>
    <w:p w14:paraId="19E29AB2" w14:textId="77777777" w:rsidR="00674F9C" w:rsidRPr="00DE606B" w:rsidRDefault="00000000" w:rsidP="00DE606B">
      <w:pPr>
        <w:pStyle w:val="FirstParagraph"/>
        <w:spacing w:line="480" w:lineRule="auto"/>
        <w:rPr>
          <w:rFonts w:ascii="Times New Roman" w:hAnsi="Times New Roman" w:cs="Times New Roman"/>
        </w:rPr>
      </w:pPr>
      <w:r w:rsidRPr="00DE606B">
        <w:rPr>
          <w:rFonts w:ascii="Times New Roman" w:hAnsi="Times New Roman" w:cs="Times New Roman"/>
        </w:rPr>
        <w:t>In Table 3, patients with four or more pre-existing conditions had 5.84 times the odds of adverse outcome compared with patients with no recorded conditions. The odds increased with condition count, from about 2.0 times higher for one condition to 4.32 times higher for three conditions.</w:t>
      </w:r>
    </w:p>
    <w:p w14:paraId="25556AB8" w14:textId="77777777" w:rsidR="00674F9C" w:rsidRPr="00DE606B" w:rsidRDefault="00000000" w:rsidP="00DE606B">
      <w:pPr>
        <w:pStyle w:val="BodyText"/>
        <w:spacing w:line="480" w:lineRule="auto"/>
        <w:rPr>
          <w:rFonts w:ascii="Times New Roman" w:hAnsi="Times New Roman" w:cs="Times New Roman"/>
        </w:rPr>
      </w:pPr>
      <w:r w:rsidRPr="00DE606B">
        <w:rPr>
          <w:rFonts w:ascii="Times New Roman" w:hAnsi="Times New Roman" w:cs="Times New Roman"/>
        </w:rPr>
        <w:t>Chronic renal disease had an odds ratio of approximately 2.0, similar to having one recorded condition. Male patients had 1.87 times the odds of adverse outcome compared with female patients. Tobacco use and asthma had odds ratios around 0.5, suggesting lower estimated odds in this model, though these should not be interpreted as protective without further clinical validation.</w:t>
      </w:r>
    </w:p>
    <w:p w14:paraId="58EBD654" w14:textId="77777777" w:rsidR="00674F9C" w:rsidRPr="00DE606B" w:rsidRDefault="00000000" w:rsidP="00DE606B">
      <w:pPr>
        <w:pStyle w:val="BodyText"/>
        <w:spacing w:line="480" w:lineRule="auto"/>
        <w:rPr>
          <w:rFonts w:ascii="Times New Roman" w:hAnsi="Times New Roman" w:cs="Times New Roman"/>
        </w:rPr>
      </w:pPr>
      <w:r w:rsidRPr="00DE606B">
        <w:rPr>
          <w:rFonts w:ascii="Times New Roman" w:hAnsi="Times New Roman" w:cs="Times New Roman"/>
        </w:rPr>
        <w:t>Variable importance showed similar patterns across models: age ranked highest, followed by condition count, diabetes, sex, and hypertension. Chronic renal disease had the highest random forest importance among near-zero variance features, consistent with the association rule results.</w:t>
      </w:r>
    </w:p>
    <w:p w14:paraId="6A8A4B46" w14:textId="77777777" w:rsidR="00674F9C" w:rsidRPr="00676C57" w:rsidRDefault="00000000">
      <w:pPr>
        <w:pStyle w:val="Heading2"/>
        <w:rPr>
          <w:sz w:val="28"/>
          <w:szCs w:val="28"/>
        </w:rPr>
      </w:pPr>
      <w:bookmarkStart w:id="26" w:name="interaction-patterns"/>
      <w:bookmarkEnd w:id="25"/>
      <w:r w:rsidRPr="00676C57">
        <w:rPr>
          <w:sz w:val="28"/>
          <w:szCs w:val="28"/>
        </w:rPr>
        <w:t>8.2 Interaction Patterns</w:t>
      </w:r>
    </w:p>
    <w:p w14:paraId="5676B8CF" w14:textId="77777777" w:rsidR="00674F9C" w:rsidRPr="00DE606B" w:rsidRDefault="00000000" w:rsidP="00DE606B">
      <w:pPr>
        <w:pStyle w:val="FirstParagraph"/>
        <w:spacing w:line="480" w:lineRule="auto"/>
        <w:rPr>
          <w:rFonts w:ascii="Times New Roman" w:hAnsi="Times New Roman" w:cs="Times New Roman"/>
        </w:rPr>
      </w:pPr>
      <w:r w:rsidRPr="00DE606B">
        <w:rPr>
          <w:rFonts w:ascii="Times New Roman" w:hAnsi="Times New Roman" w:cs="Times New Roman"/>
        </w:rPr>
        <w:t>The logistic regression interaction models provided a formal evaluation of selected interaction terms, but they did not substantially improve performance compared with the non-interaction models. This suggests that most predictive signal was captured by main effects, especially age, condition count, diabetes, hypertension, sex, and chronic renal disease.</w:t>
      </w:r>
    </w:p>
    <w:p w14:paraId="239CCB1F" w14:textId="77777777" w:rsidR="00674F9C" w:rsidRPr="00DE606B" w:rsidRDefault="00000000" w:rsidP="00DE606B">
      <w:pPr>
        <w:pStyle w:val="BodyText"/>
        <w:spacing w:line="480" w:lineRule="auto"/>
        <w:rPr>
          <w:rFonts w:ascii="Times New Roman" w:hAnsi="Times New Roman" w:cs="Times New Roman"/>
        </w:rPr>
      </w:pPr>
      <w:r w:rsidRPr="00DE606B">
        <w:rPr>
          <w:rFonts w:ascii="Times New Roman" w:hAnsi="Times New Roman" w:cs="Times New Roman"/>
        </w:rPr>
        <w:t>Random forest likely captured some nonlinear and interaction patterns internally, but these effects are less directly visible than logistic regression coefficients. Therefore, interpretation relied on combined evidence from odds ratios, variable importance, and association rule patterns.</w:t>
      </w:r>
    </w:p>
    <w:p w14:paraId="512929A5" w14:textId="77777777" w:rsidR="00674F9C" w:rsidRPr="00676C57" w:rsidRDefault="00000000">
      <w:pPr>
        <w:pStyle w:val="Heading1"/>
        <w:rPr>
          <w:sz w:val="36"/>
          <w:szCs w:val="36"/>
        </w:rPr>
      </w:pPr>
      <w:bookmarkStart w:id="27" w:name="limitations"/>
      <w:bookmarkEnd w:id="24"/>
      <w:bookmarkEnd w:id="26"/>
      <w:r w:rsidRPr="00676C57">
        <w:rPr>
          <w:sz w:val="36"/>
          <w:szCs w:val="36"/>
        </w:rPr>
        <w:lastRenderedPageBreak/>
        <w:t>9. Limitations</w:t>
      </w:r>
    </w:p>
    <w:p w14:paraId="332F806D" w14:textId="77777777" w:rsidR="00674F9C" w:rsidRPr="00DE606B" w:rsidRDefault="00000000" w:rsidP="00DE606B">
      <w:pPr>
        <w:pStyle w:val="FirstParagraph"/>
        <w:spacing w:line="480" w:lineRule="auto"/>
        <w:rPr>
          <w:rFonts w:ascii="Times New Roman" w:hAnsi="Times New Roman" w:cs="Times New Roman"/>
        </w:rPr>
      </w:pPr>
      <w:r w:rsidRPr="00914BF1">
        <w:rPr>
          <w:rFonts w:asciiTheme="majorHAnsi" w:eastAsiaTheme="majorEastAsia" w:hAnsiTheme="majorHAnsi" w:cstheme="majorBidi"/>
          <w:color w:val="0F4761" w:themeColor="accent1" w:themeShade="BF"/>
          <w:sz w:val="28"/>
          <w:szCs w:val="28"/>
        </w:rPr>
        <w:t>Sampling bias:</w:t>
      </w:r>
      <w:r>
        <w:t xml:space="preserve"> </w:t>
      </w:r>
      <w:r w:rsidRPr="00DE606B">
        <w:rPr>
          <w:rFonts w:ascii="Times New Roman" w:hAnsi="Times New Roman" w:cs="Times New Roman"/>
        </w:rPr>
        <w:t>This dataset includes confirmed positive COVID-19 cases identified through medical units, so individuals who were sick but never tested are not represented. This may underestimate total infections and bias the sample toward more severe cases or patients with greater healthcare access.</w:t>
      </w:r>
    </w:p>
    <w:p w14:paraId="405E9523" w14:textId="77777777" w:rsidR="00674F9C" w:rsidRPr="00DE606B" w:rsidRDefault="00000000" w:rsidP="00DE606B">
      <w:pPr>
        <w:pStyle w:val="BodyText"/>
        <w:spacing w:line="480" w:lineRule="auto"/>
        <w:rPr>
          <w:rFonts w:ascii="Times New Roman" w:hAnsi="Times New Roman" w:cs="Times New Roman"/>
        </w:rPr>
      </w:pPr>
      <w:r w:rsidRPr="00914BF1">
        <w:rPr>
          <w:rFonts w:asciiTheme="majorHAnsi" w:eastAsiaTheme="majorEastAsia" w:hAnsiTheme="majorHAnsi" w:cstheme="majorBidi"/>
          <w:color w:val="0F4761" w:themeColor="accent1" w:themeShade="BF"/>
          <w:sz w:val="28"/>
          <w:szCs w:val="28"/>
        </w:rPr>
        <w:t>Limited generalizability:</w:t>
      </w:r>
      <w:r>
        <w:t xml:space="preserve"> </w:t>
      </w:r>
      <w:r w:rsidRPr="00DE606B">
        <w:rPr>
          <w:rFonts w:ascii="Times New Roman" w:hAnsi="Times New Roman" w:cs="Times New Roman"/>
        </w:rPr>
        <w:t>The dataset comes from the first year of the pandemic, before widespread vaccination and later COVID-19 variants. As a result, the findings may not fully apply to later pandemic periods, vaccinated populations, or newer variants. In addition, the data were collected from medical units in Mexico, so the sample may not represent the general population or patients in other healthcare systems.</w:t>
      </w:r>
    </w:p>
    <w:p w14:paraId="078C3AC2" w14:textId="77777777" w:rsidR="00674F9C" w:rsidRDefault="00000000" w:rsidP="00DE606B">
      <w:pPr>
        <w:pStyle w:val="BodyText"/>
        <w:spacing w:line="480" w:lineRule="auto"/>
      </w:pPr>
      <w:r w:rsidRPr="00914BF1">
        <w:rPr>
          <w:rFonts w:asciiTheme="majorHAnsi" w:eastAsiaTheme="majorEastAsia" w:hAnsiTheme="majorHAnsi" w:cstheme="majorBidi"/>
          <w:color w:val="0F4761" w:themeColor="accent1" w:themeShade="BF"/>
          <w:sz w:val="28"/>
          <w:szCs w:val="28"/>
        </w:rPr>
        <w:t>Class imbalance:</w:t>
      </w:r>
      <w:r>
        <w:t xml:space="preserve"> </w:t>
      </w:r>
      <w:r w:rsidRPr="00DE606B">
        <w:rPr>
          <w:rFonts w:ascii="Times New Roman" w:hAnsi="Times New Roman" w:cs="Times New Roman"/>
        </w:rPr>
        <w:t>The target variable represented approximately 15% of observations. Hybrid sampling was applied only to the training data, while the test set retained the original class distribution. Because of this imbalance, sensitivity, F1-score, and AUC were emphasized over accuracy.</w:t>
      </w:r>
    </w:p>
    <w:p w14:paraId="29B6CC31" w14:textId="77777777" w:rsidR="00674F9C" w:rsidRDefault="00000000" w:rsidP="00DE606B">
      <w:pPr>
        <w:pStyle w:val="BodyText"/>
        <w:spacing w:line="480" w:lineRule="auto"/>
      </w:pPr>
      <w:r w:rsidRPr="00914BF1">
        <w:rPr>
          <w:rFonts w:asciiTheme="majorHAnsi" w:eastAsiaTheme="majorEastAsia" w:hAnsiTheme="majorHAnsi" w:cstheme="majorBidi"/>
          <w:color w:val="0F4761" w:themeColor="accent1" w:themeShade="BF"/>
          <w:sz w:val="28"/>
          <w:szCs w:val="28"/>
        </w:rPr>
        <w:t>Measurement error:</w:t>
      </w:r>
      <w:r>
        <w:t xml:space="preserve"> </w:t>
      </w:r>
      <w:r w:rsidRPr="00DE606B">
        <w:rPr>
          <w:rFonts w:ascii="Times New Roman" w:hAnsi="Times New Roman" w:cs="Times New Roman"/>
        </w:rPr>
        <w:t>Several conditions may have been self-reported or recorded during medical evaluation, which could cause underreporting of some pre-existing conditions. Some patients may also have been sent home but later experienced an adverse outcome, depending on follow-up timing.</w:t>
      </w:r>
    </w:p>
    <w:p w14:paraId="64C4319D" w14:textId="77777777" w:rsidR="00674F9C" w:rsidRDefault="00000000" w:rsidP="00DE606B">
      <w:pPr>
        <w:pStyle w:val="BodyText"/>
        <w:spacing w:line="480" w:lineRule="auto"/>
      </w:pPr>
      <w:r w:rsidRPr="00914BF1">
        <w:rPr>
          <w:rFonts w:asciiTheme="majorHAnsi" w:eastAsiaTheme="majorEastAsia" w:hAnsiTheme="majorHAnsi" w:cstheme="majorBidi"/>
          <w:color w:val="0F4761" w:themeColor="accent1" w:themeShade="BF"/>
          <w:sz w:val="28"/>
          <w:szCs w:val="28"/>
        </w:rPr>
        <w:t>Missing variables:</w:t>
      </w:r>
      <w:r>
        <w:t xml:space="preserve"> </w:t>
      </w:r>
      <w:r w:rsidRPr="00DE606B">
        <w:rPr>
          <w:rFonts w:ascii="Times New Roman" w:hAnsi="Times New Roman" w:cs="Times New Roman"/>
        </w:rPr>
        <w:t xml:space="preserve">The Kaggle dataset included a limited set of demographic and pre-existing condition variables. Other relevant conditions, such as cancer or mental health disorders, were not available. The dataset also lacked clinical measurements and laboratory values that were </w:t>
      </w:r>
      <w:r w:rsidRPr="00DE606B">
        <w:rPr>
          <w:rFonts w:ascii="Times New Roman" w:hAnsi="Times New Roman" w:cs="Times New Roman"/>
        </w:rPr>
        <w:lastRenderedPageBreak/>
        <w:t>available in the original government data. Including these variables would likely improve predictive performance.</w:t>
      </w:r>
    </w:p>
    <w:p w14:paraId="55B04E9E" w14:textId="77777777" w:rsidR="00674F9C" w:rsidRDefault="00000000" w:rsidP="00DE606B">
      <w:pPr>
        <w:pStyle w:val="BodyText"/>
        <w:spacing w:line="480" w:lineRule="auto"/>
      </w:pPr>
      <w:r w:rsidRPr="00914BF1">
        <w:rPr>
          <w:rFonts w:asciiTheme="majorHAnsi" w:eastAsiaTheme="majorEastAsia" w:hAnsiTheme="majorHAnsi" w:cstheme="majorBidi"/>
          <w:color w:val="0F4761" w:themeColor="accent1" w:themeShade="BF"/>
          <w:sz w:val="28"/>
          <w:szCs w:val="28"/>
        </w:rPr>
        <w:t>Overfitting:</w:t>
      </w:r>
      <w:r>
        <w:t xml:space="preserve"> </w:t>
      </w:r>
      <w:r w:rsidRPr="00DE606B">
        <w:rPr>
          <w:rFonts w:ascii="Times New Roman" w:hAnsi="Times New Roman" w:cs="Times New Roman"/>
        </w:rPr>
        <w:t>Overfitting did not appear to be a major issue because model performance was similar across versions and remained moderate overall. However, oversampling can increase overfitting risk, so performance was evaluated on the unchanged test set.</w:t>
      </w:r>
    </w:p>
    <w:p w14:paraId="67C4E388" w14:textId="77777777" w:rsidR="00674F9C" w:rsidRPr="00676C57" w:rsidRDefault="00000000">
      <w:pPr>
        <w:pStyle w:val="Heading1"/>
        <w:rPr>
          <w:sz w:val="36"/>
          <w:szCs w:val="36"/>
        </w:rPr>
      </w:pPr>
      <w:bookmarkStart w:id="28" w:name="conclusions-and-recommendations"/>
      <w:bookmarkEnd w:id="27"/>
      <w:r w:rsidRPr="00676C57">
        <w:rPr>
          <w:sz w:val="36"/>
          <w:szCs w:val="36"/>
        </w:rPr>
        <w:t>10. Conclusions and Recommendations</w:t>
      </w:r>
    </w:p>
    <w:p w14:paraId="0759B3F9" w14:textId="77777777" w:rsidR="00674F9C" w:rsidRPr="00DE606B" w:rsidRDefault="00000000" w:rsidP="00DE606B">
      <w:pPr>
        <w:pStyle w:val="FirstParagraph"/>
        <w:spacing w:line="480" w:lineRule="auto"/>
        <w:rPr>
          <w:rFonts w:ascii="Times New Roman" w:hAnsi="Times New Roman" w:cs="Times New Roman"/>
        </w:rPr>
      </w:pPr>
      <w:r w:rsidRPr="00DE606B">
        <w:rPr>
          <w:rFonts w:ascii="Times New Roman" w:hAnsi="Times New Roman" w:cs="Times New Roman"/>
        </w:rPr>
        <w:t>Age was the strongest factor associated with severe COVID-19 outcomes. Risk increased further when older age was combined with multiple pre-existing conditions. Chronic renal disease was also one of the most important predictors, showing consistently high lift in association rule mining and an elevated odds ratio in logistic regression. Consistent with the literature review, diabetes and hypertension were among the most prevalent conditions in the dataset. However, the results also showed that condition burden itself was important, as the odds of adverse outcome increased as the number of pre-existing conditions increased.</w:t>
      </w:r>
    </w:p>
    <w:p w14:paraId="175A0996" w14:textId="77777777" w:rsidR="00674F9C" w:rsidRPr="00DE606B" w:rsidRDefault="00000000" w:rsidP="00DE606B">
      <w:pPr>
        <w:pStyle w:val="BodyText"/>
        <w:spacing w:line="480" w:lineRule="auto"/>
        <w:rPr>
          <w:rFonts w:ascii="Times New Roman" w:hAnsi="Times New Roman" w:cs="Times New Roman"/>
        </w:rPr>
      </w:pPr>
      <w:r w:rsidRPr="00DE606B">
        <w:rPr>
          <w:rFonts w:ascii="Times New Roman" w:hAnsi="Times New Roman" w:cs="Times New Roman"/>
        </w:rPr>
        <w:t>For prediction, random forest performed better than logistic regression at identifying adverse outcome cases, with higher sensitivity and F1-score. Logistic regression remained more interpretable, but its low sensitivity limited its usefulness for detecting the minority class. The overall predictive performance was likely limited by the available variables, since this Kaggle dataset did not include laboratory values or detailed clinical measurements that were important in prior studies.</w:t>
      </w:r>
    </w:p>
    <w:p w14:paraId="742E86D2" w14:textId="77777777" w:rsidR="00674F9C" w:rsidRPr="00DE606B" w:rsidRDefault="00000000" w:rsidP="00DE606B">
      <w:pPr>
        <w:pStyle w:val="BodyText"/>
        <w:spacing w:line="480" w:lineRule="auto"/>
        <w:rPr>
          <w:rFonts w:ascii="Times New Roman" w:hAnsi="Times New Roman" w:cs="Times New Roman"/>
        </w:rPr>
      </w:pPr>
      <w:r w:rsidRPr="00DE606B">
        <w:rPr>
          <w:rFonts w:ascii="Times New Roman" w:hAnsi="Times New Roman" w:cs="Times New Roman"/>
        </w:rPr>
        <w:t xml:space="preserve">These findings suggest that patients with chronic renal disease, multiple pre-existing conditions, and older age may require closer monitoring during severe respiratory outbreaks. Future research </w:t>
      </w:r>
      <w:r w:rsidRPr="00DE606B">
        <w:rPr>
          <w:rFonts w:ascii="Times New Roman" w:hAnsi="Times New Roman" w:cs="Times New Roman"/>
        </w:rPr>
        <w:lastRenderedPageBreak/>
        <w:t>should use more current data that include vaccination status, newer COVID-19 variants, and clinical measurements to determine whether these risk patterns remain consistent in later pandemic periods.</w:t>
      </w:r>
      <w:bookmarkEnd w:id="28"/>
    </w:p>
    <w:p w14:paraId="38B49BFE" w14:textId="77777777" w:rsidR="00093EBC" w:rsidRDefault="00093EBC" w:rsidP="00AD669F">
      <w:pPr>
        <w:pStyle w:val="BodyText"/>
        <w:spacing w:line="480" w:lineRule="auto"/>
      </w:pPr>
    </w:p>
    <w:p w14:paraId="0E108451" w14:textId="7967FB68" w:rsidR="00110B92" w:rsidRDefault="00110B92">
      <w:r>
        <w:br w:type="page"/>
      </w:r>
    </w:p>
    <w:sdt>
      <w:sdtPr>
        <w:rPr>
          <w:rFonts w:asciiTheme="minorHAnsi" w:eastAsiaTheme="minorHAnsi" w:hAnsiTheme="minorHAnsi" w:cstheme="minorBidi"/>
          <w:color w:val="auto"/>
          <w:sz w:val="24"/>
          <w:szCs w:val="24"/>
        </w:rPr>
        <w:id w:val="567534262"/>
        <w:docPartObj>
          <w:docPartGallery w:val="Bibliographies"/>
          <w:docPartUnique/>
        </w:docPartObj>
      </w:sdtPr>
      <w:sdtEndPr>
        <w:rPr>
          <w:rFonts w:eastAsiaTheme="minorEastAsia"/>
        </w:rPr>
      </w:sdtEndPr>
      <w:sdtContent>
        <w:p w14:paraId="05CCE9DE" w14:textId="77777777" w:rsidR="00093EBC" w:rsidRPr="00F30C58" w:rsidRDefault="00093EBC" w:rsidP="00093EBC">
          <w:pPr>
            <w:pStyle w:val="Heading1"/>
            <w:rPr>
              <w:lang w:val="es-ES"/>
            </w:rPr>
          </w:pPr>
          <w:proofErr w:type="spellStart"/>
          <w:r w:rsidRPr="00F30C58">
            <w:rPr>
              <w:lang w:val="es-ES"/>
            </w:rPr>
            <w:t>References</w:t>
          </w:r>
          <w:proofErr w:type="spellEnd"/>
        </w:p>
        <w:sdt>
          <w:sdtPr>
            <w:id w:val="-573587230"/>
            <w:bibliography/>
          </w:sdtPr>
          <w:sdtContent>
            <w:p w14:paraId="2134A6CB" w14:textId="77777777" w:rsidR="00093EBC" w:rsidRPr="00110B92" w:rsidRDefault="00093EBC" w:rsidP="00093EBC">
              <w:pPr>
                <w:pStyle w:val="Bibliography"/>
                <w:ind w:left="720" w:hanging="720"/>
                <w:rPr>
                  <w:rFonts w:ascii="Times New Roman" w:hAnsi="Times New Roman" w:cs="Times New Roman"/>
                  <w:noProof/>
                </w:rPr>
              </w:pPr>
              <w:r w:rsidRPr="00110B92">
                <w:rPr>
                  <w:rFonts w:ascii="Times New Roman" w:hAnsi="Times New Roman" w:cs="Times New Roman"/>
                </w:rPr>
                <w:fldChar w:fldCharType="begin"/>
              </w:r>
              <w:r w:rsidRPr="00110B92">
                <w:rPr>
                  <w:rFonts w:ascii="Times New Roman" w:hAnsi="Times New Roman" w:cs="Times New Roman"/>
                  <w:lang w:val="es-ES"/>
                </w:rPr>
                <w:instrText xml:space="preserve"> BIBLIOGRAPHY </w:instrText>
              </w:r>
              <w:r w:rsidRPr="00110B92">
                <w:rPr>
                  <w:rFonts w:ascii="Times New Roman" w:hAnsi="Times New Roman" w:cs="Times New Roman"/>
                </w:rPr>
                <w:fldChar w:fldCharType="separate"/>
              </w:r>
              <w:r w:rsidRPr="00110B92">
                <w:rPr>
                  <w:rFonts w:ascii="Times New Roman" w:hAnsi="Times New Roman" w:cs="Times New Roman"/>
                  <w:noProof/>
                  <w:lang w:val="es-ES"/>
                </w:rPr>
                <w:t xml:space="preserve">Cisterna-Garcı́a, A. A.-T.-V. (2022). </w:t>
              </w:r>
              <w:r w:rsidRPr="00110B92">
                <w:rPr>
                  <w:rFonts w:ascii="Times New Roman" w:hAnsi="Times New Roman" w:cs="Times New Roman"/>
                  <w:noProof/>
                </w:rPr>
                <w:t xml:space="preserve">“A Predictive Model for Hospitalization and Survival to COVID-19 in a Retrospective Population-Based Study.”. </w:t>
              </w:r>
              <w:r w:rsidRPr="00110B92">
                <w:rPr>
                  <w:rFonts w:ascii="Times New Roman" w:hAnsi="Times New Roman" w:cs="Times New Roman"/>
                  <w:i/>
                  <w:iCs/>
                  <w:noProof/>
                </w:rPr>
                <w:t>Nature</w:t>
              </w:r>
              <w:r w:rsidRPr="00110B92">
                <w:rPr>
                  <w:rFonts w:ascii="Times New Roman" w:hAnsi="Times New Roman" w:cs="Times New Roman"/>
                  <w:noProof/>
                </w:rPr>
                <w:t>, 18126. Retrieved from Scientific Reports 12: 18126: https://www.nature.com/articles/s41598-022-22547-9</w:t>
              </w:r>
            </w:p>
            <w:p w14:paraId="7BEF759C" w14:textId="77777777" w:rsidR="00093EBC" w:rsidRPr="00110B92" w:rsidRDefault="00093EBC" w:rsidP="00093EBC">
              <w:pPr>
                <w:pStyle w:val="Bibliography"/>
                <w:ind w:left="720" w:hanging="720"/>
                <w:rPr>
                  <w:rFonts w:ascii="Times New Roman" w:hAnsi="Times New Roman" w:cs="Times New Roman"/>
                  <w:noProof/>
                </w:rPr>
              </w:pPr>
              <w:r w:rsidRPr="00110B92">
                <w:rPr>
                  <w:rFonts w:ascii="Times New Roman" w:hAnsi="Times New Roman" w:cs="Times New Roman"/>
                  <w:noProof/>
                </w:rPr>
                <w:t xml:space="preserve">Lorenzoni, G. C. (2021). “COVID-19 ICU Mortality Prediction: A Machine Learning Approach Using SuperLearner Algorithm.”. </w:t>
              </w:r>
              <w:r w:rsidRPr="00110B92">
                <w:rPr>
                  <w:rFonts w:ascii="Times New Roman" w:hAnsi="Times New Roman" w:cs="Times New Roman"/>
                  <w:i/>
                  <w:iCs/>
                  <w:noProof/>
                </w:rPr>
                <w:t>Springer Nature Link</w:t>
              </w:r>
              <w:r w:rsidRPr="00110B92">
                <w:rPr>
                  <w:rFonts w:ascii="Times New Roman" w:hAnsi="Times New Roman" w:cs="Times New Roman"/>
                  <w:noProof/>
                </w:rPr>
                <w:t>, Vol 1 Article number 3. Retrieved from Journal of Anesthesia, Analgesia and Critical Care 1 (3): https://link.springer.com/article/10.1186/s44158-021-00002-x</w:t>
              </w:r>
            </w:p>
            <w:p w14:paraId="2C7FE6E5" w14:textId="77777777" w:rsidR="00093EBC" w:rsidRPr="00110B92" w:rsidRDefault="00093EBC" w:rsidP="00093EBC">
              <w:pPr>
                <w:pStyle w:val="Bibliography"/>
                <w:ind w:left="720" w:hanging="720"/>
                <w:rPr>
                  <w:rFonts w:ascii="Times New Roman" w:hAnsi="Times New Roman" w:cs="Times New Roman"/>
                  <w:noProof/>
                </w:rPr>
              </w:pPr>
              <w:r w:rsidRPr="00110B92">
                <w:rPr>
                  <w:rFonts w:ascii="Times New Roman" w:hAnsi="Times New Roman" w:cs="Times New Roman"/>
                  <w:noProof/>
                </w:rPr>
                <w:t xml:space="preserve">Lowhorn, R. J. (2024). “Comorbidities and Their Association with COVID-19 Mortality in Mexico Between January 2020 and August 2021.”. </w:t>
              </w:r>
              <w:r w:rsidRPr="00110B92">
                <w:rPr>
                  <w:rFonts w:ascii="Times New Roman" w:hAnsi="Times New Roman" w:cs="Times New Roman"/>
                  <w:i/>
                  <w:iCs/>
                  <w:noProof/>
                </w:rPr>
                <w:t>PLOS ONE</w:t>
              </w:r>
              <w:r w:rsidRPr="00110B92">
                <w:rPr>
                  <w:rFonts w:ascii="Times New Roman" w:hAnsi="Times New Roman" w:cs="Times New Roman"/>
                  <w:noProof/>
                </w:rPr>
                <w:t>. Retrieved from PLOS ONE: https://journals.plos.org/plosone/article?id=10.1371%2Fjournal.pone.0296895</w:t>
              </w:r>
            </w:p>
            <w:p w14:paraId="41C9B788" w14:textId="77777777" w:rsidR="00093EBC" w:rsidRPr="00110B92" w:rsidRDefault="00093EBC" w:rsidP="00093EBC">
              <w:pPr>
                <w:pStyle w:val="Bibliography"/>
                <w:ind w:left="720" w:hanging="720"/>
                <w:rPr>
                  <w:rFonts w:ascii="Times New Roman" w:hAnsi="Times New Roman" w:cs="Times New Roman"/>
                  <w:noProof/>
                  <w:lang w:val="es-ES"/>
                </w:rPr>
              </w:pPr>
              <w:r w:rsidRPr="00110B92">
                <w:rPr>
                  <w:rFonts w:ascii="Times New Roman" w:hAnsi="Times New Roman" w:cs="Times New Roman"/>
                  <w:noProof/>
                  <w:lang w:val="es-ES"/>
                </w:rPr>
                <w:t xml:space="preserve">México, G. d. (2020). </w:t>
              </w:r>
              <w:r w:rsidRPr="00110B92">
                <w:rPr>
                  <w:rFonts w:ascii="Times New Roman" w:hAnsi="Times New Roman" w:cs="Times New Roman"/>
                  <w:i/>
                  <w:iCs/>
                  <w:noProof/>
                  <w:lang w:val="es-ES"/>
                </w:rPr>
                <w:t>“Información Referente a Casos COVID-19 En México.”</w:t>
              </w:r>
              <w:r w:rsidRPr="00110B92">
                <w:rPr>
                  <w:rFonts w:ascii="Times New Roman" w:hAnsi="Times New Roman" w:cs="Times New Roman"/>
                  <w:noProof/>
                  <w:lang w:val="es-ES"/>
                </w:rPr>
                <w:t>. Retrieved from Gobierno de Mexico.: https://datos.gob.mx/busca/dataset/informacion-referente-a-casos-covid-19-en-mexico</w:t>
              </w:r>
            </w:p>
            <w:p w14:paraId="7292BC29" w14:textId="77777777" w:rsidR="00093EBC" w:rsidRPr="00110B92" w:rsidRDefault="00093EBC" w:rsidP="00093EBC">
              <w:pPr>
                <w:pStyle w:val="Bibliography"/>
                <w:ind w:left="720" w:hanging="720"/>
                <w:rPr>
                  <w:rFonts w:ascii="Times New Roman" w:hAnsi="Times New Roman" w:cs="Times New Roman"/>
                  <w:noProof/>
                  <w:lang w:val="es-ES"/>
                </w:rPr>
              </w:pPr>
              <w:r w:rsidRPr="00110B92">
                <w:rPr>
                  <w:rFonts w:ascii="Times New Roman" w:hAnsi="Times New Roman" w:cs="Times New Roman"/>
                  <w:noProof/>
                  <w:lang w:val="es-ES"/>
                </w:rPr>
                <w:t xml:space="preserve">México, G. d. (2025). </w:t>
              </w:r>
              <w:r w:rsidRPr="00110B92">
                <w:rPr>
                  <w:rFonts w:ascii="Times New Roman" w:hAnsi="Times New Roman" w:cs="Times New Roman"/>
                  <w:i/>
                  <w:iCs/>
                  <w:noProof/>
                  <w:lang w:val="es-ES"/>
                </w:rPr>
                <w:t>“Datos Abiertos COVID-19.”</w:t>
              </w:r>
              <w:r w:rsidRPr="00110B92">
                <w:rPr>
                  <w:rFonts w:ascii="Times New Roman" w:hAnsi="Times New Roman" w:cs="Times New Roman"/>
                  <w:noProof/>
                  <w:lang w:val="es-ES"/>
                </w:rPr>
                <w:t>. Retrieved from Gobierno de México. Secretaría de Salud, Dirección General de Epidemiología: https://www.gob.mx/salud/documentos/datos-abiertos-152127</w:t>
              </w:r>
            </w:p>
            <w:p w14:paraId="02497659" w14:textId="77777777" w:rsidR="00093EBC" w:rsidRPr="00110B92" w:rsidRDefault="00093EBC" w:rsidP="00093EBC">
              <w:pPr>
                <w:pStyle w:val="Bibliography"/>
                <w:ind w:left="720" w:hanging="720"/>
                <w:rPr>
                  <w:rFonts w:ascii="Times New Roman" w:hAnsi="Times New Roman" w:cs="Times New Roman"/>
                  <w:noProof/>
                </w:rPr>
              </w:pPr>
              <w:r w:rsidRPr="00110B92">
                <w:rPr>
                  <w:rFonts w:ascii="Times New Roman" w:hAnsi="Times New Roman" w:cs="Times New Roman"/>
                  <w:noProof/>
                </w:rPr>
                <w:t xml:space="preserve">Nadakinamani, R. G. (2023). “High-Performance Association Rule Mining: Mortality Prediction Model for Cardiovascular Patients with COVID-19 Patterns.”. </w:t>
              </w:r>
              <w:r w:rsidRPr="00110B92">
                <w:rPr>
                  <w:rFonts w:ascii="Times New Roman" w:hAnsi="Times New Roman" w:cs="Times New Roman"/>
                  <w:i/>
                  <w:iCs/>
                  <w:noProof/>
                </w:rPr>
                <w:t>Alexandria Engineering Journal</w:t>
              </w:r>
              <w:r w:rsidRPr="00110B92">
                <w:rPr>
                  <w:rFonts w:ascii="Times New Roman" w:hAnsi="Times New Roman" w:cs="Times New Roman"/>
                  <w:noProof/>
                </w:rPr>
                <w:t>, 347-354. Retrieved from Alexandria Engineering Journal.</w:t>
              </w:r>
            </w:p>
            <w:p w14:paraId="574DD4C6" w14:textId="77777777" w:rsidR="00093EBC" w:rsidRPr="00110B92" w:rsidRDefault="00093EBC" w:rsidP="00093EBC">
              <w:pPr>
                <w:pStyle w:val="Bibliography"/>
                <w:ind w:left="720" w:hanging="720"/>
                <w:rPr>
                  <w:rFonts w:ascii="Times New Roman" w:hAnsi="Times New Roman" w:cs="Times New Roman"/>
                  <w:noProof/>
                </w:rPr>
              </w:pPr>
              <w:r w:rsidRPr="00110B92">
                <w:rPr>
                  <w:rFonts w:ascii="Times New Roman" w:hAnsi="Times New Roman" w:cs="Times New Roman"/>
                  <w:noProof/>
                </w:rPr>
                <w:t xml:space="preserve">Nizri, M. (2023). </w:t>
              </w:r>
              <w:r w:rsidRPr="00110B92">
                <w:rPr>
                  <w:rFonts w:ascii="Times New Roman" w:hAnsi="Times New Roman" w:cs="Times New Roman"/>
                  <w:i/>
                  <w:iCs/>
                  <w:noProof/>
                </w:rPr>
                <w:t>Kaggle</w:t>
              </w:r>
              <w:r w:rsidRPr="00110B92">
                <w:rPr>
                  <w:rFonts w:ascii="Times New Roman" w:hAnsi="Times New Roman" w:cs="Times New Roman"/>
                  <w:noProof/>
                </w:rPr>
                <w:t>. Retrieved from "COVID-19: https://www.kaggle.com/datasets/meirnizri/covid19-dataset?select=Covid+Data.csv</w:t>
              </w:r>
            </w:p>
            <w:p w14:paraId="7AB7682C" w14:textId="77777777" w:rsidR="00093EBC" w:rsidRPr="00110B92" w:rsidRDefault="00093EBC" w:rsidP="00093EBC">
              <w:pPr>
                <w:pStyle w:val="Bibliography"/>
                <w:ind w:left="720" w:hanging="720"/>
                <w:rPr>
                  <w:rFonts w:ascii="Times New Roman" w:hAnsi="Times New Roman" w:cs="Times New Roman"/>
                  <w:noProof/>
                </w:rPr>
              </w:pPr>
              <w:r w:rsidRPr="00110B92">
                <w:rPr>
                  <w:rFonts w:ascii="Times New Roman" w:hAnsi="Times New Roman" w:cs="Times New Roman"/>
                  <w:noProof/>
                  <w:lang w:val="es-ES"/>
                </w:rPr>
                <w:t xml:space="preserve">Ramos-Rincón, J.-M. R.-H.-M.-R. (2021). </w:t>
              </w:r>
              <w:r w:rsidRPr="00110B92">
                <w:rPr>
                  <w:rFonts w:ascii="Times New Roman" w:hAnsi="Times New Roman" w:cs="Times New Roman"/>
                  <w:noProof/>
                </w:rPr>
                <w:t xml:space="preserve">Journals of Gerontology: Medical Sciences 76 (3): e28–37. </w:t>
              </w:r>
              <w:r w:rsidRPr="00110B92">
                <w:rPr>
                  <w:rFonts w:ascii="Times New Roman" w:hAnsi="Times New Roman" w:cs="Times New Roman"/>
                  <w:i/>
                  <w:iCs/>
                  <w:noProof/>
                </w:rPr>
                <w:t>The Journals of Gerontology</w:t>
              </w:r>
              <w:r w:rsidRPr="00110B92">
                <w:rPr>
                  <w:rFonts w:ascii="Times New Roman" w:hAnsi="Times New Roman" w:cs="Times New Roman"/>
                  <w:noProof/>
                </w:rPr>
                <w:t>, e28-e37. Retrieved from “Clinical Characteristics and Risk Factors for Mortality in Very Old Patients Hospitalized with COVID-19.”: https://academic.oup.com/biomedgerontology/article/76/3/e28/5939952</w:t>
              </w:r>
            </w:p>
            <w:p w14:paraId="69245F6F" w14:textId="77777777" w:rsidR="00093EBC" w:rsidRPr="00110B92" w:rsidRDefault="00093EBC" w:rsidP="00093EBC">
              <w:pPr>
                <w:pStyle w:val="Bibliography"/>
                <w:ind w:left="720" w:hanging="720"/>
                <w:rPr>
                  <w:rFonts w:ascii="Times New Roman" w:hAnsi="Times New Roman" w:cs="Times New Roman"/>
                  <w:noProof/>
                </w:rPr>
              </w:pPr>
              <w:r w:rsidRPr="00110B92">
                <w:rPr>
                  <w:rFonts w:ascii="Times New Roman" w:hAnsi="Times New Roman" w:cs="Times New Roman"/>
                  <w:noProof/>
                </w:rPr>
                <w:t xml:space="preserve">Sertbas, Y. E. (2023). "Clinical outcomes of COVID-19 in patients with". </w:t>
              </w:r>
              <w:r w:rsidRPr="00110B92">
                <w:rPr>
                  <w:rFonts w:ascii="Times New Roman" w:hAnsi="Times New Roman" w:cs="Times New Roman"/>
                  <w:i/>
                  <w:iCs/>
                  <w:noProof/>
                </w:rPr>
                <w:t>North Clinical Istanbul</w:t>
              </w:r>
              <w:r w:rsidRPr="00110B92">
                <w:rPr>
                  <w:rFonts w:ascii="Times New Roman" w:hAnsi="Times New Roman" w:cs="Times New Roman"/>
                  <w:noProof/>
                </w:rPr>
                <w:t>, 401-410. Retrieved from “Clinical Outcomes of COVID-19 in Patients with Chronic Diseases.”: https://pdf.journalagent.com/nci/pdfs/NCI-64436-RESEARCH_ARTICLE-SERTBAS.pdf</w:t>
              </w:r>
            </w:p>
            <w:p w14:paraId="336E247B" w14:textId="77777777" w:rsidR="00093EBC" w:rsidRPr="00110B92" w:rsidRDefault="00093EBC" w:rsidP="00093EBC">
              <w:pPr>
                <w:pStyle w:val="Bibliography"/>
                <w:ind w:left="720" w:hanging="720"/>
                <w:rPr>
                  <w:rFonts w:ascii="Times New Roman" w:hAnsi="Times New Roman" w:cs="Times New Roman"/>
                  <w:noProof/>
                </w:rPr>
              </w:pPr>
              <w:r w:rsidRPr="00110B92">
                <w:rPr>
                  <w:rFonts w:ascii="Times New Roman" w:hAnsi="Times New Roman" w:cs="Times New Roman"/>
                  <w:noProof/>
                </w:rPr>
                <w:t xml:space="preserve">Ssentongo, P. A. (2020). “Association of Cardiovascular Disease and 10 Other Pre-Existing Comorbidities with COVID-19 Mortality: A Systematic Review and Meta-Analysis.”. </w:t>
              </w:r>
              <w:r w:rsidRPr="00110B92">
                <w:rPr>
                  <w:rFonts w:ascii="Times New Roman" w:hAnsi="Times New Roman" w:cs="Times New Roman"/>
                  <w:i/>
                  <w:iCs/>
                  <w:noProof/>
                </w:rPr>
                <w:t>PLOS ONE</w:t>
              </w:r>
              <w:r w:rsidRPr="00110B92">
                <w:rPr>
                  <w:rFonts w:ascii="Times New Roman" w:hAnsi="Times New Roman" w:cs="Times New Roman"/>
                  <w:noProof/>
                </w:rPr>
                <w:t>. Retrieved from PLOS ONE 15 (8): e0238215.: https://journals.plos.org/plosone/article?id=10.1371/journal.pone.0238215</w:t>
              </w:r>
            </w:p>
            <w:p w14:paraId="237A3F87" w14:textId="77777777" w:rsidR="00093EBC" w:rsidRPr="00110B92" w:rsidRDefault="00093EBC" w:rsidP="00093EBC">
              <w:pPr>
                <w:pStyle w:val="Bibliography"/>
                <w:ind w:left="720" w:hanging="720"/>
                <w:rPr>
                  <w:rFonts w:ascii="Times New Roman" w:hAnsi="Times New Roman" w:cs="Times New Roman"/>
                  <w:noProof/>
                </w:rPr>
              </w:pPr>
              <w:r w:rsidRPr="00110B92">
                <w:rPr>
                  <w:rFonts w:ascii="Times New Roman" w:hAnsi="Times New Roman" w:cs="Times New Roman"/>
                  <w:noProof/>
                </w:rPr>
                <w:t xml:space="preserve">Tandan, M. Y. (2021). “Discovering Symptom Patterns of COVID-19 Patients Using Association Rule Mining.”. </w:t>
              </w:r>
              <w:r w:rsidRPr="00110B92">
                <w:rPr>
                  <w:rFonts w:ascii="Times New Roman" w:hAnsi="Times New Roman" w:cs="Times New Roman"/>
                  <w:i/>
                  <w:iCs/>
                  <w:noProof/>
                </w:rPr>
                <w:t>Computers in Biology and Medicine</w:t>
              </w:r>
              <w:r w:rsidRPr="00110B92">
                <w:rPr>
                  <w:rFonts w:ascii="Times New Roman" w:hAnsi="Times New Roman" w:cs="Times New Roman"/>
                  <w:noProof/>
                </w:rPr>
                <w:t>. Retrieved from Computers in Biology and Medicine 131: 104249: https://www.sciencedirect.com/science/article/pii/S0010482521000433?via%3Dihub</w:t>
              </w:r>
            </w:p>
            <w:p w14:paraId="23E3E467" w14:textId="77777777" w:rsidR="00093EBC" w:rsidRPr="00110B92" w:rsidRDefault="00093EBC" w:rsidP="00093EBC">
              <w:pPr>
                <w:pStyle w:val="Bibliography"/>
                <w:ind w:left="720" w:hanging="720"/>
                <w:rPr>
                  <w:rFonts w:ascii="Times New Roman" w:hAnsi="Times New Roman" w:cs="Times New Roman"/>
                  <w:noProof/>
                </w:rPr>
              </w:pPr>
              <w:r w:rsidRPr="00110B92">
                <w:rPr>
                  <w:rFonts w:ascii="Times New Roman" w:hAnsi="Times New Roman" w:cs="Times New Roman"/>
                  <w:noProof/>
                </w:rPr>
                <w:lastRenderedPageBreak/>
                <w:t xml:space="preserve">Zhang, H. Y. (2025). "Prediction models based on machine learning algorithms for COVID-19 severity risk". </w:t>
              </w:r>
              <w:r w:rsidRPr="00110B92">
                <w:rPr>
                  <w:rFonts w:ascii="Times New Roman" w:hAnsi="Times New Roman" w:cs="Times New Roman"/>
                  <w:i/>
                  <w:iCs/>
                  <w:noProof/>
                </w:rPr>
                <w:t>BMC Public Health</w:t>
              </w:r>
              <w:r w:rsidRPr="00110B92">
                <w:rPr>
                  <w:rFonts w:ascii="Times New Roman" w:hAnsi="Times New Roman" w:cs="Times New Roman"/>
                  <w:noProof/>
                </w:rPr>
                <w:t>. Retrieved from “Prediction Models Based on Machine Learning Algorithms for COVID-19 Severity Risk.”: https://link.springer.com/article/10.1186/s12889-025-22976-x</w:t>
              </w:r>
            </w:p>
            <w:p w14:paraId="78BE0C65" w14:textId="77777777" w:rsidR="00093EBC" w:rsidRDefault="00093EBC" w:rsidP="00093EBC">
              <w:r w:rsidRPr="00110B92">
                <w:rPr>
                  <w:rFonts w:ascii="Times New Roman" w:hAnsi="Times New Roman" w:cs="Times New Roman"/>
                  <w:b/>
                  <w:bCs/>
                  <w:noProof/>
                </w:rPr>
                <w:fldChar w:fldCharType="end"/>
              </w:r>
            </w:p>
          </w:sdtContent>
        </w:sdt>
      </w:sdtContent>
    </w:sdt>
    <w:p w14:paraId="2DEE7BC0" w14:textId="77777777" w:rsidR="00093EBC" w:rsidRPr="00A6697B" w:rsidRDefault="00093EBC" w:rsidP="00093EBC"/>
    <w:p w14:paraId="2FE881EB" w14:textId="77777777" w:rsidR="00093EBC" w:rsidRDefault="00093EBC" w:rsidP="00AD669F">
      <w:pPr>
        <w:pStyle w:val="BodyText"/>
        <w:spacing w:line="480" w:lineRule="auto"/>
      </w:pPr>
    </w:p>
    <w:sectPr w:rsidR="00093EBC">
      <w:headerReference w:type="default" r:id="rId22"/>
      <w:footerReference w:type="default" r:id="rId23"/>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C4E69" w14:textId="77777777" w:rsidR="00E50949" w:rsidRDefault="00E50949" w:rsidP="004563F9">
      <w:pPr>
        <w:spacing w:after="0"/>
      </w:pPr>
      <w:r>
        <w:separator/>
      </w:r>
    </w:p>
  </w:endnote>
  <w:endnote w:type="continuationSeparator" w:id="0">
    <w:p w14:paraId="427295F5" w14:textId="77777777" w:rsidR="00E50949" w:rsidRDefault="00E50949" w:rsidP="004563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3225989"/>
      <w:docPartObj>
        <w:docPartGallery w:val="Page Numbers (Bottom of Page)"/>
        <w:docPartUnique/>
      </w:docPartObj>
    </w:sdtPr>
    <w:sdtEndPr>
      <w:rPr>
        <w:color w:val="7F7F7F" w:themeColor="background1" w:themeShade="7F"/>
        <w:spacing w:val="60"/>
      </w:rPr>
    </w:sdtEndPr>
    <w:sdtContent>
      <w:p w14:paraId="6F6A13D8" w14:textId="485CD197" w:rsidR="00914BF1" w:rsidRDefault="00914BF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C45BB55" w14:textId="77777777" w:rsidR="004563F9" w:rsidRDefault="004563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33151" w14:textId="77777777" w:rsidR="00E50949" w:rsidRDefault="00E50949" w:rsidP="004563F9">
      <w:pPr>
        <w:spacing w:after="0"/>
      </w:pPr>
      <w:r>
        <w:separator/>
      </w:r>
    </w:p>
  </w:footnote>
  <w:footnote w:type="continuationSeparator" w:id="0">
    <w:p w14:paraId="66D4BA6A" w14:textId="77777777" w:rsidR="00E50949" w:rsidRDefault="00E50949" w:rsidP="004563F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71753" w14:textId="28AEF14B" w:rsidR="004563F9" w:rsidRDefault="004563F9">
    <w:pPr>
      <w:pStyle w:val="Header"/>
    </w:pPr>
    <w:r>
      <w:t>Rachael RAY Hobbs</w:t>
    </w:r>
    <w:r>
      <w:tab/>
      <w:t>DAS 495 Capstone</w:t>
    </w:r>
    <w:r w:rsidR="00914BF1">
      <w:t xml:space="preserve"> 5/11/2026</w:t>
    </w:r>
    <w:r>
      <w:tab/>
      <w:t>COVID-19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2DCB3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04990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74F9C"/>
    <w:rsid w:val="000011DC"/>
    <w:rsid w:val="00093EBC"/>
    <w:rsid w:val="00110B92"/>
    <w:rsid w:val="00121234"/>
    <w:rsid w:val="003F79E6"/>
    <w:rsid w:val="00421305"/>
    <w:rsid w:val="00455DF3"/>
    <w:rsid w:val="004563F9"/>
    <w:rsid w:val="004943D1"/>
    <w:rsid w:val="00511D41"/>
    <w:rsid w:val="00674F9C"/>
    <w:rsid w:val="00676C57"/>
    <w:rsid w:val="006C3DCC"/>
    <w:rsid w:val="006D7B72"/>
    <w:rsid w:val="007A57D3"/>
    <w:rsid w:val="00914BF1"/>
    <w:rsid w:val="00973D4F"/>
    <w:rsid w:val="009D0E77"/>
    <w:rsid w:val="00AD669F"/>
    <w:rsid w:val="00CB5352"/>
    <w:rsid w:val="00D27A41"/>
    <w:rsid w:val="00D521FE"/>
    <w:rsid w:val="00DE606B"/>
    <w:rsid w:val="00E50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3679F"/>
  <w15:docId w15:val="{C89353C8-53B1-4F5D-9D65-3DA80D809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rsid w:val="004563F9"/>
    <w:pPr>
      <w:tabs>
        <w:tab w:val="center" w:pos="4680"/>
        <w:tab w:val="right" w:pos="9360"/>
      </w:tabs>
      <w:spacing w:after="0"/>
    </w:pPr>
  </w:style>
  <w:style w:type="character" w:customStyle="1" w:styleId="HeaderChar">
    <w:name w:val="Header Char"/>
    <w:basedOn w:val="DefaultParagraphFont"/>
    <w:link w:val="Header"/>
    <w:rsid w:val="004563F9"/>
  </w:style>
  <w:style w:type="paragraph" w:styleId="Footer">
    <w:name w:val="footer"/>
    <w:basedOn w:val="Normal"/>
    <w:link w:val="FooterChar"/>
    <w:uiPriority w:val="99"/>
    <w:rsid w:val="004563F9"/>
    <w:pPr>
      <w:tabs>
        <w:tab w:val="center" w:pos="4680"/>
        <w:tab w:val="right" w:pos="9360"/>
      </w:tabs>
      <w:spacing w:after="0"/>
    </w:pPr>
  </w:style>
  <w:style w:type="character" w:customStyle="1" w:styleId="FooterChar">
    <w:name w:val="Footer Char"/>
    <w:basedOn w:val="DefaultParagraphFont"/>
    <w:link w:val="Footer"/>
    <w:uiPriority w:val="99"/>
    <w:rsid w:val="004563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5506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Wor26</b:Tag>
    <b:SourceType>InternetSite</b:SourceType>
    <b:Guid>{0DCF1CCA-CE46-426E-8316-79BB238F252B}</b:Guid>
    <b:Title>Covid-19 deaths | who covid-19 dashboard.</b:Title>
    <b:Year>2026</b:Year>
    <b:Author>
      <b:Author>
        <b:NameList>
          <b:Person>
            <b:Last>Organization.</b:Last>
            <b:First>World</b:First>
            <b:Middle>Health</b:Middle>
          </b:Person>
        </b:NameList>
      </b:Author>
    </b:Author>
    <b:InternetSiteTitle>World Health Organization. </b:InternetSiteTitle>
    <b:Month>January </b:Month>
    <b:Day>11</b:Day>
    <b:URL>https://data.who.int/dashboards/covid19/deaths?n=c </b:URL>
    <b:RefOrder>1</b:RefOrder>
  </b:Source>
  <b:Source>
    <b:Tag>Niz23</b:Tag>
    <b:SourceType>InternetSite</b:SourceType>
    <b:Guid>{F81089FA-A4B3-4B46-B4B5-07FAE1679195}</b:Guid>
    <b:Author>
      <b:Author>
        <b:NameList>
          <b:Person>
            <b:Last>Nizri</b:Last>
            <b:First>Meir</b:First>
          </b:Person>
        </b:NameList>
      </b:Author>
    </b:Author>
    <b:Title>Kaggle</b:Title>
    <b:InternetSiteTitle>"COVID-19</b:InternetSiteTitle>
    <b:Year>2023</b:Year>
    <b:URL>https://www.kaggle.com/datasets/meirnizri/covid19-dataset?select=Covid+Data.csv</b:URL>
    <b:RefOrder>2</b:RefOrder>
  </b:Source>
  <b:Source>
    <b:Tag>mex</b:Tag>
    <b:SourceType>InternetSite</b:SourceType>
    <b:Guid>{EE720D47-F069-469C-9477-32EC88A70104}</b:Guid>
    <b:Author>
      <b:Author>
        <b:NameList>
          <b:Person>
            <b:Last>México</b:Last>
            <b:First>Gobierno</b:First>
            <b:Middle>de</b:Middle>
          </b:Person>
        </b:NameList>
      </b:Author>
    </b:Author>
    <b:URL>https://datos.gob.mx/busca/dataset/informacion-referente-a-casos-covid-19-en-mexico</b:URL>
    <b:Title>“Información Referente a Casos COVID-19 En México.”</b:Title>
    <b:InternetSiteTitle>Gobierno de Mexico.</b:InternetSiteTitle>
    <b:Year>2020</b:Year>
    <b:RefOrder>3</b:RefOrder>
  </b:Source>
  <b:Source>
    <b:Tag>htt</b:Tag>
    <b:SourceType>InternetSite</b:SourceType>
    <b:Guid>{9D170183-DFA3-4704-B0D4-2ED00CFFD35F}</b:Guid>
    <b:URL>https://www.gob.mx/salud/documentos/datos-abiertos-152127</b:URL>
    <b:Author>
      <b:Author>
        <b:NameList>
          <b:Person>
            <b:Last>México</b:Last>
            <b:First>Gobierno</b:First>
            <b:Middle>de</b:Middle>
          </b:Person>
        </b:NameList>
      </b:Author>
    </b:Author>
    <b:Title>“Datos Abiertos COVID-19.”</b:Title>
    <b:InternetSiteTitle>Gobierno de México. Secretaría de Salud, Dirección General de Epidemiología</b:InternetSiteTitle>
    <b:Year>2025</b:Year>
    <b:RefOrder>4</b:RefOrder>
  </b:Source>
  <b:Source>
    <b:Tag>htt4</b:Tag>
    <b:SourceType>JournalArticle</b:SourceType>
    <b:Guid>{2CFBEBF6-9B57-4FC2-993C-98487AD2FAC9}</b:Guid>
    <b:URL>https://link.springer.com/article/10.1186/s44158-021-00002-x</b:URL>
    <b:Author>
      <b:Author>
        <b:NameList>
          <b:Person>
            <b:Last>Lorenzoni</b:Last>
            <b:First>G.,</b:First>
            <b:Middle>C. Lanera, D. Azzolina, P. Berchialla, and D. Gregori</b:Middle>
          </b:Person>
        </b:NameList>
      </b:Author>
    </b:Author>
    <b:Title>“COVID-19 ICU Mortality Prediction: A Machine Learning Approach Using SuperLearner Algorithm.”</b:Title>
    <b:InternetSiteTitle>Journal of Anesthesia, Analgesia and Critical Care 1 (3)</b:InternetSiteTitle>
    <b:Year>2021</b:Year>
    <b:Pages>Vol 1 Article number 3</b:Pages>
    <b:JournalName>Springer Nature Link</b:JournalName>
    <b:RefOrder>5</b:RefOrder>
  </b:Source>
  <b:Source>
    <b:Tag>htt3</b:Tag>
    <b:SourceType>JournalArticle</b:SourceType>
    <b:Guid>{112AF69B-1522-4470-AFD1-C0FB4EE0636D}</b:Guid>
    <b:URL>https://www.nature.com/articles/s41598-022-22547-9</b:URL>
    <b:Author>
      <b:Author>
        <b:NameList>
          <b:Person>
            <b:Last>Cisterna-Garcı́a</b:Last>
            <b:First>Alejandro,</b:First>
            <b:Middle>Antonio Guillén-Teruel, Marcos Caracena, Enrique Pérez, Fernando Jiménez, Francisco J. Francisco-Verdú, Gabriel Reina, et al</b:Middle>
          </b:Person>
        </b:NameList>
      </b:Author>
    </b:Author>
    <b:Year>2022</b:Year>
    <b:Title>“A Predictive Model for Hospitalization and Survival to COVID-19 in a Retrospective Population-Based Study.”</b:Title>
    <b:InternetSiteTitle>Scientific Reports 12: 18126</b:InternetSiteTitle>
    <b:Pages>18126</b:Pages>
    <b:JournalName>Nature</b:JournalName>
    <b:RefOrder>6</b:RefOrder>
  </b:Source>
  <b:Source>
    <b:Tag>htt6</b:Tag>
    <b:SourceType>JournalArticle</b:SourceType>
    <b:Guid>{6F8148F6-9577-40C9-B283-11698E269F5F}</b:Guid>
    <b:Author>
      <b:Author>
        <b:NameList>
          <b:Person>
            <b:Last>Nadakinamani</b:Last>
            <b:First>Rajkumar</b:First>
            <b:Middle>G., A. Reyana, Yogita Gupta, Sandeep Kautish, Sara Ghorashi, Mona M. Jamjoom, and Ali Wagdy Mohamed</b:Middle>
          </b:Person>
        </b:NameList>
      </b:Author>
    </b:Author>
    <b:Title>“High-Performance Association Rule Mining: Mortality Prediction Model for Cardiovascular Patients with COVID-19 Patterns.”</b:Title>
    <b:InternetSiteTitle>Alexandria Engineering Journal</b:InternetSiteTitle>
    <b:Year>2023</b:Year>
    <b:JournalName>Alexandria Engineering Journal</b:JournalName>
    <b:Pages>347-354</b:Pages>
    <b:RefOrder>7</b:RefOrder>
  </b:Source>
  <b:Source>
    <b:Tag>Ramo</b:Tag>
    <b:SourceType>JournalArticle</b:SourceType>
    <b:Guid>{43974A70-C8D7-4F22-A70C-D10D78CA69DA}</b:Guid>
    <b:URL>https://academic.oup.com/biomedgerontology/article/76/3/e28/5939952</b:URL>
    <b:Author>
      <b:Author>
        <b:NameList>
          <b:Person>
            <b:Last>Ramos-Rincón</b:Last>
            <b:First>José-Manuel,</b:First>
            <b:Middle>Ricardo García-Hernández, José-María Castillo-Ruiz, et al</b:Middle>
          </b:Person>
        </b:NameList>
      </b:Author>
    </b:Author>
    <b:Title>Journals of Gerontology: Medical Sciences 76 (3): e28–37</b:Title>
    <b:InternetSiteTitle>“Clinical Characteristics and Risk Factors for Mortality in Very Old Patients Hospitalized with COVID-19.”</b:InternetSiteTitle>
    <b:Year>2021</b:Year>
    <b:JournalName>The Journals of Gerontology</b:JournalName>
    <b:Pages>e28-e37</b:Pages>
    <b:RefOrder>8</b:RefOrder>
  </b:Source>
  <b:Source>
    <b:Tag>htt1</b:Tag>
    <b:SourceType>JournalArticle</b:SourceType>
    <b:Guid>{63DFD434-D6CA-4D41-A45E-C55A44F097AB}</b:Guid>
    <b:URL>https://pdf.journalagent.com/nci/pdfs/NCI-64436-RESEARCH_ARTICLE-SERTBAS.pdf</b:URL>
    <b:Author>
      <b:Author>
        <b:NameList>
          <b:Person>
            <b:Last>Sertbas</b:Last>
            <b:First>Yasar,</b:First>
            <b:Middle>Ebru Elci Solak, Selma Dagci, Volkan Kizilay, Zeynep Yazici, Serkan Elarslan, and Kamil Ozdil</b:Middle>
          </b:Person>
        </b:NameList>
      </b:Author>
    </b:Author>
    <b:Title>"Clinical outcomes of COVID-19 in patients with"</b:Title>
    <b:InternetSiteTitle>“Clinical Outcomes of COVID-19 in Patients with Chronic Diseases.”</b:InternetSiteTitle>
    <b:Year>2023</b:Year>
    <b:JournalName>North Clinical Istanbul</b:JournalName>
    <b:Pages>401-410</b:Pages>
    <b:RefOrder>9</b:RefOrder>
  </b:Source>
  <b:Source>
    <b:Tag>htt7</b:Tag>
    <b:SourceType>JournalArticle</b:SourceType>
    <b:Guid>{787F1E67-590B-47D2-9D8A-2165435C0ED5}</b:Guid>
    <b:URL>https://journals.plos.org/plosone/article?id=10.1371/journal.pone.0238215</b:URL>
    <b:Author>
      <b:Author>
        <b:NameList>
          <b:Person>
            <b:Last>Ssentongo</b:Last>
            <b:First>Paddy,</b:First>
            <b:Middle>Anna E. Ssentongo, Emily S. Heilbrunn, Djibril M. Ba, and Vernon M. Chinchilli.</b:Middle>
          </b:Person>
        </b:NameList>
      </b:Author>
    </b:Author>
    <b:Title>“Association of Cardiovascular Disease and 10 Other Pre-Existing Comorbidities with COVID-19 Mortality: A Systematic Review and Meta-Analysis.”</b:Title>
    <b:InternetSiteTitle>PLOS ONE 15 (8): e0238215.</b:InternetSiteTitle>
    <b:Year>2020</b:Year>
    <b:JournalName>PLOS ONE</b:JournalName>
    <b:RefOrder>10</b:RefOrder>
  </b:Source>
  <b:Source>
    <b:Tag>htt2</b:Tag>
    <b:SourceType>JournalArticle</b:SourceType>
    <b:Guid>{F863CC29-285A-4D23-AD95-2977E552AE5C}</b:Guid>
    <b:URL>https://link.springer.com/article/10.1186/s12889-025-22976-x</b:URL>
    <b:Author>
      <b:Author>
        <b:NameList>
          <b:Person>
            <b:Last>Zhang</b:Last>
            <b:First>Hansong,</b:First>
            <b:Middle>Ying Wang, Yan Xie, Cuihan Wang, Yuqi Ma, and Xin Jin</b:Middle>
          </b:Person>
        </b:NameList>
      </b:Author>
    </b:Author>
    <b:Title>"Prediction models based on machine learning algorithms for COVID-19 severity risk"</b:Title>
    <b:InternetSiteTitle>“Prediction Models Based on Machine Learning Algorithms for COVID-19 Severity Risk.”</b:InternetSiteTitle>
    <b:Year>2025</b:Year>
    <b:JournalName>BMC Public Health</b:JournalName>
    <b:RefOrder>11</b:RefOrder>
  </b:Source>
  <b:Source>
    <b:Tag>htt5</b:Tag>
    <b:SourceType>JournalArticle</b:SourceType>
    <b:Guid>{CB6D39D8-BD9B-4A89-9F1F-121B33E9C928}</b:Guid>
    <b:URL>https://www.sciencedirect.com/science/article/pii/S0010482521000433?via%3Dihub</b:URL>
    <b:Author>
      <b:Author>
        <b:NameList>
          <b:Person>
            <b:Last>Tandan</b:Last>
            <b:First>Manoj,</b:First>
            <b:Middle>Yagya Acharya, Sanjiv Pokharel, and Madhu Timilsina</b:Middle>
          </b:Person>
        </b:NameList>
      </b:Author>
    </b:Author>
    <b:Title>“Discovering Symptom Patterns of COVID-19 Patients Using Association Rule Mining.”</b:Title>
    <b:InternetSiteTitle>Computers in Biology and Medicine 131: 104249</b:InternetSiteTitle>
    <b:Year>2021</b:Year>
    <b:JournalName>Computers in Biology and Medicine</b:JournalName>
    <b:RefOrder>12</b:RefOrder>
  </b:Source>
  <b:Source>
    <b:Tag>Low24</b:Tag>
    <b:SourceType>JournalArticle</b:SourceType>
    <b:Guid>{DE134BDD-998A-4AC2-9480-4AEED5B50559}</b:Guid>
    <b:Author>
      <b:Author>
        <b:NameList>
          <b:Person>
            <b:Last>Lowhorn</b:Last>
            <b:First>Ryan</b:First>
            <b:Middle>J., Mohammed Chowdhury, Symon Kimitei, Sammie Haskin, Mohammad Masum, and A. K. M. Fazlur Rahman.</b:Middle>
          </b:Person>
        </b:NameList>
      </b:Author>
    </b:Author>
    <b:Title>“Comorbidities and Their Association with COVID-19 Mortality in Mexico Between January 2020 and August 2021.”</b:Title>
    <b:Year>2024</b:Year>
    <b:InternetSiteTitle>PLOS ONE</b:InternetSiteTitle>
    <b:URL>https://journals.plos.org/plosone/article?id=10.1371%2Fjournal.pone.0296895</b:URL>
    <b:JournalName>PLOS ONE</b:JournalName>
    <b:RefOrder>13</b:RefOrder>
  </b:Source>
</b:Sources>
</file>

<file path=customXml/itemProps1.xml><?xml version="1.0" encoding="utf-8"?>
<ds:datastoreItem xmlns:ds="http://schemas.openxmlformats.org/officeDocument/2006/customXml" ds:itemID="{B14434BB-44EF-4B49-8440-B23B1095D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29</Pages>
  <Words>5407</Words>
  <Characters>30822</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COVID-19 Capstone</vt:lpstr>
    </vt:vector>
  </TitlesOfParts>
  <Company/>
  <LinksUpToDate>false</LinksUpToDate>
  <CharactersWithSpaces>36157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COVID-19 Capstone</dc:title>
  <dc:creator>Rachael Ray Hobbs</dc:creator>
  <cp:keywords/>
  <cp:lastModifiedBy>Hobbs, Rachael Marie</cp:lastModifiedBy>
  <cp:revision>17</cp:revision>
  <dcterms:created xsi:type="dcterms:W3CDTF">2026-05-09T20:12:00Z</dcterms:created>
  <dcterms:modified xsi:type="dcterms:W3CDTF">2026-05-14T11:15:00Z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2026-05-11</vt:lpwstr>
  </property>
  <property fmtid="{D5CDD505-2E9C-101B-9397-08002B2CF9AE}" pid="3" name="output">
    <vt:lpwstr>word_document</vt:lpwstr>
  </property>
</Properties>
</file>