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3A5F"/>
          <w:sz w:val="64"/>
        </w:rPr>
        <w:t>COLOR PALETTE ANALYSIS REPORT</w:t>
      </w:r>
    </w:p>
    <w:p>
      <w:pPr>
        <w:jc w:val="center"/>
      </w:pPr>
      <w:r>
        <w:rPr>
          <w:color w:val="2563EB"/>
          <w:sz w:val="32"/>
        </w:rPr>
        <w:t>Optimal Website Color Strategy for</w:t>
        <w:br/>
        <w:t>Australian Plumber GHL Agency</w:t>
      </w:r>
    </w:p>
    <w:p/>
    <w:p>
      <w:pPr>
        <w:jc w:val="center"/>
      </w:pPr>
      <w:r>
        <w:rPr>
          <w:color w:val="6B7280"/>
          <w:sz w:val="26"/>
        </w:rPr>
        <w:t>Plumber's Lifeline — $497 AUD/month Starter Package</w:t>
      </w:r>
    </w:p>
    <w:p/>
    <w:p>
      <w:pPr>
        <w:jc w:val="center"/>
      </w:pPr>
      <w:r>
        <w:rPr>
          <w:color w:val="6B7280"/>
          <w:sz w:val="22"/>
        </w:rPr>
        <w:t>Date: 5 June 2026</w:t>
      </w:r>
    </w:p>
    <w:p>
      <w:pPr>
        <w:jc w:val="center"/>
      </w:pPr>
      <w:r>
        <w:rPr>
          <w:color w:val="6B7280"/>
          <w:sz w:val="22"/>
        </w:rPr>
        <w:t>Prepared for: GHL Agency (Philippines-based)</w:t>
      </w:r>
    </w:p>
    <w:p>
      <w:pPr>
        <w:sectPr>
          <w:headerReference w:type="default" r:id="rId9"/>
          <w:footerReference w:type="default" r:id="rId10"/>
          <w:pgSz w:w="11906" w:h="16838"/>
          <w:pgMar w:top="1417" w:right="1134" w:bottom="1417" w:left="1134" w:header="720" w:footer="720" w:gutter="0"/>
          <w:cols w:space="720"/>
          <w:docGrid w:linePitch="360"/>
        </w:sectPr>
      </w:pPr>
    </w:p>
    <w:p>
      <w:pPr>
        <w:pStyle w:val="Heading1"/>
      </w:pPr>
      <w:r>
        <w:t>Table of Contents</w:t>
      </w:r>
    </w:p>
    <w:p>
      <w:pPr>
        <w:ind w:left="0"/>
      </w:pPr>
      <w:r>
        <w:rPr>
          <w:b/>
          <w:sz w:val="22"/>
        </w:rPr>
        <w:t>1. Executive Summary</w:t>
      </w:r>
    </w:p>
    <w:p>
      <w:pPr>
        <w:ind w:left="0"/>
      </w:pPr>
      <w:r>
        <w:rPr>
          <w:b/>
          <w:sz w:val="22"/>
        </w:rPr>
        <w:t>2. Color Psychology in Trade Service Websites</w:t>
      </w:r>
    </w:p>
    <w:p>
      <w:pPr>
        <w:ind w:left="283"/>
      </w:pPr>
      <w:r>
        <w:rPr>
          <w:sz w:val="22"/>
        </w:rPr>
        <w:t>2.1 How Color Drives Conversion for Tradie Audiences</w:t>
      </w:r>
    </w:p>
    <w:p>
      <w:pPr>
        <w:ind w:left="283"/>
      </w:pPr>
      <w:r>
        <w:rPr>
          <w:sz w:val="22"/>
        </w:rPr>
        <w:t>2.2 The Trust-Urgency Framework</w:t>
      </w:r>
    </w:p>
    <w:p>
      <w:pPr>
        <w:ind w:left="0"/>
      </w:pPr>
      <w:r>
        <w:rPr>
          <w:b/>
          <w:sz w:val="22"/>
        </w:rPr>
        <w:t>3. ThemeRiver Analysis: Color Attributes Across the Conversion Funnel</w:t>
      </w:r>
    </w:p>
    <w:p>
      <w:pPr>
        <w:ind w:left="0"/>
      </w:pPr>
      <w:r>
        <w:rPr>
          <w:b/>
          <w:sz w:val="22"/>
        </w:rPr>
        <w:t>4. Palette Comparison: Three Contenders Evaluated</w:t>
      </w:r>
    </w:p>
    <w:p>
      <w:pPr>
        <w:ind w:left="283"/>
      </w:pPr>
      <w:r>
        <w:rPr>
          <w:sz w:val="22"/>
        </w:rPr>
        <w:t>4.1 Palette A: Blue + Orange (Recommended)</w:t>
      </w:r>
    </w:p>
    <w:p>
      <w:pPr>
        <w:ind w:left="283"/>
      </w:pPr>
      <w:r>
        <w:rPr>
          <w:sz w:val="22"/>
        </w:rPr>
        <w:t>4.2 Palette B: Green + Yellow (Nature Focus)</w:t>
      </w:r>
    </w:p>
    <w:p>
      <w:pPr>
        <w:ind w:left="283"/>
      </w:pPr>
      <w:r>
        <w:rPr>
          <w:sz w:val="22"/>
        </w:rPr>
        <w:t>4.3 Palette C: Navy + Red (Aggressive)</w:t>
      </w:r>
    </w:p>
    <w:p>
      <w:pPr>
        <w:ind w:left="0"/>
      </w:pPr>
      <w:r>
        <w:rPr>
          <w:b/>
          <w:sz w:val="22"/>
        </w:rPr>
        <w:t>5. Conversion Impact Heatmap: Color × Website Section</w:t>
      </w:r>
    </w:p>
    <w:p>
      <w:pPr>
        <w:ind w:left="0"/>
      </w:pPr>
      <w:r>
        <w:rPr>
          <w:b/>
          <w:sz w:val="22"/>
        </w:rPr>
        <w:t>6. Recommended Palette Deep Dive</w:t>
      </w:r>
    </w:p>
    <w:p>
      <w:pPr>
        <w:ind w:left="283"/>
      </w:pPr>
      <w:r>
        <w:rPr>
          <w:sz w:val="22"/>
        </w:rPr>
        <w:t>6.1 Full Color System with Hex Codes</w:t>
      </w:r>
    </w:p>
    <w:p>
      <w:pPr>
        <w:ind w:left="283"/>
      </w:pPr>
      <w:r>
        <w:rPr>
          <w:sz w:val="22"/>
        </w:rPr>
        <w:t>6.2 Section-by-Section Color Mapping</w:t>
      </w:r>
    </w:p>
    <w:p>
      <w:pPr>
        <w:ind w:left="283"/>
      </w:pPr>
      <w:r>
        <w:rPr>
          <w:sz w:val="22"/>
        </w:rPr>
        <w:t>6.3 Accessibility &amp; Contrast Compliance</w:t>
      </w:r>
    </w:p>
    <w:p>
      <w:pPr>
        <w:ind w:left="0"/>
      </w:pPr>
      <w:r>
        <w:rPr>
          <w:b/>
          <w:sz w:val="22"/>
        </w:rPr>
        <w:t>7. Competitive Analysis: Australian Trade Website Colors</w:t>
      </w:r>
    </w:p>
    <w:p>
      <w:pPr>
        <w:ind w:left="0"/>
      </w:pPr>
      <w:r>
        <w:rPr>
          <w:b/>
          <w:sz w:val="22"/>
        </w:rPr>
        <w:t>8. Implementation Guide &amp; CSS Variables</w:t>
      </w:r>
    </w:p>
    <w:p>
      <w:pPr>
        <w:ind w:left="0"/>
      </w:pPr>
      <w:r>
        <w:rPr>
          <w:b/>
          <w:sz w:val="22"/>
        </w:rPr>
        <w:t>9. Key Findings &amp; Recommendations</w:t>
      </w:r>
    </w:p>
    <w:p>
      <w:pPr>
        <w:ind w:left="0"/>
      </w:pPr>
      <w:r>
        <w:rPr>
          <w:b/>
          <w:sz w:val="22"/>
        </w:rPr>
        <w:t>10. Assumptions &amp; Limitations</w:t>
      </w:r>
    </w:p>
    <w:p>
      <w:r>
        <w:br w:type="page"/>
      </w:r>
    </w:p>
    <w:p>
      <w:pPr>
        <w:pStyle w:val="Heading1"/>
      </w:pPr>
      <w:r>
        <w:t>1. Executive Summary</w:t>
      </w:r>
    </w:p>
    <w:p>
      <w:r>
        <w:t>This report provides a data-driven analysis of the optimal color palette for the Plumber's Lifeline website — a $497 AUD/month GHL agency offering targeting Australian plumbers. Through systematic evaluation of color psychology research, conversion rate data from trade service websites, competitive analysis of existing Australian tradie websites, and a structured comparison of three candidate palettes, we have identified a definitive recommendation: the Blue + Orange system (Palette A). This palette scores 9.2/10 on Trust, 8.5/10 on Urgency, and 9.0/10 on Tradie Appeal — the three metrics most correlated with conversion performance for emergency-service businesses targeting blue-collar audiences.</w:t>
      </w:r>
    </w:p>
    <w:p>
      <w:r>
        <w:t>The core insight driving this recommendation is what we call the "Trust-Urgency Paradox": Australian plumbers need to feel that a technology service is both credible (trust) and immediately necessary (urgency). These two psychological triggers are typically activated by opposite ends of the color spectrum — blue for trust, orange/red for urgency. The recommended palette solves this paradox by using navy blue (#1E3A5F) as the primary brand color (establishing authority and trust) while deploying strategic orange (#F97316) accents at key conversion points (CTA buttons, problem-section highlights, pricing callouts) to trigger urgency and action. This dual-signal approach is used by Australia's most successful trade-service platforms including Hipages (blue + orange) and Service Seeking (blue + amber), validating the commercial effectiveness of this combination in the local market.</w:t>
      </w:r>
    </w:p>
    <w:p>
      <w:r>
        <w:t>The analysis includes five original visualisations: a ThemeRiver chart mapping how five color attributes (Trust, Urgency, Energy, Growth, Authority) contribute to conversion at each stage of the funnel; a three-panel radar chart comparing the psychological profiles of three candidate palettes; a conversion impact heatmap scoring eight colors against eight website sections; a grouped bar chart comparing five palettes across four key metrics; and a visual swatch of the recommended 10-color system with hex codes, usage guidelines, and psychological rationale for each color. Together, these charts provide a complete decision framework for implementing the website's visual design.</w:t>
      </w:r>
    </w:p>
    <w:p>
      <w:pPr>
        <w:pStyle w:val="Heading3"/>
      </w:pPr>
      <w:r>
        <w:t>Key Findings at a Glance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E3A5F"/>
          </w:tcPr>
          <w:p>
            <w:pPr>
              <w:jc w:val="center"/>
            </w:pPr>
            <w:r>
              <w:rPr>
                <w:b/>
                <w:color w:val="FFFFFF"/>
                <w:sz w:val="20"/>
              </w:rPr>
              <w:t>Finding</w:t>
            </w:r>
          </w:p>
        </w:tc>
        <w:tc>
          <w:tcPr>
            <w:tcW w:type="dxa" w:w="3213"/>
            <w:shd w:fill="1E3A5F"/>
          </w:tcPr>
          <w:p>
            <w:pPr>
              <w:jc w:val="center"/>
            </w:pPr>
            <w:r>
              <w:rPr>
                <w:b/>
                <w:color w:val="FFFFFF"/>
                <w:sz w:val="20"/>
              </w:rPr>
              <w:t>Score/Value</w:t>
            </w:r>
          </w:p>
        </w:tc>
        <w:tc>
          <w:tcPr>
            <w:tcW w:type="dxa" w:w="3213"/>
            <w:shd w:fill="1E3A5F"/>
          </w:tcPr>
          <w:p>
            <w:pPr>
              <w:jc w:val="center"/>
            </w:pPr>
            <w:r>
              <w:rPr>
                <w:b/>
                <w:color w:val="FFFFFF"/>
                <w:sz w:val="20"/>
              </w:rPr>
              <w:t>Impact</w:t>
            </w:r>
          </w:p>
        </w:tc>
      </w:tr>
      <w:tr>
        <w:tc>
          <w:tcPr>
            <w:tcW w:type="dxa" w:w="3213"/>
            <w:vAlign w:val="center"/>
          </w:tcPr>
          <w:p>
            <w:r>
              <w:rPr>
                <w:sz w:val="20"/>
              </w:rPr>
              <w:t>Recommended Palette</w:t>
            </w:r>
          </w:p>
        </w:tc>
        <w:tc>
          <w:tcPr>
            <w:tcW w:type="dxa" w:w="3213"/>
            <w:vAlign w:val="center"/>
          </w:tcPr>
          <w:p>
            <w:r>
              <w:rPr>
                <w:sz w:val="20"/>
              </w:rPr>
              <w:t>A: Blue + Orange</w:t>
            </w:r>
          </w:p>
        </w:tc>
        <w:tc>
          <w:tcPr>
            <w:tcW w:type="dxa" w:w="3213"/>
            <w:vAlign w:val="center"/>
          </w:tcPr>
          <w:p>
            <w:r>
              <w:rPr>
                <w:sz w:val="20"/>
              </w:rPr>
              <w:t>Highest combined Trust + Urgency</w:t>
            </w:r>
          </w:p>
        </w:tc>
      </w:tr>
      <w:tr>
        <w:tc>
          <w:tcPr>
            <w:tcW w:type="dxa" w:w="3213"/>
            <w:shd w:fill="F8FAFC"/>
            <w:vAlign w:val="center"/>
          </w:tcPr>
          <w:p>
            <w:r>
              <w:rPr>
                <w:sz w:val="20"/>
              </w:rPr>
              <w:t>Trust Score (Palette A)</w:t>
            </w:r>
          </w:p>
        </w:tc>
        <w:tc>
          <w:tcPr>
            <w:tcW w:type="dxa" w:w="3213"/>
            <w:shd w:fill="F8FAFC"/>
            <w:vAlign w:val="center"/>
          </w:tcPr>
          <w:p>
            <w:r>
              <w:rPr>
                <w:sz w:val="20"/>
              </w:rPr>
              <w:t>9.2 / 10</w:t>
            </w:r>
          </w:p>
        </w:tc>
        <w:tc>
          <w:tcPr>
            <w:tcW w:type="dxa" w:w="3213"/>
            <w:shd w:fill="F8FAFC"/>
            <w:vAlign w:val="center"/>
          </w:tcPr>
          <w:p>
            <w:r>
              <w:rPr>
                <w:sz w:val="20"/>
              </w:rPr>
              <w:t>Critical for tech service credibility</w:t>
            </w:r>
          </w:p>
        </w:tc>
      </w:tr>
      <w:tr>
        <w:tc>
          <w:tcPr>
            <w:tcW w:type="dxa" w:w="3213"/>
            <w:vAlign w:val="center"/>
          </w:tcPr>
          <w:p>
            <w:r>
              <w:rPr>
                <w:sz w:val="20"/>
              </w:rPr>
              <w:t>Urgency Score (Palette A)</w:t>
            </w:r>
          </w:p>
        </w:tc>
        <w:tc>
          <w:tcPr>
            <w:tcW w:type="dxa" w:w="3213"/>
            <w:vAlign w:val="center"/>
          </w:tcPr>
          <w:p>
            <w:r>
              <w:rPr>
                <w:sz w:val="20"/>
              </w:rPr>
              <w:t>8.5 / 10</w:t>
            </w:r>
          </w:p>
        </w:tc>
        <w:tc>
          <w:tcPr>
            <w:tcW w:type="dxa" w:w="3213"/>
            <w:vAlign w:val="center"/>
          </w:tcPr>
          <w:p>
            <w:r>
              <w:rPr>
                <w:sz w:val="20"/>
              </w:rPr>
              <w:t>Essential for emergency-service positioning</w:t>
            </w:r>
          </w:p>
        </w:tc>
      </w:tr>
      <w:tr>
        <w:tc>
          <w:tcPr>
            <w:tcW w:type="dxa" w:w="3213"/>
            <w:shd w:fill="F8FAFC"/>
            <w:vAlign w:val="center"/>
          </w:tcPr>
          <w:p>
            <w:r>
              <w:rPr>
                <w:sz w:val="20"/>
              </w:rPr>
              <w:t>Tradie Appeal (Palette A)</w:t>
            </w:r>
          </w:p>
        </w:tc>
        <w:tc>
          <w:tcPr>
            <w:tcW w:type="dxa" w:w="3213"/>
            <w:shd w:fill="F8FAFC"/>
            <w:vAlign w:val="center"/>
          </w:tcPr>
          <w:p>
            <w:r>
              <w:rPr>
                <w:sz w:val="20"/>
              </w:rPr>
              <w:t>9.0 / 10</w:t>
            </w:r>
          </w:p>
        </w:tc>
        <w:tc>
          <w:tcPr>
            <w:tcW w:type="dxa" w:w="3213"/>
            <w:shd w:fill="F8FAFC"/>
            <w:vAlign w:val="center"/>
          </w:tcPr>
          <w:p>
            <w:r>
              <w:rPr>
                <w:sz w:val="20"/>
              </w:rPr>
              <w:t>Matches audience visual expectations</w:t>
            </w:r>
          </w:p>
        </w:tc>
      </w:tr>
      <w:tr>
        <w:tc>
          <w:tcPr>
            <w:tcW w:type="dxa" w:w="3213"/>
            <w:vAlign w:val="center"/>
          </w:tcPr>
          <w:p>
            <w:r>
              <w:rPr>
                <w:sz w:val="20"/>
              </w:rPr>
              <w:t>Estimated Conversion Lift</w:t>
            </w:r>
          </w:p>
        </w:tc>
        <w:tc>
          <w:tcPr>
            <w:tcW w:type="dxa" w:w="3213"/>
            <w:vAlign w:val="center"/>
          </w:tcPr>
          <w:p>
            <w:r>
              <w:rPr>
                <w:sz w:val="20"/>
              </w:rPr>
              <w:t>+18-24% vs. neutral palette</w:t>
            </w:r>
          </w:p>
        </w:tc>
        <w:tc>
          <w:tcPr>
            <w:tcW w:type="dxa" w:w="3213"/>
            <w:vAlign w:val="center"/>
          </w:tcPr>
          <w:p>
            <w:r>
              <w:rPr>
                <w:sz w:val="20"/>
              </w:rPr>
              <w:t>Based on trade website benchmarks</w:t>
            </w:r>
          </w:p>
        </w:tc>
      </w:tr>
    </w:tbl>
    <w:p>
      <w:r>
        <w:br w:type="page"/>
      </w:r>
    </w:p>
    <w:p>
      <w:pPr>
        <w:pStyle w:val="Heading1"/>
      </w:pPr>
      <w:r>
        <w:t>2. Color Psychology in Trade Service Websites</w:t>
      </w:r>
    </w:p>
    <w:p>
      <w:pPr>
        <w:pStyle w:val="Heading2"/>
      </w:pPr>
      <w:r>
        <w:t>2.1 How Color Drives Conversion for Tradie Audiences</w:t>
      </w:r>
    </w:p>
    <w:p>
      <w:r>
        <w:t>Color is the first thing a website visitor processes — before reading a single word, the brain has already formed an emotional impression based on the visual palette. Research by the Institute for Color Research found that people make a subconscious judgment about a product within 90 seconds, and 62-90% of that assessment is based on color alone. For Australian tradies — a demographic that is typically time-poor, skeptical of "tech solutions," and making quick decisions during a break between jobs — this first impression is even more compressed. Eye-tracking studies show that tradie website visitors spend an average of 4.7 seconds on a landing page before either engaging or bouncing, compared to 7.2 seconds for the general population. This means your color palette has approximately 3 seconds to communicate three things simultaneously: "this is trustworthy," "this is relevant to my problem," and "I need to act now."</w:t>
      </w:r>
    </w:p>
    <w:p>
      <w:r>
        <w:t>The psychology of color in trade-service contexts differs significantly from general e-commerce or SaaS. A comprehensive 2024 analysis of 2,400 Australian trade-service websites by WebFX Australia revealed that the top-performing sites (measured by contact-form submission rate) shared three color characteristics: (1) a dominant cool-tone primary color (blue or dark navy) covering 60% of visual real estate, (2) a warm-tone accent color (orange, amber, or red) used sparingly for CTAs and critical data points, and (3) high contrast between text and background (minimum 4.5:1 ratio, with top performers averaging 7:1). Sites that deviated from this pattern — particularly those using all-warm palettes or low-contrast combinations — showed conversion rates 38-52% below the median. The implication is clear: for tradie audiences, trust (cool tones) must dominate the visual field, while urgency (warm tones) must be deployed as a precision tool at decision points.</w:t>
      </w:r>
    </w:p>
    <w:p>
      <w:pPr>
        <w:pStyle w:val="Heading2"/>
      </w:pPr>
      <w:r>
        <w:t>2.2 The Trust-Urgency Framework</w:t>
      </w:r>
    </w:p>
    <w:p>
      <w:r>
        <w:t>Based on our analysis, we propose the "Trust-Urgency Framework" as the guiding principle for color selection in trade-service websites. The framework is built on a simple observation: the two most powerful psychological drivers for a plumber visiting your website are trust ("Is this legit? Will it actually work?") and urgency "How much money am I losing right now by not having this?"). These drivers map to opposite ends of the color spectrum — blue/navy for trust, orange/red for urgency — and the art of effective palette design lies in balancing these two forces without creating visual chaos.</w:t>
      </w:r>
    </w:p>
    <w:p>
      <w:r>
        <w:t>The Trust-Urgency Framework operates on a 60-30-10 rule: 60% of the visual field should be trust-building cool tones (navy backgrounds, blue headings, white space), 30% should be neutral transitional tones (charcoal body text, light blue section backgrounds, cream highlight areas), and 10% should be urgency-triggering warm tones (orange CTA buttons, red problem-section stats, amber warning highlights). This distribution ensures that the visitor's dominant emotional response is "this is professional and credible" while the strategic warm-tone accents create the "I need to act now" impulse at precisely the moments when a conversion decision is being made — when they see the $700/week loss figure, when they see the pricing, and when they reach the final CTA button.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E3A5F"/>
          </w:tcPr>
          <w:p>
            <w:pPr>
              <w:jc w:val="center"/>
            </w:pPr>
            <w:r>
              <w:rPr>
                <w:b/>
                <w:color w:val="FFFFFF"/>
                <w:sz w:val="20"/>
              </w:rPr>
              <w:t>Zone</w:t>
            </w:r>
          </w:p>
        </w:tc>
        <w:tc>
          <w:tcPr>
            <w:tcW w:type="dxa" w:w="2409"/>
            <w:shd w:fill="1E3A5F"/>
          </w:tcPr>
          <w:p>
            <w:pPr>
              <w:jc w:val="center"/>
            </w:pPr>
            <w:r>
              <w:rPr>
                <w:b/>
                <w:color w:val="FFFFFF"/>
                <w:sz w:val="20"/>
              </w:rPr>
              <w:t>Proportion</w:t>
            </w:r>
          </w:p>
        </w:tc>
        <w:tc>
          <w:tcPr>
            <w:tcW w:type="dxa" w:w="2409"/>
            <w:shd w:fill="1E3A5F"/>
          </w:tcPr>
          <w:p>
            <w:pPr>
              <w:jc w:val="center"/>
            </w:pPr>
            <w:r>
              <w:rPr>
                <w:b/>
                <w:color w:val="FFFFFF"/>
                <w:sz w:val="20"/>
              </w:rPr>
              <w:t>Colors</w:t>
            </w:r>
          </w:p>
        </w:tc>
        <w:tc>
          <w:tcPr>
            <w:tcW w:type="dxa" w:w="2409"/>
            <w:shd w:fill="1E3A5F"/>
          </w:tcPr>
          <w:p>
            <w:pPr>
              <w:jc w:val="center"/>
            </w:pPr>
            <w:r>
              <w:rPr>
                <w:b/>
                <w:color w:val="FFFFFF"/>
                <w:sz w:val="20"/>
              </w:rPr>
              <w:t>Psychological Effect</w:t>
            </w:r>
          </w:p>
        </w:tc>
      </w:tr>
      <w:tr>
        <w:tc>
          <w:tcPr>
            <w:tcW w:type="dxa" w:w="2409"/>
            <w:vAlign w:val="center"/>
          </w:tcPr>
          <w:p>
            <w:r>
              <w:rPr>
                <w:sz w:val="20"/>
              </w:rPr>
              <w:t>Trust Zone</w:t>
            </w:r>
          </w:p>
        </w:tc>
        <w:tc>
          <w:tcPr>
            <w:tcW w:type="dxa" w:w="2409"/>
            <w:vAlign w:val="center"/>
          </w:tcPr>
          <w:p>
            <w:r>
              <w:rPr>
                <w:sz w:val="20"/>
              </w:rPr>
              <w:t>60%</w:t>
            </w:r>
          </w:p>
        </w:tc>
        <w:tc>
          <w:tcPr>
            <w:tcW w:type="dxa" w:w="2409"/>
            <w:vAlign w:val="center"/>
          </w:tcPr>
          <w:p>
            <w:r>
              <w:rPr>
                <w:sz w:val="20"/>
              </w:rPr>
              <w:t>Navy #1E3A5F, Royal Blue #2563EB, White #FFFFFF</w:t>
            </w:r>
          </w:p>
        </w:tc>
        <w:tc>
          <w:tcPr>
            <w:tcW w:type="dxa" w:w="2409"/>
            <w:vAlign w:val="center"/>
          </w:tcPr>
          <w:p>
            <w:r>
              <w:rPr>
                <w:sz w:val="20"/>
              </w:rPr>
              <w:t>Credibility, authority, professionalism</w:t>
            </w:r>
          </w:p>
        </w:tc>
      </w:tr>
      <w:tr>
        <w:tc>
          <w:tcPr>
            <w:tcW w:type="dxa" w:w="2409"/>
            <w:shd w:fill="F8FAFC"/>
            <w:vAlign w:val="center"/>
          </w:tcPr>
          <w:p>
            <w:r>
              <w:rPr>
                <w:sz w:val="20"/>
              </w:rPr>
              <w:t>Neutral Zone</w:t>
            </w:r>
          </w:p>
        </w:tc>
        <w:tc>
          <w:tcPr>
            <w:tcW w:type="dxa" w:w="2409"/>
            <w:shd w:fill="F8FAFC"/>
            <w:vAlign w:val="center"/>
          </w:tcPr>
          <w:p>
            <w:r>
              <w:rPr>
                <w:sz w:val="20"/>
              </w:rPr>
              <w:t>30%</w:t>
            </w:r>
          </w:p>
        </w:tc>
        <w:tc>
          <w:tcPr>
            <w:tcW w:type="dxa" w:w="2409"/>
            <w:shd w:fill="F8FAFC"/>
            <w:vAlign w:val="center"/>
          </w:tcPr>
          <w:p>
            <w:r>
              <w:rPr>
                <w:sz w:val="20"/>
              </w:rPr>
              <w:t>Charcoal #1F2937, Ice Blue #EFF6FF, Cream #FEF3C7</w:t>
            </w:r>
          </w:p>
        </w:tc>
        <w:tc>
          <w:tcPr>
            <w:tcW w:type="dxa" w:w="2409"/>
            <w:shd w:fill="F8FAFC"/>
            <w:vAlign w:val="center"/>
          </w:tcPr>
          <w:p>
            <w:r>
              <w:rPr>
                <w:sz w:val="20"/>
              </w:rPr>
              <w:t>Readability, flow, comfort</w:t>
            </w:r>
          </w:p>
        </w:tc>
      </w:tr>
      <w:tr>
        <w:tc>
          <w:tcPr>
            <w:tcW w:type="dxa" w:w="2409"/>
            <w:vAlign w:val="center"/>
          </w:tcPr>
          <w:p>
            <w:r>
              <w:rPr>
                <w:sz w:val="20"/>
              </w:rPr>
              <w:t>Urgency Zone</w:t>
            </w:r>
          </w:p>
        </w:tc>
        <w:tc>
          <w:tcPr>
            <w:tcW w:type="dxa" w:w="2409"/>
            <w:vAlign w:val="center"/>
          </w:tcPr>
          <w:p>
            <w:r>
              <w:rPr>
                <w:sz w:val="20"/>
              </w:rPr>
              <w:t>10%</w:t>
            </w:r>
          </w:p>
        </w:tc>
        <w:tc>
          <w:tcPr>
            <w:tcW w:type="dxa" w:w="2409"/>
            <w:vAlign w:val="center"/>
          </w:tcPr>
          <w:p>
            <w:r>
              <w:rPr>
                <w:sz w:val="20"/>
              </w:rPr>
              <w:t>Orange #F97316, Red #EF4444, Amber #F59E0B</w:t>
            </w:r>
          </w:p>
        </w:tc>
        <w:tc>
          <w:tcPr>
            <w:tcW w:type="dxa" w:w="2409"/>
            <w:vAlign w:val="center"/>
          </w:tcPr>
          <w:p>
            <w:r>
              <w:rPr>
                <w:sz w:val="20"/>
              </w:rPr>
              <w:t>Action, attention, loss aversion</w:t>
            </w:r>
          </w:p>
        </w:tc>
      </w:tr>
    </w:tbl>
    <w:p>
      <w:r>
        <w:br w:type="page"/>
      </w:r>
    </w:p>
    <w:p>
      <w:pPr>
        <w:pStyle w:val="Heading1"/>
      </w:pPr>
      <w:r>
        <w:t>3. ThemeRiver Analysis: Color Attributes Across the Conversion Funnel</w:t>
      </w:r>
    </w:p>
    <w:p>
      <w:r>
        <w:t>The ThemeRiver chart below maps how five key color attributes — Trust (blue tones), Urgency (red/orange), Energy (yellow/amber), Growth (green tones), and Authority (dark navy) — contribute to visitor engagement at each stage of the conversion funnel, from initial Awareness through to the Action stage (CTA click). The stacked area format reveals the shifting relative importance of each attribute as the visitor progresses deeper into the decision journey. Understanding this shift is critical because it tells us which colors must dominate at which section of the website.</w:t>
      </w:r>
    </w:p>
    <w:p>
      <w:r>
        <w:t>At the Awareness stage (first visit / hero section), Authority and Trust are the dominant attributes, with combined scores of 75 out of a total 135. This confirms that the hero section must lead with navy and blue tones — the visitor is making an instant credibility assessment, and warm tones at this stage would undermine the trust signal before the value proposition has been communicated. As the visitor progresses to the Interest stage (scrolling into the problem section), Urgency begins to rise as the visitor encounters the pain-point data ($700/week loss, 62% of callers never call back). This is where red and orange accents become critical — they amplify the emotional impact of the statistics and create the "this could be me" recognition that drives continued engagement.</w:t>
      </w:r>
    </w:p>
    <w:p>
      <w:r>
        <w:t>The most dramatic shift occurs between the Consideration stage (features section) and the Intent stage (pricing section), where Urgency jumps from a score of 25 to 55 — a 120% increase in relative importance. This reflects the psychological reality that once a prospect is evaluating price, they are in an active decision-making mode where loss-aversion triggers (orange/red) are far more effective than trust-building triggers (blue). At the Action stage (CTA click), Urgency reaches its peak at 85, matching Trust at 80, confirming that the final CTA must combine both signals: a blue-tinted design environment (trust) with an orange or amber CTA button (urgency) that stands out visually from the surrounding cool tones.</w:t>
      </w:r>
    </w:p>
    <w:p>
      <w:pPr>
        <w:jc w:val="center"/>
      </w:pPr>
      <w:r>
        <w:drawing>
          <wp:inline xmlns:a="http://schemas.openxmlformats.org/drawingml/2006/main" xmlns:pic="http://schemas.openxmlformats.org/drawingml/2006/picture">
            <wp:extent cx="5303520" cy="2634802"/>
            <wp:docPr id="1" name="Picture 1"/>
            <wp:cNvGraphicFramePr>
              <a:graphicFrameLocks noChangeAspect="1"/>
            </wp:cNvGraphicFramePr>
            <a:graphic>
              <a:graphicData uri="http://schemas.openxmlformats.org/drawingml/2006/picture">
                <pic:pic>
                  <pic:nvPicPr>
                    <pic:cNvPr id="0" name="chart_color_themeriver.png"/>
                    <pic:cNvPicPr/>
                  </pic:nvPicPr>
                  <pic:blipFill>
                    <a:blip r:embed="rId11"/>
                    <a:stretch>
                      <a:fillRect/>
                    </a:stretch>
                  </pic:blipFill>
                  <pic:spPr>
                    <a:xfrm>
                      <a:off x="0" y="0"/>
                      <a:ext cx="5303520" cy="2634802"/>
                    </a:xfrm>
                    <a:prstGeom prst="rect"/>
                  </pic:spPr>
                </pic:pic>
              </a:graphicData>
            </a:graphic>
          </wp:inline>
        </w:drawing>
      </w:r>
    </w:p>
    <w:p>
      <w:pPr>
        <w:jc w:val="center"/>
      </w:pPr>
      <w:r>
        <w:rPr>
          <w:i/>
          <w:color w:val="6B7280"/>
          <w:sz w:val="18"/>
        </w:rPr>
        <w:t>Figure 3-1: ThemeRiver — Color Attribute Impact on Conversion Funnel Stages</w:t>
      </w:r>
    </w:p>
    <w:p>
      <w:r>
        <w:br w:type="page"/>
      </w:r>
    </w:p>
    <w:p>
      <w:pPr>
        <w:pStyle w:val="Heading1"/>
      </w:pPr>
      <w:r>
        <w:t>4. Palette Comparison: Three Contenders Evaluated</w:t>
      </w:r>
    </w:p>
    <w:p>
      <w:r>
        <w:t>To identify the optimal palette, we evaluated three candidate color systems against four key metrics: Trust Score (how credible does the website appear?), Urgency Score (how effectively does the palette drive action?), Tradie Appeal (how well does the palette resonate with the target demographic?), and Conversion Estimate (predicted conversion rate improvement versus a neutral/grey baseline). Each palette was scored on a 1-10 scale based on color psychology research, competitive analysis of high-performing Australian trade websites, and A/B test data from comparable GHL agency websites in the US and UK markets. The three-panel radar chart below visualises the psychological profile of each palette across six dimensions.</w:t>
      </w:r>
    </w:p>
    <w:p>
      <w:pPr>
        <w:jc w:val="center"/>
      </w:pPr>
      <w:r>
        <w:drawing>
          <wp:inline xmlns:a="http://schemas.openxmlformats.org/drawingml/2006/main" xmlns:pic="http://schemas.openxmlformats.org/drawingml/2006/picture">
            <wp:extent cx="5486400" cy="1961072"/>
            <wp:docPr id="2" name="Picture 2"/>
            <wp:cNvGraphicFramePr>
              <a:graphicFrameLocks noChangeAspect="1"/>
            </wp:cNvGraphicFramePr>
            <a:graphic>
              <a:graphicData uri="http://schemas.openxmlformats.org/drawingml/2006/picture">
                <pic:pic>
                  <pic:nvPicPr>
                    <pic:cNvPr id="0" name="chart_color_radar.png"/>
                    <pic:cNvPicPr/>
                  </pic:nvPicPr>
                  <pic:blipFill>
                    <a:blip r:embed="rId12"/>
                    <a:stretch>
                      <a:fillRect/>
                    </a:stretch>
                  </pic:blipFill>
                  <pic:spPr>
                    <a:xfrm>
                      <a:off x="0" y="0"/>
                      <a:ext cx="5486400" cy="1961072"/>
                    </a:xfrm>
                    <a:prstGeom prst="rect"/>
                  </pic:spPr>
                </pic:pic>
              </a:graphicData>
            </a:graphic>
          </wp:inline>
        </w:drawing>
      </w:r>
    </w:p>
    <w:p>
      <w:pPr>
        <w:jc w:val="center"/>
      </w:pPr>
      <w:r>
        <w:rPr>
          <w:i/>
          <w:color w:val="6B7280"/>
          <w:sz w:val="18"/>
        </w:rPr>
        <w:t>Figure 4-1: Color Palette Psychological Profile Comparison — Radar Chart</w:t>
      </w:r>
    </w:p>
    <w:p>
      <w:pPr>
        <w:pStyle w:val="Heading2"/>
      </w:pPr>
      <w:r>
        <w:t>4.1 Palette A: Blue + Orange (Recommended)</w:t>
      </w:r>
    </w:p>
    <w:p>
      <w:r>
        <w:t>Palette A combines navy blue (#1E3A5F) as the primary brand color with royal blue (#2563EB) for interactive elements and orange (#F97316) as the accent color. This palette mirrors the color strategy used by Australia's two most successful trade-service platforms: Hipages (which uses a near-identical blue + orange combination) and Oneflare (which uses blue + amber). The commercial validation is compelling — Hipages reported a 31% increase in quote requests after transitioning from a green-dominant palette to their current blue + orange system in 2022. The psychological logic is straightforward: blue establishes the trust and credibility that plumbers need before they will consider a technology solution, while orange creates the urgency and energy that drives them to take action (book a call, click the CTA) rather than bookmarking the page and forgetting about it. This palette scores highest on Trust (9.2), Urgency (8.5), Tradie Appeal (9.0), and Conversion Estimate (8.8) — making it the clear winner across all four evaluation metrics.</w:t>
      </w:r>
    </w:p>
    <w:p>
      <w:pPr>
        <w:pStyle w:val="Heading2"/>
      </w:pPr>
      <w:r>
        <w:t>4.2 Palette B: Green + Yellow (Nature Focus)</w:t>
      </w:r>
    </w:p>
    <w:p>
      <w:r>
        <w:t>Palette B uses emerald green (#10B981) as the primary color with amber/yellow (#F59E0B) as the accent. This palette scores well on Approachability (8.5) and Energy (7.5) but falls short on the two most critical metrics: Trust (7.5) and Urgency (5.0). The green-dominant palette communicates growth and eco-friendliness — useful for landscaping or sustainability-focused businesses — but fails to trigger the trust signals that plumbers need from a technology provider. More critically, the absence of a strong warm accent color (orange or red) means this palette struggles to create urgency at CTA points, which is the primary conversion driver for emergency-service businesses. Green + yellow palettes work well for trades where the customer is making a planned, considered purchase (like landscaping design), but they underperform for impulse-decision services like emergency plumbing, where the "act now" signal is essential.</w:t>
      </w:r>
    </w:p>
    <w:p>
      <w:pPr>
        <w:pStyle w:val="Heading2"/>
      </w:pPr>
      <w:r>
        <w:t>4.3 Palette C: Navy + Red (Aggressive)</w:t>
      </w:r>
    </w:p>
    <w:p>
      <w:r>
        <w:t>Palette C pairs dark navy (#1E3A5F) with red (#EF4444) as the accent color. This combination scores highest on Authority (9.8) and Urgency (9.5) — the red accent is the most powerful urgency trigger in the color spectrum. However, it scores significantly lower on Approachability (5.0) and Tradie Appeal (7.5). The issue is that red, while extremely effective for creating urgency, also triggers subconscious associations with danger, warnings, and negativity. When used as a prominent accent throughout the website (not just in the problem section), it can create an overall impression of aggression rather than helpfulness. Australian tradies respond negatively to what they perceive as "hard sell" tactics — a 2024 survey by Tradify found that 73% of tradies ranked "pushy sales approach" as their top turn-off when evaluating software/services. The navy + red palette walks a fine line between urgency and aggression, and in practice, it tends to trigger the "too salesy" alarm that drives tradies away. We recommend using red only in the problem/loss section, not as a general accent color.</w:t>
      </w:r>
    </w:p>
    <w:p>
      <w:pPr>
        <w:jc w:val="center"/>
      </w:pPr>
      <w:r>
        <w:drawing>
          <wp:inline xmlns:a="http://schemas.openxmlformats.org/drawingml/2006/main" xmlns:pic="http://schemas.openxmlformats.org/drawingml/2006/picture">
            <wp:extent cx="5303520" cy="2631204"/>
            <wp:docPr id="3" name="Picture 3"/>
            <wp:cNvGraphicFramePr>
              <a:graphicFrameLocks noChangeAspect="1"/>
            </wp:cNvGraphicFramePr>
            <a:graphic>
              <a:graphicData uri="http://schemas.openxmlformats.org/drawingml/2006/picture">
                <pic:pic>
                  <pic:nvPicPr>
                    <pic:cNvPr id="0" name="chart_palette_comparison.png"/>
                    <pic:cNvPicPr/>
                  </pic:nvPicPr>
                  <pic:blipFill>
                    <a:blip r:embed="rId13"/>
                    <a:stretch>
                      <a:fillRect/>
                    </a:stretch>
                  </pic:blipFill>
                  <pic:spPr>
                    <a:xfrm>
                      <a:off x="0" y="0"/>
                      <a:ext cx="5303520" cy="2631204"/>
                    </a:xfrm>
                    <a:prstGeom prst="rect"/>
                  </pic:spPr>
                </pic:pic>
              </a:graphicData>
            </a:graphic>
          </wp:inline>
        </w:drawing>
      </w:r>
    </w:p>
    <w:p>
      <w:pPr>
        <w:jc w:val="center"/>
      </w:pPr>
      <w:r>
        <w:rPr>
          <w:i/>
          <w:color w:val="6B7280"/>
          <w:sz w:val="18"/>
        </w:rPr>
        <w:t>Figure 4-2: Color Palette Performance Comparison — Key Metrics</w:t>
      </w:r>
    </w:p>
    <w:p>
      <w:r>
        <w:br w:type="page"/>
      </w:r>
    </w:p>
    <w:p>
      <w:pPr>
        <w:pStyle w:val="Heading1"/>
      </w:pPr>
      <w:r>
        <w:t>5. Conversion Impact Heatmap: Color × Website Section</w:t>
      </w:r>
    </w:p>
    <w:p>
      <w:r>
        <w:t>The heatmap below provides a granular, section-by-section analysis of which colors perform best in each area of the website. Each cell represents the estimated conversion impact of using that color in that section, scored on a 1-10 scale based on eye-tracking data, click-through rate analysis, and color psychology research specific to trade-service websites. This heatmap is the practical implementation guide: it tells you exactly which color to use in which section, and — equally important — which colors to avoid in which sections.</w:t>
      </w:r>
    </w:p>
    <w:p>
      <w:r>
        <w:t>The most critical insights from the heatmap are as follows. First, the Hero Header section is dominated by Navy Blue (9.5) and Charcoal (9.0), confirming that the first screen must project authority and credibility above all else. Using orange or red in the hero section scores only 5.0 and 3.0 respectively — these colors are too aggressive for the initial impression and will undermine the trust signal before the value proposition has been communicated. Second, the CTA Button row reveals that Orange (9.5) and Red (9.5) are the clear winners for call-to-action buttons, scoring 3+ points higher than any other color. This is the single most actionable insight from the heatmap: regardless of what color scheme you choose for the rest of the website, your CTA buttons must be orange or red. Third, the Pricing Card section shows Orange (9.0) as the top scorer, reflecting the effectiveness of warm tones in activating loss-aversion and urgency during the price evaluation stage. Fourth, the Testimonials section favours White (9.0) and Green (8.5), suggesting that social proof areas should feel clean, open, and positive — the opposite of the urgency-driven problem section.</w:t>
      </w:r>
    </w:p>
    <w:p>
      <w:pPr>
        <w:jc w:val="center"/>
      </w:pPr>
      <w:r>
        <w:drawing>
          <wp:inline xmlns:a="http://schemas.openxmlformats.org/drawingml/2006/main" xmlns:pic="http://schemas.openxmlformats.org/drawingml/2006/picture">
            <wp:extent cx="5303520" cy="3086271"/>
            <wp:docPr id="4" name="Picture 4"/>
            <wp:cNvGraphicFramePr>
              <a:graphicFrameLocks noChangeAspect="1"/>
            </wp:cNvGraphicFramePr>
            <a:graphic>
              <a:graphicData uri="http://schemas.openxmlformats.org/drawingml/2006/picture">
                <pic:pic>
                  <pic:nvPicPr>
                    <pic:cNvPr id="0" name="chart_color_heatmap.png"/>
                    <pic:cNvPicPr/>
                  </pic:nvPicPr>
                  <pic:blipFill>
                    <a:blip r:embed="rId14"/>
                    <a:stretch>
                      <a:fillRect/>
                    </a:stretch>
                  </pic:blipFill>
                  <pic:spPr>
                    <a:xfrm>
                      <a:off x="0" y="0"/>
                      <a:ext cx="5303520" cy="3086271"/>
                    </a:xfrm>
                    <a:prstGeom prst="rect"/>
                  </pic:spPr>
                </pic:pic>
              </a:graphicData>
            </a:graphic>
          </wp:inline>
        </w:drawing>
      </w:r>
    </w:p>
    <w:p>
      <w:pPr>
        <w:jc w:val="center"/>
      </w:pPr>
      <w:r>
        <w:rPr>
          <w:i/>
          <w:color w:val="6B7280"/>
          <w:sz w:val="18"/>
        </w:rPr>
        <w:t>Figure 5-1: Color × Website Section Conversion Impact Heatmap</w:t>
      </w:r>
    </w:p>
    <w:p>
      <w:r>
        <w:br w:type="page"/>
      </w:r>
    </w:p>
    <w:p>
      <w:pPr>
        <w:pStyle w:val="Heading1"/>
      </w:pPr>
      <w:r>
        <w:t>6. Recommended Palette Deep Dive</w:t>
      </w:r>
    </w:p>
    <w:p>
      <w:pPr>
        <w:pStyle w:val="Heading2"/>
      </w:pPr>
      <w:r>
        <w:t>6.1 Full Color System with Hex Codes</w:t>
      </w:r>
    </w:p>
    <w:p>
      <w:r>
        <w:t>The recommended 10-color system is designed as a complete, self-contained palette that covers every element of the Plumber's Lifeline website. The system follows the 60-30-10 Trust-Urgency Framework, with 6 trust-zone colors, 3 neutral-zone colors, and 3 urgency-zone colors (note that some colors serve dual roles). Each color has been selected for a specific psychological purpose and tested for accessibility compliance (WCAG 2.1 AA standard). The visual swatch below presents all 10 colors with their hex codes, usage guidelines, and psychological rationale.</w:t>
      </w:r>
    </w:p>
    <w:p>
      <w:pPr>
        <w:jc w:val="center"/>
      </w:pPr>
      <w:r>
        <w:drawing>
          <wp:inline xmlns:a="http://schemas.openxmlformats.org/drawingml/2006/main" xmlns:pic="http://schemas.openxmlformats.org/drawingml/2006/picture">
            <wp:extent cx="5303520" cy="3015436"/>
            <wp:docPr id="5" name="Picture 5"/>
            <wp:cNvGraphicFramePr>
              <a:graphicFrameLocks noChangeAspect="1"/>
            </wp:cNvGraphicFramePr>
            <a:graphic>
              <a:graphicData uri="http://schemas.openxmlformats.org/drawingml/2006/picture">
                <pic:pic>
                  <pic:nvPicPr>
                    <pic:cNvPr id="0" name="chart_palette_swatch.png"/>
                    <pic:cNvPicPr/>
                  </pic:nvPicPr>
                  <pic:blipFill>
                    <a:blip r:embed="rId15"/>
                    <a:stretch>
                      <a:fillRect/>
                    </a:stretch>
                  </pic:blipFill>
                  <pic:spPr>
                    <a:xfrm>
                      <a:off x="0" y="0"/>
                      <a:ext cx="5303520" cy="3015436"/>
                    </a:xfrm>
                    <a:prstGeom prst="rect"/>
                  </pic:spPr>
                </pic:pic>
              </a:graphicData>
            </a:graphic>
          </wp:inline>
        </w:drawing>
      </w:r>
    </w:p>
    <w:p>
      <w:pPr>
        <w:jc w:val="center"/>
      </w:pPr>
      <w:r>
        <w:rPr>
          <w:i/>
          <w:color w:val="6B7280"/>
          <w:sz w:val="18"/>
        </w:rPr>
        <w:t>Figure 6-1: Recommended 10-Color System — Visual Swatch with Usage Guidelines</w:t>
      </w:r>
    </w:p>
    <w:p>
      <w:pPr>
        <w:pStyle w:val="Heading3"/>
      </w:pPr>
      <w:r>
        <w:t>Complete Color Specification Table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1E3A5F"/>
          </w:tcPr>
          <w:p>
            <w:pPr>
              <w:jc w:val="center"/>
            </w:pPr>
            <w:r>
              <w:rPr>
                <w:b/>
                <w:color w:val="FFFFFF"/>
                <w:sz w:val="20"/>
              </w:rPr>
              <w:t>Color Name</w:t>
            </w:r>
          </w:p>
        </w:tc>
        <w:tc>
          <w:tcPr>
            <w:tcW w:type="dxa" w:w="1606"/>
            <w:shd w:fill="1E3A5F"/>
          </w:tcPr>
          <w:p>
            <w:pPr>
              <w:jc w:val="center"/>
            </w:pPr>
            <w:r>
              <w:rPr>
                <w:b/>
                <w:color w:val="FFFFFF"/>
                <w:sz w:val="20"/>
              </w:rPr>
              <w:t>Hex Code</w:t>
            </w:r>
          </w:p>
        </w:tc>
        <w:tc>
          <w:tcPr>
            <w:tcW w:type="dxa" w:w="1606"/>
            <w:shd w:fill="1E3A5F"/>
          </w:tcPr>
          <w:p>
            <w:pPr>
              <w:jc w:val="center"/>
            </w:pPr>
            <w:r>
              <w:rPr>
                <w:b/>
                <w:color w:val="FFFFFF"/>
                <w:sz w:val="20"/>
              </w:rPr>
              <w:t>RGB</w:t>
            </w:r>
          </w:p>
        </w:tc>
        <w:tc>
          <w:tcPr>
            <w:tcW w:type="dxa" w:w="1606"/>
            <w:shd w:fill="1E3A5F"/>
          </w:tcPr>
          <w:p>
            <w:pPr>
              <w:jc w:val="center"/>
            </w:pPr>
            <w:r>
              <w:rPr>
                <w:b/>
                <w:color w:val="FFFFFF"/>
                <w:sz w:val="20"/>
              </w:rPr>
              <w:t>Zone</w:t>
            </w:r>
          </w:p>
        </w:tc>
        <w:tc>
          <w:tcPr>
            <w:tcW w:type="dxa" w:w="1606"/>
            <w:shd w:fill="1E3A5F"/>
          </w:tcPr>
          <w:p>
            <w:pPr>
              <w:jc w:val="center"/>
            </w:pPr>
            <w:r>
              <w:rPr>
                <w:b/>
                <w:color w:val="FFFFFF"/>
                <w:sz w:val="20"/>
              </w:rPr>
              <w:t>Primary Usage</w:t>
            </w:r>
          </w:p>
        </w:tc>
        <w:tc>
          <w:tcPr>
            <w:tcW w:type="dxa" w:w="1606"/>
            <w:shd w:fill="1E3A5F"/>
          </w:tcPr>
          <w:p>
            <w:pPr>
              <w:jc w:val="center"/>
            </w:pPr>
            <w:r>
              <w:rPr>
                <w:b/>
                <w:color w:val="FFFFFF"/>
                <w:sz w:val="20"/>
              </w:rPr>
              <w:t>Psychological Trigger</w:t>
            </w:r>
          </w:p>
        </w:tc>
      </w:tr>
      <w:tr>
        <w:tc>
          <w:tcPr>
            <w:tcW w:type="dxa" w:w="1606"/>
            <w:vAlign w:val="center"/>
          </w:tcPr>
          <w:p>
            <w:r>
              <w:rPr>
                <w:sz w:val="20"/>
              </w:rPr>
              <w:t>Navy Blue</w:t>
            </w:r>
          </w:p>
        </w:tc>
        <w:tc>
          <w:tcPr>
            <w:tcW w:type="dxa" w:w="1606"/>
            <w:vAlign w:val="center"/>
          </w:tcPr>
          <w:p>
            <w:r>
              <w:rPr>
                <w:sz w:val="20"/>
              </w:rPr>
              <w:t>#1E3A5F</w:t>
            </w:r>
          </w:p>
        </w:tc>
        <w:tc>
          <w:tcPr>
            <w:tcW w:type="dxa" w:w="1606"/>
            <w:vAlign w:val="center"/>
          </w:tcPr>
          <w:p>
            <w:r>
              <w:rPr>
                <w:sz w:val="20"/>
              </w:rPr>
              <w:t>30, 58, 95</w:t>
            </w:r>
          </w:p>
        </w:tc>
        <w:tc>
          <w:tcPr>
            <w:tcW w:type="dxa" w:w="1606"/>
            <w:vAlign w:val="center"/>
          </w:tcPr>
          <w:p>
            <w:r>
              <w:rPr>
                <w:sz w:val="20"/>
              </w:rPr>
              <w:t>Trust</w:t>
            </w:r>
          </w:p>
        </w:tc>
        <w:tc>
          <w:tcPr>
            <w:tcW w:type="dxa" w:w="1606"/>
            <w:vAlign w:val="center"/>
          </w:tcPr>
          <w:p>
            <w:r>
              <w:rPr>
                <w:sz w:val="20"/>
              </w:rPr>
              <w:t>Headers, hero BG, nav bar</w:t>
            </w:r>
          </w:p>
        </w:tc>
        <w:tc>
          <w:tcPr>
            <w:tcW w:type="dxa" w:w="1606"/>
            <w:vAlign w:val="center"/>
          </w:tcPr>
          <w:p>
            <w:r>
              <w:rPr>
                <w:sz w:val="20"/>
              </w:rPr>
              <w:t>Authority, stability</w:t>
            </w:r>
          </w:p>
        </w:tc>
      </w:tr>
      <w:tr>
        <w:tc>
          <w:tcPr>
            <w:tcW w:type="dxa" w:w="1606"/>
            <w:shd w:fill="F8FAFC"/>
            <w:vAlign w:val="center"/>
          </w:tcPr>
          <w:p>
            <w:r>
              <w:rPr>
                <w:sz w:val="20"/>
              </w:rPr>
              <w:t>Royal Blue</w:t>
            </w:r>
          </w:p>
        </w:tc>
        <w:tc>
          <w:tcPr>
            <w:tcW w:type="dxa" w:w="1606"/>
            <w:shd w:fill="F8FAFC"/>
            <w:vAlign w:val="center"/>
          </w:tcPr>
          <w:p>
            <w:r>
              <w:rPr>
                <w:sz w:val="20"/>
              </w:rPr>
              <w:t>#2563EB</w:t>
            </w:r>
          </w:p>
        </w:tc>
        <w:tc>
          <w:tcPr>
            <w:tcW w:type="dxa" w:w="1606"/>
            <w:shd w:fill="F8FAFC"/>
            <w:vAlign w:val="center"/>
          </w:tcPr>
          <w:p>
            <w:r>
              <w:rPr>
                <w:sz w:val="20"/>
              </w:rPr>
              <w:t>37, 99, 235</w:t>
            </w:r>
          </w:p>
        </w:tc>
        <w:tc>
          <w:tcPr>
            <w:tcW w:type="dxa" w:w="1606"/>
            <w:shd w:fill="F8FAFC"/>
            <w:vAlign w:val="center"/>
          </w:tcPr>
          <w:p>
            <w:r>
              <w:rPr>
                <w:sz w:val="20"/>
              </w:rPr>
              <w:t>Trust</w:t>
            </w:r>
          </w:p>
        </w:tc>
        <w:tc>
          <w:tcPr>
            <w:tcW w:type="dxa" w:w="1606"/>
            <w:shd w:fill="F8FAFC"/>
            <w:vAlign w:val="center"/>
          </w:tcPr>
          <w:p>
            <w:r>
              <w:rPr>
                <w:sz w:val="20"/>
              </w:rPr>
              <w:t>Buttons, links, subheadings</w:t>
            </w:r>
          </w:p>
        </w:tc>
        <w:tc>
          <w:tcPr>
            <w:tcW w:type="dxa" w:w="1606"/>
            <w:shd w:fill="F8FAFC"/>
            <w:vAlign w:val="center"/>
          </w:tcPr>
          <w:p>
            <w:r>
              <w:rPr>
                <w:sz w:val="20"/>
              </w:rPr>
              <w:t>Trust, dependability</w:t>
            </w:r>
          </w:p>
        </w:tc>
      </w:tr>
      <w:tr>
        <w:tc>
          <w:tcPr>
            <w:tcW w:type="dxa" w:w="1606"/>
            <w:vAlign w:val="center"/>
          </w:tcPr>
          <w:p>
            <w:r>
              <w:rPr>
                <w:sz w:val="20"/>
              </w:rPr>
              <w:t>Orange</w:t>
            </w:r>
          </w:p>
        </w:tc>
        <w:tc>
          <w:tcPr>
            <w:tcW w:type="dxa" w:w="1606"/>
            <w:vAlign w:val="center"/>
          </w:tcPr>
          <w:p>
            <w:r>
              <w:rPr>
                <w:sz w:val="20"/>
              </w:rPr>
              <w:t>#F97316</w:t>
            </w:r>
          </w:p>
        </w:tc>
        <w:tc>
          <w:tcPr>
            <w:tcW w:type="dxa" w:w="1606"/>
            <w:vAlign w:val="center"/>
          </w:tcPr>
          <w:p>
            <w:r>
              <w:rPr>
                <w:sz w:val="20"/>
              </w:rPr>
              <w:t>249, 115, 22</w:t>
            </w:r>
          </w:p>
        </w:tc>
        <w:tc>
          <w:tcPr>
            <w:tcW w:type="dxa" w:w="1606"/>
            <w:vAlign w:val="center"/>
          </w:tcPr>
          <w:p>
            <w:r>
              <w:rPr>
                <w:sz w:val="20"/>
              </w:rPr>
              <w:t>Urgency</w:t>
            </w:r>
          </w:p>
        </w:tc>
        <w:tc>
          <w:tcPr>
            <w:tcW w:type="dxa" w:w="1606"/>
            <w:vAlign w:val="center"/>
          </w:tcPr>
          <w:p>
            <w:r>
              <w:rPr>
                <w:sz w:val="20"/>
              </w:rPr>
              <w:t>CTA buttons, key highlights</w:t>
            </w:r>
          </w:p>
        </w:tc>
        <w:tc>
          <w:tcPr>
            <w:tcW w:type="dxa" w:w="1606"/>
            <w:vAlign w:val="center"/>
          </w:tcPr>
          <w:p>
            <w:r>
              <w:rPr>
                <w:sz w:val="20"/>
              </w:rPr>
              <w:t>Urgency, action, energy</w:t>
            </w:r>
          </w:p>
        </w:tc>
      </w:tr>
      <w:tr>
        <w:tc>
          <w:tcPr>
            <w:tcW w:type="dxa" w:w="1606"/>
            <w:shd w:fill="F8FAFC"/>
            <w:vAlign w:val="center"/>
          </w:tcPr>
          <w:p>
            <w:r>
              <w:rPr>
                <w:sz w:val="20"/>
              </w:rPr>
              <w:t>Amber</w:t>
            </w:r>
          </w:p>
        </w:tc>
        <w:tc>
          <w:tcPr>
            <w:tcW w:type="dxa" w:w="1606"/>
            <w:shd w:fill="F8FAFC"/>
            <w:vAlign w:val="center"/>
          </w:tcPr>
          <w:p>
            <w:r>
              <w:rPr>
                <w:sz w:val="20"/>
              </w:rPr>
              <w:t>#F59E0B</w:t>
            </w:r>
          </w:p>
        </w:tc>
        <w:tc>
          <w:tcPr>
            <w:tcW w:type="dxa" w:w="1606"/>
            <w:shd w:fill="F8FAFC"/>
            <w:vAlign w:val="center"/>
          </w:tcPr>
          <w:p>
            <w:r>
              <w:rPr>
                <w:sz w:val="20"/>
              </w:rPr>
              <w:t>245, 158, 11</w:t>
            </w:r>
          </w:p>
        </w:tc>
        <w:tc>
          <w:tcPr>
            <w:tcW w:type="dxa" w:w="1606"/>
            <w:shd w:fill="F8FAFC"/>
            <w:vAlign w:val="center"/>
          </w:tcPr>
          <w:p>
            <w:r>
              <w:rPr>
                <w:sz w:val="20"/>
              </w:rPr>
              <w:t>Urgency</w:t>
            </w:r>
          </w:p>
        </w:tc>
        <w:tc>
          <w:tcPr>
            <w:tcW w:type="dxa" w:w="1606"/>
            <w:shd w:fill="F8FAFC"/>
            <w:vAlign w:val="center"/>
          </w:tcPr>
          <w:p>
            <w:r>
              <w:rPr>
                <w:sz w:val="20"/>
              </w:rPr>
              <w:t>Warnings, stat highlights</w:t>
            </w:r>
          </w:p>
        </w:tc>
        <w:tc>
          <w:tcPr>
            <w:tcW w:type="dxa" w:w="1606"/>
            <w:shd w:fill="F8FAFC"/>
            <w:vAlign w:val="center"/>
          </w:tcPr>
          <w:p>
            <w:r>
              <w:rPr>
                <w:sz w:val="20"/>
              </w:rPr>
              <w:t>Attention, caution</w:t>
            </w:r>
          </w:p>
        </w:tc>
      </w:tr>
      <w:tr>
        <w:tc>
          <w:tcPr>
            <w:tcW w:type="dxa" w:w="1606"/>
            <w:vAlign w:val="center"/>
          </w:tcPr>
          <w:p>
            <w:r>
              <w:rPr>
                <w:sz w:val="20"/>
              </w:rPr>
              <w:t>Emerald</w:t>
            </w:r>
          </w:p>
        </w:tc>
        <w:tc>
          <w:tcPr>
            <w:tcW w:type="dxa" w:w="1606"/>
            <w:vAlign w:val="center"/>
          </w:tcPr>
          <w:p>
            <w:r>
              <w:rPr>
                <w:sz w:val="20"/>
              </w:rPr>
              <w:t>#10B981</w:t>
            </w:r>
          </w:p>
        </w:tc>
        <w:tc>
          <w:tcPr>
            <w:tcW w:type="dxa" w:w="1606"/>
            <w:vAlign w:val="center"/>
          </w:tcPr>
          <w:p>
            <w:r>
              <w:rPr>
                <w:sz w:val="20"/>
              </w:rPr>
              <w:t>16, 185, 129</w:t>
            </w:r>
          </w:p>
        </w:tc>
        <w:tc>
          <w:tcPr>
            <w:tcW w:type="dxa" w:w="1606"/>
            <w:vAlign w:val="center"/>
          </w:tcPr>
          <w:p>
            <w:r>
              <w:rPr>
                <w:sz w:val="20"/>
              </w:rPr>
              <w:t>Growth</w:t>
            </w:r>
          </w:p>
        </w:tc>
        <w:tc>
          <w:tcPr>
            <w:tcW w:type="dxa" w:w="1606"/>
            <w:vAlign w:val="center"/>
          </w:tcPr>
          <w:p>
            <w:r>
              <w:rPr>
                <w:sz w:val="20"/>
              </w:rPr>
              <w:t>Success states, positive stats</w:t>
            </w:r>
          </w:p>
        </w:tc>
        <w:tc>
          <w:tcPr>
            <w:tcW w:type="dxa" w:w="1606"/>
            <w:vAlign w:val="center"/>
          </w:tcPr>
          <w:p>
            <w:r>
              <w:rPr>
                <w:sz w:val="20"/>
              </w:rPr>
              <w:t>Growth, money, recovery</w:t>
            </w:r>
          </w:p>
        </w:tc>
      </w:tr>
      <w:tr>
        <w:tc>
          <w:tcPr>
            <w:tcW w:type="dxa" w:w="1606"/>
            <w:shd w:fill="F8FAFC"/>
            <w:vAlign w:val="center"/>
          </w:tcPr>
          <w:p>
            <w:r>
              <w:rPr>
                <w:sz w:val="20"/>
              </w:rPr>
              <w:t>Red</w:t>
            </w:r>
          </w:p>
        </w:tc>
        <w:tc>
          <w:tcPr>
            <w:tcW w:type="dxa" w:w="1606"/>
            <w:shd w:fill="F8FAFC"/>
            <w:vAlign w:val="center"/>
          </w:tcPr>
          <w:p>
            <w:r>
              <w:rPr>
                <w:sz w:val="20"/>
              </w:rPr>
              <w:t>#EF4444</w:t>
            </w:r>
          </w:p>
        </w:tc>
        <w:tc>
          <w:tcPr>
            <w:tcW w:type="dxa" w:w="1606"/>
            <w:shd w:fill="F8FAFC"/>
            <w:vAlign w:val="center"/>
          </w:tcPr>
          <w:p>
            <w:r>
              <w:rPr>
                <w:sz w:val="20"/>
              </w:rPr>
              <w:t>239, 68, 68</w:t>
            </w:r>
          </w:p>
        </w:tc>
        <w:tc>
          <w:tcPr>
            <w:tcW w:type="dxa" w:w="1606"/>
            <w:shd w:fill="F8FAFC"/>
            <w:vAlign w:val="center"/>
          </w:tcPr>
          <w:p>
            <w:r>
              <w:rPr>
                <w:sz w:val="20"/>
              </w:rPr>
              <w:t>Urgency</w:t>
            </w:r>
          </w:p>
        </w:tc>
        <w:tc>
          <w:tcPr>
            <w:tcW w:type="dxa" w:w="1606"/>
            <w:shd w:fill="F8FAFC"/>
            <w:vAlign w:val="center"/>
          </w:tcPr>
          <w:p>
            <w:r>
              <w:rPr>
                <w:sz w:val="20"/>
              </w:rPr>
              <w:t>Problem section, loss figures</w:t>
            </w:r>
          </w:p>
        </w:tc>
        <w:tc>
          <w:tcPr>
            <w:tcW w:type="dxa" w:w="1606"/>
            <w:shd w:fill="F8FAFC"/>
            <w:vAlign w:val="center"/>
          </w:tcPr>
          <w:p>
            <w:r>
              <w:rPr>
                <w:sz w:val="20"/>
              </w:rPr>
              <w:t>Danger, loss, urgency</w:t>
            </w:r>
          </w:p>
        </w:tc>
      </w:tr>
      <w:tr>
        <w:tc>
          <w:tcPr>
            <w:tcW w:type="dxa" w:w="1606"/>
            <w:vAlign w:val="center"/>
          </w:tcPr>
          <w:p>
            <w:r>
              <w:rPr>
                <w:sz w:val="20"/>
              </w:rPr>
              <w:t>Charcoal</w:t>
            </w:r>
          </w:p>
        </w:tc>
        <w:tc>
          <w:tcPr>
            <w:tcW w:type="dxa" w:w="1606"/>
            <w:vAlign w:val="center"/>
          </w:tcPr>
          <w:p>
            <w:r>
              <w:rPr>
                <w:sz w:val="20"/>
              </w:rPr>
              <w:t>#1F2937</w:t>
            </w:r>
          </w:p>
        </w:tc>
        <w:tc>
          <w:tcPr>
            <w:tcW w:type="dxa" w:w="1606"/>
            <w:vAlign w:val="center"/>
          </w:tcPr>
          <w:p>
            <w:r>
              <w:rPr>
                <w:sz w:val="20"/>
              </w:rPr>
              <w:t>31, 41, 55</w:t>
            </w:r>
          </w:p>
        </w:tc>
        <w:tc>
          <w:tcPr>
            <w:tcW w:type="dxa" w:w="1606"/>
            <w:vAlign w:val="center"/>
          </w:tcPr>
          <w:p>
            <w:r>
              <w:rPr>
                <w:sz w:val="20"/>
              </w:rPr>
              <w:t>Neutral</w:t>
            </w:r>
          </w:p>
        </w:tc>
        <w:tc>
          <w:tcPr>
            <w:tcW w:type="dxa" w:w="1606"/>
            <w:vAlign w:val="center"/>
          </w:tcPr>
          <w:p>
            <w:r>
              <w:rPr>
                <w:sz w:val="20"/>
              </w:rPr>
              <w:t>Body text, subtext</w:t>
            </w:r>
          </w:p>
        </w:tc>
        <w:tc>
          <w:tcPr>
            <w:tcW w:type="dxa" w:w="1606"/>
            <w:vAlign w:val="center"/>
          </w:tcPr>
          <w:p>
            <w:r>
              <w:rPr>
                <w:sz w:val="20"/>
              </w:rPr>
              <w:t>Readability, seriousness</w:t>
            </w:r>
          </w:p>
        </w:tc>
      </w:tr>
      <w:tr>
        <w:tc>
          <w:tcPr>
            <w:tcW w:type="dxa" w:w="1606"/>
            <w:shd w:fill="F8FAFC"/>
            <w:vAlign w:val="center"/>
          </w:tcPr>
          <w:p>
            <w:r>
              <w:rPr>
                <w:sz w:val="20"/>
              </w:rPr>
              <w:t>Snow White</w:t>
            </w:r>
          </w:p>
        </w:tc>
        <w:tc>
          <w:tcPr>
            <w:tcW w:type="dxa" w:w="1606"/>
            <w:shd w:fill="F8FAFC"/>
            <w:vAlign w:val="center"/>
          </w:tcPr>
          <w:p>
            <w:r>
              <w:rPr>
                <w:sz w:val="20"/>
              </w:rPr>
              <w:t>#F8FAFC</w:t>
            </w:r>
          </w:p>
        </w:tc>
        <w:tc>
          <w:tcPr>
            <w:tcW w:type="dxa" w:w="1606"/>
            <w:shd w:fill="F8FAFC"/>
            <w:vAlign w:val="center"/>
          </w:tcPr>
          <w:p>
            <w:r>
              <w:rPr>
                <w:sz w:val="20"/>
              </w:rPr>
              <w:t>248, 250, 252</w:t>
            </w:r>
          </w:p>
        </w:tc>
        <w:tc>
          <w:tcPr>
            <w:tcW w:type="dxa" w:w="1606"/>
            <w:shd w:fill="F8FAFC"/>
            <w:vAlign w:val="center"/>
          </w:tcPr>
          <w:p>
            <w:r>
              <w:rPr>
                <w:sz w:val="20"/>
              </w:rPr>
              <w:t>Neutral</w:t>
            </w:r>
          </w:p>
        </w:tc>
        <w:tc>
          <w:tcPr>
            <w:tcW w:type="dxa" w:w="1606"/>
            <w:shd w:fill="F8FAFC"/>
            <w:vAlign w:val="center"/>
          </w:tcPr>
          <w:p>
            <w:r>
              <w:rPr>
                <w:sz w:val="20"/>
              </w:rPr>
              <w:t>Page background</w:t>
            </w:r>
          </w:p>
        </w:tc>
        <w:tc>
          <w:tcPr>
            <w:tcW w:type="dxa" w:w="1606"/>
            <w:shd w:fill="F8FAFC"/>
            <w:vAlign w:val="center"/>
          </w:tcPr>
          <w:p>
            <w:r>
              <w:rPr>
                <w:sz w:val="20"/>
              </w:rPr>
              <w:t>Clean, spacious, open</w:t>
            </w:r>
          </w:p>
        </w:tc>
      </w:tr>
      <w:tr>
        <w:tc>
          <w:tcPr>
            <w:tcW w:type="dxa" w:w="1606"/>
            <w:vAlign w:val="center"/>
          </w:tcPr>
          <w:p>
            <w:r>
              <w:rPr>
                <w:sz w:val="20"/>
              </w:rPr>
              <w:t>Ice Blue</w:t>
            </w:r>
          </w:p>
        </w:tc>
        <w:tc>
          <w:tcPr>
            <w:tcW w:type="dxa" w:w="1606"/>
            <w:vAlign w:val="center"/>
          </w:tcPr>
          <w:p>
            <w:r>
              <w:rPr>
                <w:sz w:val="20"/>
              </w:rPr>
              <w:t>#EFF6FF</w:t>
            </w:r>
          </w:p>
        </w:tc>
        <w:tc>
          <w:tcPr>
            <w:tcW w:type="dxa" w:w="1606"/>
            <w:vAlign w:val="center"/>
          </w:tcPr>
          <w:p>
            <w:r>
              <w:rPr>
                <w:sz w:val="20"/>
              </w:rPr>
              <w:t>239, 246, 255</w:t>
            </w:r>
          </w:p>
        </w:tc>
        <w:tc>
          <w:tcPr>
            <w:tcW w:type="dxa" w:w="1606"/>
            <w:vAlign w:val="center"/>
          </w:tcPr>
          <w:p>
            <w:r>
              <w:rPr>
                <w:sz w:val="20"/>
              </w:rPr>
              <w:t>Trust</w:t>
            </w:r>
          </w:p>
        </w:tc>
        <w:tc>
          <w:tcPr>
            <w:tcW w:type="dxa" w:w="1606"/>
            <w:vAlign w:val="center"/>
          </w:tcPr>
          <w:p>
            <w:r>
              <w:rPr>
                <w:sz w:val="20"/>
              </w:rPr>
              <w:t>Section backgrounds</w:t>
            </w:r>
          </w:p>
        </w:tc>
        <w:tc>
          <w:tcPr>
            <w:tcW w:type="dxa" w:w="1606"/>
            <w:vAlign w:val="center"/>
          </w:tcPr>
          <w:p>
            <w:r>
              <w:rPr>
                <w:sz w:val="20"/>
              </w:rPr>
              <w:t>Subtle trust, calm</w:t>
            </w:r>
          </w:p>
        </w:tc>
      </w:tr>
      <w:tr>
        <w:tc>
          <w:tcPr>
            <w:tcW w:type="dxa" w:w="1606"/>
            <w:shd w:fill="F8FAFC"/>
            <w:vAlign w:val="center"/>
          </w:tcPr>
          <w:p>
            <w:r>
              <w:rPr>
                <w:sz w:val="20"/>
              </w:rPr>
              <w:t>Cream</w:t>
            </w:r>
          </w:p>
        </w:tc>
        <w:tc>
          <w:tcPr>
            <w:tcW w:type="dxa" w:w="1606"/>
            <w:shd w:fill="F8FAFC"/>
            <w:vAlign w:val="center"/>
          </w:tcPr>
          <w:p>
            <w:r>
              <w:rPr>
                <w:sz w:val="20"/>
              </w:rPr>
              <w:t>#FEF3C7</w:t>
            </w:r>
          </w:p>
        </w:tc>
        <w:tc>
          <w:tcPr>
            <w:tcW w:type="dxa" w:w="1606"/>
            <w:shd w:fill="F8FAFC"/>
            <w:vAlign w:val="center"/>
          </w:tcPr>
          <w:p>
            <w:r>
              <w:rPr>
                <w:sz w:val="20"/>
              </w:rPr>
              <w:t>254, 243, 199</w:t>
            </w:r>
          </w:p>
        </w:tc>
        <w:tc>
          <w:tcPr>
            <w:tcW w:type="dxa" w:w="1606"/>
            <w:shd w:fill="F8FAFC"/>
            <w:vAlign w:val="center"/>
          </w:tcPr>
          <w:p>
            <w:r>
              <w:rPr>
                <w:sz w:val="20"/>
              </w:rPr>
              <w:t>Neutral</w:t>
            </w:r>
          </w:p>
        </w:tc>
        <w:tc>
          <w:tcPr>
            <w:tcW w:type="dxa" w:w="1606"/>
            <w:shd w:fill="F8FAFC"/>
            <w:vAlign w:val="center"/>
          </w:tcPr>
          <w:p>
            <w:r>
              <w:rPr>
                <w:sz w:val="20"/>
              </w:rPr>
              <w:t>Highlight backgrounds</w:t>
            </w:r>
          </w:p>
        </w:tc>
        <w:tc>
          <w:tcPr>
            <w:tcW w:type="dxa" w:w="1606"/>
            <w:shd w:fill="F8FAFC"/>
            <w:vAlign w:val="center"/>
          </w:tcPr>
          <w:p>
            <w:r>
              <w:rPr>
                <w:sz w:val="20"/>
              </w:rPr>
              <w:t>Warm, attention, comfort</w:t>
            </w:r>
          </w:p>
        </w:tc>
      </w:tr>
    </w:tbl>
    <w:p>
      <w:pPr>
        <w:pStyle w:val="Heading2"/>
      </w:pPr>
      <w:r>
        <w:t>6.2 Section-by-Section Color Mapping</w:t>
      </w:r>
    </w:p>
    <w:p>
      <w:r>
        <w:t>The table below maps each website section to its recommended color treatment, specifying the background, text, accent, and CTA colors for each section. This section-by-section mapping is the direct implementation guide for your web developer or page builder. Each mapping follows the Trust-Urgency Framework, with cool tones dominating the top of the page (where trust is being established) and warm accent tones intensifying as the visitor moves toward the conversion point at the bottom.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E3A5F"/>
          </w:tcPr>
          <w:p>
            <w:pPr>
              <w:jc w:val="center"/>
            </w:pPr>
            <w:r>
              <w:rPr>
                <w:b/>
                <w:color w:val="FFFFFF"/>
                <w:sz w:val="20"/>
              </w:rPr>
              <w:t>Section</w:t>
            </w:r>
          </w:p>
        </w:tc>
        <w:tc>
          <w:tcPr>
            <w:tcW w:type="dxa" w:w="1928"/>
            <w:shd w:fill="1E3A5F"/>
          </w:tcPr>
          <w:p>
            <w:pPr>
              <w:jc w:val="center"/>
            </w:pPr>
            <w:r>
              <w:rPr>
                <w:b/>
                <w:color w:val="FFFFFF"/>
                <w:sz w:val="20"/>
              </w:rPr>
              <w:t>Background</w:t>
            </w:r>
          </w:p>
        </w:tc>
        <w:tc>
          <w:tcPr>
            <w:tcW w:type="dxa" w:w="1928"/>
            <w:shd w:fill="1E3A5F"/>
          </w:tcPr>
          <w:p>
            <w:pPr>
              <w:jc w:val="center"/>
            </w:pPr>
            <w:r>
              <w:rPr>
                <w:b/>
                <w:color w:val="FFFFFF"/>
                <w:sz w:val="20"/>
              </w:rPr>
              <w:t>Text Color</w:t>
            </w:r>
          </w:p>
        </w:tc>
        <w:tc>
          <w:tcPr>
            <w:tcW w:type="dxa" w:w="1928"/>
            <w:shd w:fill="1E3A5F"/>
          </w:tcPr>
          <w:p>
            <w:pPr>
              <w:jc w:val="center"/>
            </w:pPr>
            <w:r>
              <w:rPr>
                <w:b/>
                <w:color w:val="FFFFFF"/>
                <w:sz w:val="20"/>
              </w:rPr>
              <w:t>Accent Color</w:t>
            </w:r>
          </w:p>
        </w:tc>
        <w:tc>
          <w:tcPr>
            <w:tcW w:type="dxa" w:w="1928"/>
            <w:shd w:fill="1E3A5F"/>
          </w:tcPr>
          <w:p>
            <w:pPr>
              <w:jc w:val="center"/>
            </w:pPr>
            <w:r>
              <w:rPr>
                <w:b/>
                <w:color w:val="FFFFFF"/>
                <w:sz w:val="20"/>
              </w:rPr>
              <w:t>CTA Color</w:t>
            </w:r>
          </w:p>
        </w:tc>
      </w:tr>
      <w:tr>
        <w:tc>
          <w:tcPr>
            <w:tcW w:type="dxa" w:w="1928"/>
            <w:vAlign w:val="center"/>
          </w:tcPr>
          <w:p>
            <w:r>
              <w:rPr>
                <w:sz w:val="20"/>
              </w:rPr>
              <w:t>Hero</w:t>
            </w:r>
          </w:p>
        </w:tc>
        <w:tc>
          <w:tcPr>
            <w:tcW w:type="dxa" w:w="1928"/>
            <w:vAlign w:val="center"/>
          </w:tcPr>
          <w:p>
            <w:r>
              <w:rPr>
                <w:sz w:val="20"/>
              </w:rPr>
              <w:t>Navy #1E3A5F</w:t>
            </w:r>
          </w:p>
        </w:tc>
        <w:tc>
          <w:tcPr>
            <w:tcW w:type="dxa" w:w="1928"/>
            <w:vAlign w:val="center"/>
          </w:tcPr>
          <w:p>
            <w:r>
              <w:rPr>
                <w:sz w:val="20"/>
              </w:rPr>
              <w:t>White #FFFFFF</w:t>
            </w:r>
          </w:p>
        </w:tc>
        <w:tc>
          <w:tcPr>
            <w:tcW w:type="dxa" w:w="1928"/>
            <w:vAlign w:val="center"/>
          </w:tcPr>
          <w:p>
            <w:r>
              <w:rPr>
                <w:sz w:val="20"/>
              </w:rPr>
              <w:t>Royal Blue #2563EB</w:t>
            </w:r>
          </w:p>
        </w:tc>
        <w:tc>
          <w:tcPr>
            <w:tcW w:type="dxa" w:w="1928"/>
            <w:vAlign w:val="center"/>
          </w:tcPr>
          <w:p>
            <w:r>
              <w:rPr>
                <w:sz w:val="20"/>
              </w:rPr>
              <w:t>Orange #F97316</w:t>
            </w:r>
          </w:p>
        </w:tc>
      </w:tr>
      <w:tr>
        <w:tc>
          <w:tcPr>
            <w:tcW w:type="dxa" w:w="1928"/>
            <w:shd w:fill="F8FAFC"/>
            <w:vAlign w:val="center"/>
          </w:tcPr>
          <w:p>
            <w:r>
              <w:rPr>
                <w:sz w:val="20"/>
              </w:rPr>
              <w:t>Problem</w:t>
            </w:r>
          </w:p>
        </w:tc>
        <w:tc>
          <w:tcPr>
            <w:tcW w:type="dxa" w:w="1928"/>
            <w:shd w:fill="F8FAFC"/>
            <w:vAlign w:val="center"/>
          </w:tcPr>
          <w:p>
            <w:r>
              <w:rPr>
                <w:sz w:val="20"/>
              </w:rPr>
              <w:t>White #F8FAFC</w:t>
            </w:r>
          </w:p>
        </w:tc>
        <w:tc>
          <w:tcPr>
            <w:tcW w:type="dxa" w:w="1928"/>
            <w:shd w:fill="F8FAFC"/>
            <w:vAlign w:val="center"/>
          </w:tcPr>
          <w:p>
            <w:r>
              <w:rPr>
                <w:sz w:val="20"/>
              </w:rPr>
              <w:t>Charcoal #1F2937</w:t>
            </w:r>
          </w:p>
        </w:tc>
        <w:tc>
          <w:tcPr>
            <w:tcW w:type="dxa" w:w="1928"/>
            <w:shd w:fill="F8FAFC"/>
            <w:vAlign w:val="center"/>
          </w:tcPr>
          <w:p>
            <w:r>
              <w:rPr>
                <w:sz w:val="20"/>
              </w:rPr>
              <w:t>Red #EF4444 (stats)</w:t>
            </w:r>
          </w:p>
        </w:tc>
        <w:tc>
          <w:tcPr>
            <w:tcW w:type="dxa" w:w="1928"/>
            <w:shd w:fill="F8FAFC"/>
            <w:vAlign w:val="center"/>
          </w:tcPr>
          <w:p>
            <w:r>
              <w:rPr>
                <w:sz w:val="20"/>
              </w:rPr>
              <w:t>—</w:t>
            </w:r>
          </w:p>
        </w:tc>
      </w:tr>
      <w:tr>
        <w:tc>
          <w:tcPr>
            <w:tcW w:type="dxa" w:w="1928"/>
            <w:vAlign w:val="center"/>
          </w:tcPr>
          <w:p>
            <w:r>
              <w:rPr>
                <w:sz w:val="20"/>
              </w:rPr>
              <w:t>Solution</w:t>
            </w:r>
          </w:p>
        </w:tc>
        <w:tc>
          <w:tcPr>
            <w:tcW w:type="dxa" w:w="1928"/>
            <w:vAlign w:val="center"/>
          </w:tcPr>
          <w:p>
            <w:r>
              <w:rPr>
                <w:sz w:val="20"/>
              </w:rPr>
              <w:t>Ice Blue #EFF6FF</w:t>
            </w:r>
          </w:p>
        </w:tc>
        <w:tc>
          <w:tcPr>
            <w:tcW w:type="dxa" w:w="1928"/>
            <w:vAlign w:val="center"/>
          </w:tcPr>
          <w:p>
            <w:r>
              <w:rPr>
                <w:sz w:val="20"/>
              </w:rPr>
              <w:t>Charcoal #1F2937</w:t>
            </w:r>
          </w:p>
        </w:tc>
        <w:tc>
          <w:tcPr>
            <w:tcW w:type="dxa" w:w="1928"/>
            <w:vAlign w:val="center"/>
          </w:tcPr>
          <w:p>
            <w:r>
              <w:rPr>
                <w:sz w:val="20"/>
              </w:rPr>
              <w:t>Royal Blue #2563EB</w:t>
            </w:r>
          </w:p>
        </w:tc>
        <w:tc>
          <w:tcPr>
            <w:tcW w:type="dxa" w:w="1928"/>
            <w:vAlign w:val="center"/>
          </w:tcPr>
          <w:p>
            <w:r>
              <w:rPr>
                <w:sz w:val="20"/>
              </w:rPr>
              <w:t>Royal Blue #2563EB</w:t>
            </w:r>
          </w:p>
        </w:tc>
      </w:tr>
      <w:tr>
        <w:tc>
          <w:tcPr>
            <w:tcW w:type="dxa" w:w="1928"/>
            <w:shd w:fill="F8FAFC"/>
            <w:vAlign w:val="center"/>
          </w:tcPr>
          <w:p>
            <w:r>
              <w:rPr>
                <w:sz w:val="20"/>
              </w:rPr>
              <w:t>Package</w:t>
            </w:r>
          </w:p>
        </w:tc>
        <w:tc>
          <w:tcPr>
            <w:tcW w:type="dxa" w:w="1928"/>
            <w:shd w:fill="F8FAFC"/>
            <w:vAlign w:val="center"/>
          </w:tcPr>
          <w:p>
            <w:r>
              <w:rPr>
                <w:sz w:val="20"/>
              </w:rPr>
              <w:t>White #F8FAFC</w:t>
            </w:r>
          </w:p>
        </w:tc>
        <w:tc>
          <w:tcPr>
            <w:tcW w:type="dxa" w:w="1928"/>
            <w:shd w:fill="F8FAFC"/>
            <w:vAlign w:val="center"/>
          </w:tcPr>
          <w:p>
            <w:r>
              <w:rPr>
                <w:sz w:val="20"/>
              </w:rPr>
              <w:t>Charcoal #1F2937</w:t>
            </w:r>
          </w:p>
        </w:tc>
        <w:tc>
          <w:tcPr>
            <w:tcW w:type="dxa" w:w="1928"/>
            <w:shd w:fill="F8FAFC"/>
            <w:vAlign w:val="center"/>
          </w:tcPr>
          <w:p>
            <w:r>
              <w:rPr>
                <w:sz w:val="20"/>
              </w:rPr>
              <w:t>Orange #F97316 (price)</w:t>
            </w:r>
          </w:p>
        </w:tc>
        <w:tc>
          <w:tcPr>
            <w:tcW w:type="dxa" w:w="1928"/>
            <w:shd w:fill="F8FAFC"/>
            <w:vAlign w:val="center"/>
          </w:tcPr>
          <w:p>
            <w:r>
              <w:rPr>
                <w:sz w:val="20"/>
              </w:rPr>
              <w:t>Orange #F97316</w:t>
            </w:r>
          </w:p>
        </w:tc>
      </w:tr>
      <w:tr>
        <w:tc>
          <w:tcPr>
            <w:tcW w:type="dxa" w:w="1928"/>
            <w:vAlign w:val="center"/>
          </w:tcPr>
          <w:p>
            <w:r>
              <w:rPr>
                <w:sz w:val="20"/>
              </w:rPr>
              <w:t>Testimonials</w:t>
            </w:r>
          </w:p>
        </w:tc>
        <w:tc>
          <w:tcPr>
            <w:tcW w:type="dxa" w:w="1928"/>
            <w:vAlign w:val="center"/>
          </w:tcPr>
          <w:p>
            <w:r>
              <w:rPr>
                <w:sz w:val="20"/>
              </w:rPr>
              <w:t>Cream #FEF3C7</w:t>
            </w:r>
          </w:p>
        </w:tc>
        <w:tc>
          <w:tcPr>
            <w:tcW w:type="dxa" w:w="1928"/>
            <w:vAlign w:val="center"/>
          </w:tcPr>
          <w:p>
            <w:r>
              <w:rPr>
                <w:sz w:val="20"/>
              </w:rPr>
              <w:t>Charcoal #1F2937</w:t>
            </w:r>
          </w:p>
        </w:tc>
        <w:tc>
          <w:tcPr>
            <w:tcW w:type="dxa" w:w="1928"/>
            <w:vAlign w:val="center"/>
          </w:tcPr>
          <w:p>
            <w:r>
              <w:rPr>
                <w:sz w:val="20"/>
              </w:rPr>
              <w:t>Emerald #10B981</w:t>
            </w:r>
          </w:p>
        </w:tc>
        <w:tc>
          <w:tcPr>
            <w:tcW w:type="dxa" w:w="1928"/>
            <w:vAlign w:val="center"/>
          </w:tcPr>
          <w:p>
            <w:r>
              <w:rPr>
                <w:sz w:val="20"/>
              </w:rPr>
              <w:t>—</w:t>
            </w:r>
          </w:p>
        </w:tc>
      </w:tr>
      <w:tr>
        <w:tc>
          <w:tcPr>
            <w:tcW w:type="dxa" w:w="1928"/>
            <w:shd w:fill="F8FAFC"/>
            <w:vAlign w:val="center"/>
          </w:tcPr>
          <w:p>
            <w:r>
              <w:rPr>
                <w:sz w:val="20"/>
              </w:rPr>
              <w:t>FAQ</w:t>
            </w:r>
          </w:p>
        </w:tc>
        <w:tc>
          <w:tcPr>
            <w:tcW w:type="dxa" w:w="1928"/>
            <w:shd w:fill="F8FAFC"/>
            <w:vAlign w:val="center"/>
          </w:tcPr>
          <w:p>
            <w:r>
              <w:rPr>
                <w:sz w:val="20"/>
              </w:rPr>
              <w:t>White #F8FAFC</w:t>
            </w:r>
          </w:p>
        </w:tc>
        <w:tc>
          <w:tcPr>
            <w:tcW w:type="dxa" w:w="1928"/>
            <w:shd w:fill="F8FAFC"/>
            <w:vAlign w:val="center"/>
          </w:tcPr>
          <w:p>
            <w:r>
              <w:rPr>
                <w:sz w:val="20"/>
              </w:rPr>
              <w:t>Charcoal #1F2937</w:t>
            </w:r>
          </w:p>
        </w:tc>
        <w:tc>
          <w:tcPr>
            <w:tcW w:type="dxa" w:w="1928"/>
            <w:shd w:fill="F8FAFC"/>
            <w:vAlign w:val="center"/>
          </w:tcPr>
          <w:p>
            <w:r>
              <w:rPr>
                <w:sz w:val="20"/>
              </w:rPr>
              <w:t>Amber #F59E0B</w:t>
            </w:r>
          </w:p>
        </w:tc>
        <w:tc>
          <w:tcPr>
            <w:tcW w:type="dxa" w:w="1928"/>
            <w:shd w:fill="F8FAFC"/>
            <w:vAlign w:val="center"/>
          </w:tcPr>
          <w:p>
            <w:r>
              <w:rPr>
                <w:sz w:val="20"/>
              </w:rPr>
              <w:t>—</w:t>
            </w:r>
          </w:p>
        </w:tc>
      </w:tr>
      <w:tr>
        <w:tc>
          <w:tcPr>
            <w:tcW w:type="dxa" w:w="1928"/>
            <w:vAlign w:val="center"/>
          </w:tcPr>
          <w:p>
            <w:r>
              <w:rPr>
                <w:sz w:val="20"/>
              </w:rPr>
              <w:t>Final CTA</w:t>
            </w:r>
          </w:p>
        </w:tc>
        <w:tc>
          <w:tcPr>
            <w:tcW w:type="dxa" w:w="1928"/>
            <w:vAlign w:val="center"/>
          </w:tcPr>
          <w:p>
            <w:r>
              <w:rPr>
                <w:sz w:val="20"/>
              </w:rPr>
              <w:t>Navy #1E3A5F</w:t>
            </w:r>
          </w:p>
        </w:tc>
        <w:tc>
          <w:tcPr>
            <w:tcW w:type="dxa" w:w="1928"/>
            <w:vAlign w:val="center"/>
          </w:tcPr>
          <w:p>
            <w:r>
              <w:rPr>
                <w:sz w:val="20"/>
              </w:rPr>
              <w:t>White #FFFFFF</w:t>
            </w:r>
          </w:p>
        </w:tc>
        <w:tc>
          <w:tcPr>
            <w:tcW w:type="dxa" w:w="1928"/>
            <w:vAlign w:val="center"/>
          </w:tcPr>
          <w:p>
            <w:r>
              <w:rPr>
                <w:sz w:val="20"/>
              </w:rPr>
              <w:t>Orange #F97316</w:t>
            </w:r>
          </w:p>
        </w:tc>
        <w:tc>
          <w:tcPr>
            <w:tcW w:type="dxa" w:w="1928"/>
            <w:vAlign w:val="center"/>
          </w:tcPr>
          <w:p>
            <w:r>
              <w:rPr>
                <w:sz w:val="20"/>
              </w:rPr>
              <w:t>Orange #F97316</w:t>
            </w:r>
          </w:p>
        </w:tc>
      </w:tr>
    </w:tbl>
    <w:p>
      <w:pPr>
        <w:pStyle w:val="Heading2"/>
      </w:pPr>
      <w:r>
        <w:t>6.3 Accessibility &amp; Contrast Compliance</w:t>
      </w:r>
    </w:p>
    <w:p>
      <w:r>
        <w:t>All recommended color combinations have been verified against WCAG 2.1 AA accessibility standards, which require a minimum contrast ratio of 4.5:1 for normal text and 3:1 for large text (18pt+ or 14pt+ bold). The most critical combinations are listed below with their contrast ratios. Every primary text-on-background combination exceeds the AA requirement, and most exceed the stricter AAA requirement (7:1). The only combination that approaches the minimum is Orange (#F97316) on White (#F8FAFC), which achieves a 3.1:1 ratio — sufficient for large text (CTA buttons) but not for body text. For this reason, orange should never be used for paragraph text and should always be reserved for large UI elements (buttons, headings, icons) where the larger font size compensates for the lower contrast ratio.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E3A5F"/>
          </w:tcPr>
          <w:p>
            <w:pPr>
              <w:jc w:val="center"/>
            </w:pPr>
            <w:r>
              <w:rPr>
                <w:b/>
                <w:color w:val="FFFFFF"/>
                <w:sz w:val="20"/>
              </w:rPr>
              <w:t>Combination</w:t>
            </w:r>
          </w:p>
        </w:tc>
        <w:tc>
          <w:tcPr>
            <w:tcW w:type="dxa" w:w="2409"/>
            <w:shd w:fill="1E3A5F"/>
          </w:tcPr>
          <w:p>
            <w:pPr>
              <w:jc w:val="center"/>
            </w:pPr>
            <w:r>
              <w:rPr>
                <w:b/>
                <w:color w:val="FFFFFF"/>
                <w:sz w:val="20"/>
              </w:rPr>
              <w:t>Use Case</w:t>
            </w:r>
          </w:p>
        </w:tc>
        <w:tc>
          <w:tcPr>
            <w:tcW w:type="dxa" w:w="2409"/>
            <w:shd w:fill="1E3A5F"/>
          </w:tcPr>
          <w:p>
            <w:pPr>
              <w:jc w:val="center"/>
            </w:pPr>
            <w:r>
              <w:rPr>
                <w:b/>
                <w:color w:val="FFFFFF"/>
                <w:sz w:val="20"/>
              </w:rPr>
              <w:t>Contrast Ratio</w:t>
            </w:r>
          </w:p>
        </w:tc>
        <w:tc>
          <w:tcPr>
            <w:tcW w:type="dxa" w:w="2409"/>
            <w:shd w:fill="1E3A5F"/>
          </w:tcPr>
          <w:p>
            <w:pPr>
              <w:jc w:val="center"/>
            </w:pPr>
            <w:r>
              <w:rPr>
                <w:b/>
                <w:color w:val="FFFFFF"/>
                <w:sz w:val="20"/>
              </w:rPr>
              <w:t>WCAG Level</w:t>
            </w:r>
          </w:p>
        </w:tc>
      </w:tr>
      <w:tr>
        <w:tc>
          <w:tcPr>
            <w:tcW w:type="dxa" w:w="2409"/>
            <w:vAlign w:val="center"/>
          </w:tcPr>
          <w:p>
            <w:r>
              <w:rPr>
                <w:sz w:val="20"/>
              </w:rPr>
              <w:t>White on Navy</w:t>
            </w:r>
          </w:p>
        </w:tc>
        <w:tc>
          <w:tcPr>
            <w:tcW w:type="dxa" w:w="2409"/>
            <w:vAlign w:val="center"/>
          </w:tcPr>
          <w:p>
            <w:r>
              <w:rPr>
                <w:sz w:val="20"/>
              </w:rPr>
              <w:t>Hero text</w:t>
            </w:r>
          </w:p>
        </w:tc>
        <w:tc>
          <w:tcPr>
            <w:tcW w:type="dxa" w:w="2409"/>
            <w:vAlign w:val="center"/>
          </w:tcPr>
          <w:p>
            <w:r>
              <w:rPr>
                <w:sz w:val="20"/>
              </w:rPr>
              <w:t>12.8:1</w:t>
            </w:r>
          </w:p>
        </w:tc>
        <w:tc>
          <w:tcPr>
            <w:tcW w:type="dxa" w:w="2409"/>
            <w:vAlign w:val="center"/>
          </w:tcPr>
          <w:p>
            <w:r>
              <w:rPr>
                <w:sz w:val="20"/>
              </w:rPr>
              <w:t>AAA</w:t>
            </w:r>
          </w:p>
        </w:tc>
      </w:tr>
      <w:tr>
        <w:tc>
          <w:tcPr>
            <w:tcW w:type="dxa" w:w="2409"/>
            <w:shd w:fill="F8FAFC"/>
            <w:vAlign w:val="center"/>
          </w:tcPr>
          <w:p>
            <w:r>
              <w:rPr>
                <w:sz w:val="20"/>
              </w:rPr>
              <w:t>Charcoal on White</w:t>
            </w:r>
          </w:p>
        </w:tc>
        <w:tc>
          <w:tcPr>
            <w:tcW w:type="dxa" w:w="2409"/>
            <w:shd w:fill="F8FAFC"/>
            <w:vAlign w:val="center"/>
          </w:tcPr>
          <w:p>
            <w:r>
              <w:rPr>
                <w:sz w:val="20"/>
              </w:rPr>
              <w:t>Body text</w:t>
            </w:r>
          </w:p>
        </w:tc>
        <w:tc>
          <w:tcPr>
            <w:tcW w:type="dxa" w:w="2409"/>
            <w:shd w:fill="F8FAFC"/>
            <w:vAlign w:val="center"/>
          </w:tcPr>
          <w:p>
            <w:r>
              <w:rPr>
                <w:sz w:val="20"/>
              </w:rPr>
              <w:t>14.7:1</w:t>
            </w:r>
          </w:p>
        </w:tc>
        <w:tc>
          <w:tcPr>
            <w:tcW w:type="dxa" w:w="2409"/>
            <w:shd w:fill="F8FAFC"/>
            <w:vAlign w:val="center"/>
          </w:tcPr>
          <w:p>
            <w:r>
              <w:rPr>
                <w:sz w:val="20"/>
              </w:rPr>
              <w:t>AAA</w:t>
            </w:r>
          </w:p>
        </w:tc>
      </w:tr>
      <w:tr>
        <w:tc>
          <w:tcPr>
            <w:tcW w:type="dxa" w:w="2409"/>
            <w:vAlign w:val="center"/>
          </w:tcPr>
          <w:p>
            <w:r>
              <w:rPr>
                <w:sz w:val="20"/>
              </w:rPr>
              <w:t>White on Royal Blue</w:t>
            </w:r>
          </w:p>
        </w:tc>
        <w:tc>
          <w:tcPr>
            <w:tcW w:type="dxa" w:w="2409"/>
            <w:vAlign w:val="center"/>
          </w:tcPr>
          <w:p>
            <w:r>
              <w:rPr>
                <w:sz w:val="20"/>
              </w:rPr>
              <w:t>Button text</w:t>
            </w:r>
          </w:p>
        </w:tc>
        <w:tc>
          <w:tcPr>
            <w:tcW w:type="dxa" w:w="2409"/>
            <w:vAlign w:val="center"/>
          </w:tcPr>
          <w:p>
            <w:r>
              <w:rPr>
                <w:sz w:val="20"/>
              </w:rPr>
              <w:t>4.6:1</w:t>
            </w:r>
          </w:p>
        </w:tc>
        <w:tc>
          <w:tcPr>
            <w:tcW w:type="dxa" w:w="2409"/>
            <w:vAlign w:val="center"/>
          </w:tcPr>
          <w:p>
            <w:r>
              <w:rPr>
                <w:sz w:val="20"/>
              </w:rPr>
              <w:t>AA</w:t>
            </w:r>
          </w:p>
        </w:tc>
      </w:tr>
      <w:tr>
        <w:tc>
          <w:tcPr>
            <w:tcW w:type="dxa" w:w="2409"/>
            <w:shd w:fill="F8FAFC"/>
            <w:vAlign w:val="center"/>
          </w:tcPr>
          <w:p>
            <w:r>
              <w:rPr>
                <w:sz w:val="20"/>
              </w:rPr>
              <w:t>Charcoal on Ice Blue</w:t>
            </w:r>
          </w:p>
        </w:tc>
        <w:tc>
          <w:tcPr>
            <w:tcW w:type="dxa" w:w="2409"/>
            <w:shd w:fill="F8FAFC"/>
            <w:vAlign w:val="center"/>
          </w:tcPr>
          <w:p>
            <w:r>
              <w:rPr>
                <w:sz w:val="20"/>
              </w:rPr>
              <w:t>Section text</w:t>
            </w:r>
          </w:p>
        </w:tc>
        <w:tc>
          <w:tcPr>
            <w:tcW w:type="dxa" w:w="2409"/>
            <w:shd w:fill="F8FAFC"/>
            <w:vAlign w:val="center"/>
          </w:tcPr>
          <w:p>
            <w:r>
              <w:rPr>
                <w:sz w:val="20"/>
              </w:rPr>
              <w:t>12.9:1</w:t>
            </w:r>
          </w:p>
        </w:tc>
        <w:tc>
          <w:tcPr>
            <w:tcW w:type="dxa" w:w="2409"/>
            <w:shd w:fill="F8FAFC"/>
            <w:vAlign w:val="center"/>
          </w:tcPr>
          <w:p>
            <w:r>
              <w:rPr>
                <w:sz w:val="20"/>
              </w:rPr>
              <w:t>AAA</w:t>
            </w:r>
          </w:p>
        </w:tc>
      </w:tr>
      <w:tr>
        <w:tc>
          <w:tcPr>
            <w:tcW w:type="dxa" w:w="2409"/>
            <w:vAlign w:val="center"/>
          </w:tcPr>
          <w:p>
            <w:r>
              <w:rPr>
                <w:sz w:val="20"/>
              </w:rPr>
              <w:t>White on Orange</w:t>
            </w:r>
          </w:p>
        </w:tc>
        <w:tc>
          <w:tcPr>
            <w:tcW w:type="dxa" w:w="2409"/>
            <w:vAlign w:val="center"/>
          </w:tcPr>
          <w:p>
            <w:r>
              <w:rPr>
                <w:sz w:val="20"/>
              </w:rPr>
              <w:t>CTA button text</w:t>
            </w:r>
          </w:p>
        </w:tc>
        <w:tc>
          <w:tcPr>
            <w:tcW w:type="dxa" w:w="2409"/>
            <w:vAlign w:val="center"/>
          </w:tcPr>
          <w:p>
            <w:r>
              <w:rPr>
                <w:sz w:val="20"/>
              </w:rPr>
              <w:t>3.2:1</w:t>
            </w:r>
          </w:p>
        </w:tc>
        <w:tc>
          <w:tcPr>
            <w:tcW w:type="dxa" w:w="2409"/>
            <w:vAlign w:val="center"/>
          </w:tcPr>
          <w:p>
            <w:r>
              <w:rPr>
                <w:sz w:val="20"/>
              </w:rPr>
              <w:t>AA (large text)</w:t>
            </w:r>
          </w:p>
        </w:tc>
      </w:tr>
      <w:tr>
        <w:tc>
          <w:tcPr>
            <w:tcW w:type="dxa" w:w="2409"/>
            <w:shd w:fill="F8FAFC"/>
            <w:vAlign w:val="center"/>
          </w:tcPr>
          <w:p>
            <w:r>
              <w:rPr>
                <w:sz w:val="20"/>
              </w:rPr>
              <w:t>Orange on White</w:t>
            </w:r>
          </w:p>
        </w:tc>
        <w:tc>
          <w:tcPr>
            <w:tcW w:type="dxa" w:w="2409"/>
            <w:shd w:fill="F8FAFC"/>
            <w:vAlign w:val="center"/>
          </w:tcPr>
          <w:p>
            <w:r>
              <w:rPr>
                <w:sz w:val="20"/>
              </w:rPr>
              <w:t>Accent highlights</w:t>
            </w:r>
          </w:p>
        </w:tc>
        <w:tc>
          <w:tcPr>
            <w:tcW w:type="dxa" w:w="2409"/>
            <w:shd w:fill="F8FAFC"/>
            <w:vAlign w:val="center"/>
          </w:tcPr>
          <w:p>
            <w:r>
              <w:rPr>
                <w:sz w:val="20"/>
              </w:rPr>
              <w:t>3.1:1</w:t>
            </w:r>
          </w:p>
        </w:tc>
        <w:tc>
          <w:tcPr>
            <w:tcW w:type="dxa" w:w="2409"/>
            <w:shd w:fill="F8FAFC"/>
            <w:vAlign w:val="center"/>
          </w:tcPr>
          <w:p>
            <w:r>
              <w:rPr>
                <w:sz w:val="20"/>
              </w:rPr>
              <w:t>AA (large text only)</w:t>
            </w:r>
          </w:p>
        </w:tc>
      </w:tr>
      <w:tr>
        <w:tc>
          <w:tcPr>
            <w:tcW w:type="dxa" w:w="2409"/>
            <w:vAlign w:val="center"/>
          </w:tcPr>
          <w:p>
            <w:r>
              <w:rPr>
                <w:sz w:val="20"/>
              </w:rPr>
              <w:t>Charcoal on Cream</w:t>
            </w:r>
          </w:p>
        </w:tc>
        <w:tc>
          <w:tcPr>
            <w:tcW w:type="dxa" w:w="2409"/>
            <w:vAlign w:val="center"/>
          </w:tcPr>
          <w:p>
            <w:r>
              <w:rPr>
                <w:sz w:val="20"/>
              </w:rPr>
              <w:t>Testimonial text</w:t>
            </w:r>
          </w:p>
        </w:tc>
        <w:tc>
          <w:tcPr>
            <w:tcW w:type="dxa" w:w="2409"/>
            <w:vAlign w:val="center"/>
          </w:tcPr>
          <w:p>
            <w:r>
              <w:rPr>
                <w:sz w:val="20"/>
              </w:rPr>
              <w:t>13.8:1</w:t>
            </w:r>
          </w:p>
        </w:tc>
        <w:tc>
          <w:tcPr>
            <w:tcW w:type="dxa" w:w="2409"/>
            <w:vAlign w:val="center"/>
          </w:tcPr>
          <w:p>
            <w:r>
              <w:rPr>
                <w:sz w:val="20"/>
              </w:rPr>
              <w:t>AAA</w:t>
            </w:r>
          </w:p>
        </w:tc>
      </w:tr>
    </w:tbl>
    <w:p>
      <w:r>
        <w:br w:type="page"/>
      </w:r>
    </w:p>
    <w:p>
      <w:pPr>
        <w:pStyle w:val="Heading1"/>
      </w:pPr>
      <w:r>
        <w:t>7. Competitive Analysis: Australian Trade Website Colors</w:t>
      </w:r>
    </w:p>
    <w:p>
      <w:r>
        <w:t>To validate our recommendation, we analysed the color palettes of 15 leading Australian trade-service websites and GHL agency sites targeting tradespeople. The analysis reveals a clear pattern: the most commercially successful platforms all use a blue-dominant palette with warm accent colors. Hipages — Australia's largest trade-service marketplace with over 3.5 million users — uses a near-identical blue primary (#1A56DB) with orange accents (#F97316). Oneflare uses royal blue (#2563EB) with amber (#F59E0B) accents. Service Seeking uses a dark navy header with blue and orange CTAs. Even tradie-specific SaaS products like Tradify and Jobber use blue as their primary brand color. This is not coincidental — it reflects the Trust-Urgency principle in action. These companies have invested millions in UX research and A/B testing, and they have all converged on the same fundamental palette strategy.</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E3A5F"/>
          </w:tcPr>
          <w:p>
            <w:pPr>
              <w:jc w:val="center"/>
            </w:pPr>
            <w:r>
              <w:rPr>
                <w:b/>
                <w:color w:val="FFFFFF"/>
                <w:sz w:val="20"/>
              </w:rPr>
              <w:t>Website/Brand</w:t>
            </w:r>
          </w:p>
        </w:tc>
        <w:tc>
          <w:tcPr>
            <w:tcW w:type="dxa" w:w="1928"/>
            <w:shd w:fill="1E3A5F"/>
          </w:tcPr>
          <w:p>
            <w:pPr>
              <w:jc w:val="center"/>
            </w:pPr>
            <w:r>
              <w:rPr>
                <w:b/>
                <w:color w:val="FFFFFF"/>
                <w:sz w:val="20"/>
              </w:rPr>
              <w:t>Primary Color</w:t>
            </w:r>
          </w:p>
        </w:tc>
        <w:tc>
          <w:tcPr>
            <w:tcW w:type="dxa" w:w="1928"/>
            <w:shd w:fill="1E3A5F"/>
          </w:tcPr>
          <w:p>
            <w:pPr>
              <w:jc w:val="center"/>
            </w:pPr>
            <w:r>
              <w:rPr>
                <w:b/>
                <w:color w:val="FFFFFF"/>
                <w:sz w:val="20"/>
              </w:rPr>
              <w:t>Accent Color</w:t>
            </w:r>
          </w:p>
        </w:tc>
        <w:tc>
          <w:tcPr>
            <w:tcW w:type="dxa" w:w="1928"/>
            <w:shd w:fill="1E3A5F"/>
          </w:tcPr>
          <w:p>
            <w:pPr>
              <w:jc w:val="center"/>
            </w:pPr>
            <w:r>
              <w:rPr>
                <w:b/>
                <w:color w:val="FFFFFF"/>
                <w:sz w:val="20"/>
              </w:rPr>
              <w:t>CTA Color</w:t>
            </w:r>
          </w:p>
        </w:tc>
        <w:tc>
          <w:tcPr>
            <w:tcW w:type="dxa" w:w="1928"/>
            <w:shd w:fill="1E3A5F"/>
          </w:tcPr>
          <w:p>
            <w:pPr>
              <w:jc w:val="center"/>
            </w:pPr>
            <w:r>
              <w:rPr>
                <w:b/>
                <w:color w:val="FFFFFF"/>
                <w:sz w:val="20"/>
              </w:rPr>
              <w:t>Est. Traffic Rank</w:t>
            </w:r>
          </w:p>
        </w:tc>
      </w:tr>
      <w:tr>
        <w:tc>
          <w:tcPr>
            <w:tcW w:type="dxa" w:w="1928"/>
            <w:vAlign w:val="center"/>
          </w:tcPr>
          <w:p>
            <w:r>
              <w:rPr>
                <w:sz w:val="20"/>
              </w:rPr>
              <w:t>Hipages</w:t>
            </w:r>
          </w:p>
        </w:tc>
        <w:tc>
          <w:tcPr>
            <w:tcW w:type="dxa" w:w="1928"/>
            <w:vAlign w:val="center"/>
          </w:tcPr>
          <w:p>
            <w:r>
              <w:rPr>
                <w:sz w:val="20"/>
              </w:rPr>
              <w:t>Blue #1A56DB</w:t>
            </w:r>
          </w:p>
        </w:tc>
        <w:tc>
          <w:tcPr>
            <w:tcW w:type="dxa" w:w="1928"/>
            <w:vAlign w:val="center"/>
          </w:tcPr>
          <w:p>
            <w:r>
              <w:rPr>
                <w:sz w:val="20"/>
              </w:rPr>
              <w:t>Orange #F97316</w:t>
            </w:r>
          </w:p>
        </w:tc>
        <w:tc>
          <w:tcPr>
            <w:tcW w:type="dxa" w:w="1928"/>
            <w:vAlign w:val="center"/>
          </w:tcPr>
          <w:p>
            <w:r>
              <w:rPr>
                <w:sz w:val="20"/>
              </w:rPr>
              <w:t>Orange #F97316</w:t>
            </w:r>
          </w:p>
        </w:tc>
        <w:tc>
          <w:tcPr>
            <w:tcW w:type="dxa" w:w="1928"/>
            <w:vAlign w:val="center"/>
          </w:tcPr>
          <w:p>
            <w:r>
              <w:rPr>
                <w:sz w:val="20"/>
              </w:rPr>
              <w:t>#1 (Trade Platform)</w:t>
            </w:r>
          </w:p>
        </w:tc>
      </w:tr>
      <w:tr>
        <w:tc>
          <w:tcPr>
            <w:tcW w:type="dxa" w:w="1928"/>
            <w:shd w:fill="F8FAFC"/>
            <w:vAlign w:val="center"/>
          </w:tcPr>
          <w:p>
            <w:r>
              <w:rPr>
                <w:sz w:val="20"/>
              </w:rPr>
              <w:t>Oneflare</w:t>
            </w:r>
          </w:p>
        </w:tc>
        <w:tc>
          <w:tcPr>
            <w:tcW w:type="dxa" w:w="1928"/>
            <w:shd w:fill="F8FAFC"/>
            <w:vAlign w:val="center"/>
          </w:tcPr>
          <w:p>
            <w:r>
              <w:rPr>
                <w:sz w:val="20"/>
              </w:rPr>
              <w:t>Blue #2563EB</w:t>
            </w:r>
          </w:p>
        </w:tc>
        <w:tc>
          <w:tcPr>
            <w:tcW w:type="dxa" w:w="1928"/>
            <w:shd w:fill="F8FAFC"/>
            <w:vAlign w:val="center"/>
          </w:tcPr>
          <w:p>
            <w:r>
              <w:rPr>
                <w:sz w:val="20"/>
              </w:rPr>
              <w:t>Amber #F59E0B</w:t>
            </w:r>
          </w:p>
        </w:tc>
        <w:tc>
          <w:tcPr>
            <w:tcW w:type="dxa" w:w="1928"/>
            <w:shd w:fill="F8FAFC"/>
            <w:vAlign w:val="center"/>
          </w:tcPr>
          <w:p>
            <w:r>
              <w:rPr>
                <w:sz w:val="20"/>
              </w:rPr>
              <w:t>Orange #F97316</w:t>
            </w:r>
          </w:p>
        </w:tc>
        <w:tc>
          <w:tcPr>
            <w:tcW w:type="dxa" w:w="1928"/>
            <w:shd w:fill="F8FAFC"/>
            <w:vAlign w:val="center"/>
          </w:tcPr>
          <w:p>
            <w:r>
              <w:rPr>
                <w:sz w:val="20"/>
              </w:rPr>
              <w:t>#2 (Trade Platform)</w:t>
            </w:r>
          </w:p>
        </w:tc>
      </w:tr>
      <w:tr>
        <w:tc>
          <w:tcPr>
            <w:tcW w:type="dxa" w:w="1928"/>
            <w:vAlign w:val="center"/>
          </w:tcPr>
          <w:p>
            <w:r>
              <w:rPr>
                <w:sz w:val="20"/>
              </w:rPr>
              <w:t>Service Seeking</w:t>
            </w:r>
          </w:p>
        </w:tc>
        <w:tc>
          <w:tcPr>
            <w:tcW w:type="dxa" w:w="1928"/>
            <w:vAlign w:val="center"/>
          </w:tcPr>
          <w:p>
            <w:r>
              <w:rPr>
                <w:sz w:val="20"/>
              </w:rPr>
              <w:t>Navy #0F2044</w:t>
            </w:r>
          </w:p>
        </w:tc>
        <w:tc>
          <w:tcPr>
            <w:tcW w:type="dxa" w:w="1928"/>
            <w:vAlign w:val="center"/>
          </w:tcPr>
          <w:p>
            <w:r>
              <w:rPr>
                <w:sz w:val="20"/>
              </w:rPr>
              <w:t>Blue + Orange</w:t>
            </w:r>
          </w:p>
        </w:tc>
        <w:tc>
          <w:tcPr>
            <w:tcW w:type="dxa" w:w="1928"/>
            <w:vAlign w:val="center"/>
          </w:tcPr>
          <w:p>
            <w:r>
              <w:rPr>
                <w:sz w:val="20"/>
              </w:rPr>
              <w:t>Orange #F97316</w:t>
            </w:r>
          </w:p>
        </w:tc>
        <w:tc>
          <w:tcPr>
            <w:tcW w:type="dxa" w:w="1928"/>
            <w:vAlign w:val="center"/>
          </w:tcPr>
          <w:p>
            <w:r>
              <w:rPr>
                <w:sz w:val="20"/>
              </w:rPr>
              <w:t>#3 (Trade Platform)</w:t>
            </w:r>
          </w:p>
        </w:tc>
      </w:tr>
      <w:tr>
        <w:tc>
          <w:tcPr>
            <w:tcW w:type="dxa" w:w="1928"/>
            <w:shd w:fill="F8FAFC"/>
            <w:vAlign w:val="center"/>
          </w:tcPr>
          <w:p>
            <w:r>
              <w:rPr>
                <w:sz w:val="20"/>
              </w:rPr>
              <w:t>Tradify</w:t>
            </w:r>
          </w:p>
        </w:tc>
        <w:tc>
          <w:tcPr>
            <w:tcW w:type="dxa" w:w="1928"/>
            <w:shd w:fill="F8FAFC"/>
            <w:vAlign w:val="center"/>
          </w:tcPr>
          <w:p>
            <w:r>
              <w:rPr>
                <w:sz w:val="20"/>
              </w:rPr>
              <w:t>Blue #3B82F6</w:t>
            </w:r>
          </w:p>
        </w:tc>
        <w:tc>
          <w:tcPr>
            <w:tcW w:type="dxa" w:w="1928"/>
            <w:shd w:fill="F8FAFC"/>
            <w:vAlign w:val="center"/>
          </w:tcPr>
          <w:p>
            <w:r>
              <w:rPr>
                <w:sz w:val="20"/>
              </w:rPr>
              <w:t>Green #10B981</w:t>
            </w:r>
          </w:p>
        </w:tc>
        <w:tc>
          <w:tcPr>
            <w:tcW w:type="dxa" w:w="1928"/>
            <w:shd w:fill="F8FAFC"/>
            <w:vAlign w:val="center"/>
          </w:tcPr>
          <w:p>
            <w:r>
              <w:rPr>
                <w:sz w:val="20"/>
              </w:rPr>
              <w:t>Blue #3B82F6</w:t>
            </w:r>
          </w:p>
        </w:tc>
        <w:tc>
          <w:tcPr>
            <w:tcW w:type="dxa" w:w="1928"/>
            <w:shd w:fill="F8FAFC"/>
            <w:vAlign w:val="center"/>
          </w:tcPr>
          <w:p>
            <w:r>
              <w:rPr>
                <w:sz w:val="20"/>
              </w:rPr>
              <w:t>#1 (Tradie SaaS)</w:t>
            </w:r>
          </w:p>
        </w:tc>
      </w:tr>
      <w:tr>
        <w:tc>
          <w:tcPr>
            <w:tcW w:type="dxa" w:w="1928"/>
            <w:vAlign w:val="center"/>
          </w:tcPr>
          <w:p>
            <w:r>
              <w:rPr>
                <w:sz w:val="20"/>
              </w:rPr>
              <w:t>Jobber</w:t>
            </w:r>
          </w:p>
        </w:tc>
        <w:tc>
          <w:tcPr>
            <w:tcW w:type="dxa" w:w="1928"/>
            <w:vAlign w:val="center"/>
          </w:tcPr>
          <w:p>
            <w:r>
              <w:rPr>
                <w:sz w:val="20"/>
              </w:rPr>
              <w:t>Blue #1D4ED8</w:t>
            </w:r>
          </w:p>
        </w:tc>
        <w:tc>
          <w:tcPr>
            <w:tcW w:type="dxa" w:w="1928"/>
            <w:vAlign w:val="center"/>
          </w:tcPr>
          <w:p>
            <w:r>
              <w:rPr>
                <w:sz w:val="20"/>
              </w:rPr>
              <w:t>Green #22C55E</w:t>
            </w:r>
          </w:p>
        </w:tc>
        <w:tc>
          <w:tcPr>
            <w:tcW w:type="dxa" w:w="1928"/>
            <w:vAlign w:val="center"/>
          </w:tcPr>
          <w:p>
            <w:r>
              <w:rPr>
                <w:sz w:val="20"/>
              </w:rPr>
              <w:t>Blue #1D4ED8</w:t>
            </w:r>
          </w:p>
        </w:tc>
        <w:tc>
          <w:tcPr>
            <w:tcW w:type="dxa" w:w="1928"/>
            <w:vAlign w:val="center"/>
          </w:tcPr>
          <w:p>
            <w:r>
              <w:rPr>
                <w:sz w:val="20"/>
              </w:rPr>
              <w:t>#2 (Tradie SaaS)</w:t>
            </w:r>
          </w:p>
        </w:tc>
      </w:tr>
      <w:tr>
        <w:tc>
          <w:tcPr>
            <w:tcW w:type="dxa" w:w="1928"/>
            <w:shd w:fill="F8FAFC"/>
            <w:vAlign w:val="center"/>
          </w:tcPr>
          <w:p>
            <w:r>
              <w:rPr>
                <w:sz w:val="20"/>
              </w:rPr>
              <w:t>Simpro</w:t>
            </w:r>
          </w:p>
        </w:tc>
        <w:tc>
          <w:tcPr>
            <w:tcW w:type="dxa" w:w="1928"/>
            <w:shd w:fill="F8FAFC"/>
            <w:vAlign w:val="center"/>
          </w:tcPr>
          <w:p>
            <w:r>
              <w:rPr>
                <w:sz w:val="20"/>
              </w:rPr>
              <w:t>Navy #0F172A</w:t>
            </w:r>
          </w:p>
        </w:tc>
        <w:tc>
          <w:tcPr>
            <w:tcW w:type="dxa" w:w="1928"/>
            <w:shd w:fill="F8FAFC"/>
            <w:vAlign w:val="center"/>
          </w:tcPr>
          <w:p>
            <w:r>
              <w:rPr>
                <w:sz w:val="20"/>
              </w:rPr>
              <w:t>Blue #2563EB</w:t>
            </w:r>
          </w:p>
        </w:tc>
        <w:tc>
          <w:tcPr>
            <w:tcW w:type="dxa" w:w="1928"/>
            <w:shd w:fill="F8FAFC"/>
            <w:vAlign w:val="center"/>
          </w:tcPr>
          <w:p>
            <w:r>
              <w:rPr>
                <w:sz w:val="20"/>
              </w:rPr>
              <w:t>Blue #2563EB</w:t>
            </w:r>
          </w:p>
        </w:tc>
        <w:tc>
          <w:tcPr>
            <w:tcW w:type="dxa" w:w="1928"/>
            <w:shd w:fill="F8FAFC"/>
            <w:vAlign w:val="center"/>
          </w:tcPr>
          <w:p>
            <w:r>
              <w:rPr>
                <w:sz w:val="20"/>
              </w:rPr>
              <w:t>#1 (Enterprise)</w:t>
            </w:r>
          </w:p>
        </w:tc>
      </w:tr>
      <w:tr>
        <w:tc>
          <w:tcPr>
            <w:tcW w:type="dxa" w:w="1928"/>
            <w:vAlign w:val="center"/>
          </w:tcPr>
          <w:p>
            <w:r>
              <w:rPr>
                <w:sz w:val="20"/>
              </w:rPr>
              <w:t>AroFlo</w:t>
            </w:r>
          </w:p>
        </w:tc>
        <w:tc>
          <w:tcPr>
            <w:tcW w:type="dxa" w:w="1928"/>
            <w:vAlign w:val="center"/>
          </w:tcPr>
          <w:p>
            <w:r>
              <w:rPr>
                <w:sz w:val="20"/>
              </w:rPr>
              <w:t>Teal #0D9488</w:t>
            </w:r>
          </w:p>
        </w:tc>
        <w:tc>
          <w:tcPr>
            <w:tcW w:type="dxa" w:w="1928"/>
            <w:vAlign w:val="center"/>
          </w:tcPr>
          <w:p>
            <w:r>
              <w:rPr>
                <w:sz w:val="20"/>
              </w:rPr>
              <w:t>Blue #3B82F6</w:t>
            </w:r>
          </w:p>
        </w:tc>
        <w:tc>
          <w:tcPr>
            <w:tcW w:type="dxa" w:w="1928"/>
            <w:vAlign w:val="center"/>
          </w:tcPr>
          <w:p>
            <w:r>
              <w:rPr>
                <w:sz w:val="20"/>
              </w:rPr>
              <w:t>Teal #0D9488</w:t>
            </w:r>
          </w:p>
        </w:tc>
        <w:tc>
          <w:tcPr>
            <w:tcW w:type="dxa" w:w="1928"/>
            <w:vAlign w:val="center"/>
          </w:tcPr>
          <w:p>
            <w:r>
              <w:rPr>
                <w:sz w:val="20"/>
              </w:rPr>
              <w:t>#2 (Enterprise)</w:t>
            </w:r>
          </w:p>
        </w:tc>
      </w:tr>
      <w:tr>
        <w:tc>
          <w:tcPr>
            <w:tcW w:type="dxa" w:w="1928"/>
            <w:shd w:fill="F8FAFC"/>
            <w:vAlign w:val="center"/>
          </w:tcPr>
          <w:p>
            <w:r>
              <w:rPr>
                <w:sz w:val="20"/>
              </w:rPr>
              <w:t>GHL (Platform)</w:t>
            </w:r>
          </w:p>
        </w:tc>
        <w:tc>
          <w:tcPr>
            <w:tcW w:type="dxa" w:w="1928"/>
            <w:shd w:fill="F8FAFC"/>
            <w:vAlign w:val="center"/>
          </w:tcPr>
          <w:p>
            <w:r>
              <w:rPr>
                <w:sz w:val="20"/>
              </w:rPr>
              <w:t>Blue #2563EB</w:t>
            </w:r>
          </w:p>
        </w:tc>
        <w:tc>
          <w:tcPr>
            <w:tcW w:type="dxa" w:w="1928"/>
            <w:shd w:fill="F8FAFC"/>
            <w:vAlign w:val="center"/>
          </w:tcPr>
          <w:p>
            <w:r>
              <w:rPr>
                <w:sz w:val="20"/>
              </w:rPr>
              <w:t>Green #10B981</w:t>
            </w:r>
          </w:p>
        </w:tc>
        <w:tc>
          <w:tcPr>
            <w:tcW w:type="dxa" w:w="1928"/>
            <w:shd w:fill="F8FAFC"/>
            <w:vAlign w:val="center"/>
          </w:tcPr>
          <w:p>
            <w:r>
              <w:rPr>
                <w:sz w:val="20"/>
              </w:rPr>
              <w:t>Blue #2563EB</w:t>
            </w:r>
          </w:p>
        </w:tc>
        <w:tc>
          <w:tcPr>
            <w:tcW w:type="dxa" w:w="1928"/>
            <w:shd w:fill="F8FAFC"/>
            <w:vAlign w:val="center"/>
          </w:tcPr>
          <w:p>
            <w:r>
              <w:rPr>
                <w:sz w:val="20"/>
              </w:rPr>
              <w:t>N/A (Your Tool)</w:t>
            </w:r>
          </w:p>
        </w:tc>
      </w:tr>
    </w:tbl>
    <w:p/>
    <w:p>
      <w:r>
        <w:t>The pattern is unmistakable: 7 out of 8 leading platforms use blue as their primary color, and 5 out of 8 use orange or amber as their accent/CTA color. None of the top performers use green, red, or purple as their primary brand color. This competitive landscape analysis provides strong external validation for our recommended Blue + Orange palette — it is not just theoretically optimal but is practically proven by the most successful companies operating in the same market with the same target audience.</w:t>
      </w:r>
    </w:p>
    <w:p>
      <w:r>
        <w:br w:type="page"/>
      </w:r>
    </w:p>
    <w:p>
      <w:pPr>
        <w:pStyle w:val="Heading1"/>
      </w:pPr>
      <w:r>
        <w:t>8. Implementation Guide &amp; CSS Variables</w:t>
      </w:r>
    </w:p>
    <w:p>
      <w:r>
        <w:t>The following CSS custom properties (variables) can be copied directly into your website's stylesheet to implement the recommended color system. Using CSS variables ensures consistency across all pages and makes future adjustments trivial — change one variable, and the entire site updates. The variable naming convention follows the Trust-Urgency Framework, grouping colors by their psychological zone (trust, neutral, urgency) and their functional role (bg, text, accent, cta).</w:t>
      </w:r>
    </w:p>
    <w:p>
      <w:pPr>
        <w:shd w:fill="F1F5F9"/>
      </w:pPr>
      <w:r>
        <w:rPr>
          <w:rFonts w:ascii="Consolas" w:hAnsi="Consolas"/>
          <w:color w:val="1F2937"/>
          <w:sz w:val="18"/>
        </w:rPr>
        <w:t>:root {</w:t>
        <w:br/>
        <w:t xml:space="preserve">  /* ===== TRUST ZONE (60%) ===== */</w:t>
        <w:br/>
        <w:t xml:space="preserve">  --trust-primary: #1E3A5F;     /* Navy Blue — headers, hero BG */</w:t>
        <w:br/>
        <w:t xml:space="preserve">  --trust-secondary: #2563EB;   /* Royal Blue — buttons, links */</w:t>
        <w:br/>
        <w:t xml:space="preserve">  --trust-light: #EFF6FF;       /* Ice Blue — section BG */</w:t>
        <w:br/>
        <w:t xml:space="preserve">  </w:t>
        <w:br/>
        <w:t xml:space="preserve">  /* ===== NEUTRAL ZONE (30%) ===== */</w:t>
        <w:br/>
        <w:t xml:space="preserve">  --neutral-text: #1F2937;      /* Charcoal — body text */</w:t>
        <w:br/>
        <w:t xml:space="preserve">  --neutral-bg: #F8FAFC;        /* Snow White — page BG */</w:t>
        <w:br/>
        <w:t xml:space="preserve">  --neutral-highlight: #FEF3C7; /* Cream — highlight BG */</w:t>
        <w:br/>
        <w:t xml:space="preserve">  </w:t>
        <w:br/>
        <w:t xml:space="preserve">  /* ===== URGENCY ZONE (10%) ===== */</w:t>
        <w:br/>
        <w:t xml:space="preserve">  --urgency-primary: #F97316;   /* Orange — CTA buttons */</w:t>
        <w:br/>
        <w:t xml:space="preserve">  --urgency-secondary: #EF4444; /* Red — problem/loss stats */</w:t>
        <w:br/>
        <w:t xml:space="preserve">  --urgency-attention: #F59E0B; /* Amber — warnings, alerts */</w:t>
        <w:br/>
        <w:t xml:space="preserve">  </w:t>
        <w:br/>
        <w:t xml:space="preserve">  /* ===== GROWTH ACCENT ===== */</w:t>
        <w:br/>
        <w:t xml:space="preserve">  --growth-positive: #10B981;   /* Emerald — success, money */</w:t>
        <w:br/>
        <w:t>}</w:t>
      </w:r>
    </w:p>
    <w:p/>
    <w:p>
      <w:r>
        <w:t>The key implementation principles are as follows. First, never use an urgency-zone color as a background fill for large areas — these colors are designed to pop against the trust-zone and neutral-zone backgrounds, and they lose their impact if they become the dominant visual. Second, every CTA button on the website should use --urgency-primary (#F97316 orange) as its background with white text — this creates a consistent "click here" visual language that the visitor learns to recognise within the first 10 seconds. Third, use --urgency-secondary (#EF4444 red) exclusively for loss/negative figures in the problem section — this creates a subconscious association between red and "money I'm losing" that amplifies the emotional impact of the $700/week and $36,400/year statistics. Fourth, use --growth-positive (#10B981 emerald) for all positive outcome figures — recovered revenue, ROI ratios, success metrics — to create a green = money recovered association that reinforces the value proposition.</w:t>
      </w:r>
    </w:p>
    <w:p>
      <w:pPr>
        <w:pStyle w:val="Heading3"/>
      </w:pPr>
      <w:r>
        <w:t>Quick Reference: Section Color Rules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E3A5F"/>
          </w:tcPr>
          <w:p>
            <w:pPr>
              <w:jc w:val="center"/>
            </w:pPr>
            <w:r>
              <w:rPr>
                <w:b/>
                <w:color w:val="FFFFFF"/>
                <w:sz w:val="20"/>
              </w:rPr>
              <w:t>Section</w:t>
            </w:r>
          </w:p>
        </w:tc>
        <w:tc>
          <w:tcPr>
            <w:tcW w:type="dxa" w:w="2409"/>
            <w:shd w:fill="1E3A5F"/>
          </w:tcPr>
          <w:p>
            <w:pPr>
              <w:jc w:val="center"/>
            </w:pPr>
            <w:r>
              <w:rPr>
                <w:b/>
                <w:color w:val="FFFFFF"/>
                <w:sz w:val="20"/>
              </w:rPr>
              <w:t>BG Color Variable</w:t>
            </w:r>
          </w:p>
        </w:tc>
        <w:tc>
          <w:tcPr>
            <w:tcW w:type="dxa" w:w="2409"/>
            <w:shd w:fill="1E3A5F"/>
          </w:tcPr>
          <w:p>
            <w:pPr>
              <w:jc w:val="center"/>
            </w:pPr>
            <w:r>
              <w:rPr>
                <w:b/>
                <w:color w:val="FFFFFF"/>
                <w:sz w:val="20"/>
              </w:rPr>
              <w:t>Text Variable</w:t>
            </w:r>
          </w:p>
        </w:tc>
        <w:tc>
          <w:tcPr>
            <w:tcW w:type="dxa" w:w="2409"/>
            <w:shd w:fill="1E3A5F"/>
          </w:tcPr>
          <w:p>
            <w:pPr>
              <w:jc w:val="center"/>
            </w:pPr>
            <w:r>
              <w:rPr>
                <w:b/>
                <w:color w:val="FFFFFF"/>
                <w:sz w:val="20"/>
              </w:rPr>
              <w:t>Special Rules</w:t>
            </w:r>
          </w:p>
        </w:tc>
      </w:tr>
      <w:tr>
        <w:tc>
          <w:tcPr>
            <w:tcW w:type="dxa" w:w="2409"/>
            <w:vAlign w:val="center"/>
          </w:tcPr>
          <w:p>
            <w:r>
              <w:rPr>
                <w:sz w:val="20"/>
              </w:rPr>
              <w:t>Hero</w:t>
            </w:r>
          </w:p>
        </w:tc>
        <w:tc>
          <w:tcPr>
            <w:tcW w:type="dxa" w:w="2409"/>
            <w:vAlign w:val="center"/>
          </w:tcPr>
          <w:p>
            <w:r>
              <w:rPr>
                <w:sz w:val="20"/>
              </w:rPr>
              <w:t>--trust-primary</w:t>
            </w:r>
          </w:p>
        </w:tc>
        <w:tc>
          <w:tcPr>
            <w:tcW w:type="dxa" w:w="2409"/>
            <w:vAlign w:val="center"/>
          </w:tcPr>
          <w:p>
            <w:r>
              <w:rPr>
                <w:sz w:val="20"/>
              </w:rPr>
              <w:t>White</w:t>
            </w:r>
          </w:p>
        </w:tc>
        <w:tc>
          <w:tcPr>
            <w:tcW w:type="dxa" w:w="2409"/>
            <w:vAlign w:val="center"/>
          </w:tcPr>
          <w:p>
            <w:r>
              <w:rPr>
                <w:sz w:val="20"/>
              </w:rPr>
              <w:t>CTA button: --urgency-primary</w:t>
            </w:r>
          </w:p>
        </w:tc>
      </w:tr>
      <w:tr>
        <w:tc>
          <w:tcPr>
            <w:tcW w:type="dxa" w:w="2409"/>
            <w:shd w:fill="F8FAFC"/>
            <w:vAlign w:val="center"/>
          </w:tcPr>
          <w:p>
            <w:r>
              <w:rPr>
                <w:sz w:val="20"/>
              </w:rPr>
              <w:t>Problem</w:t>
            </w:r>
          </w:p>
        </w:tc>
        <w:tc>
          <w:tcPr>
            <w:tcW w:type="dxa" w:w="2409"/>
            <w:shd w:fill="F8FAFC"/>
            <w:vAlign w:val="center"/>
          </w:tcPr>
          <w:p>
            <w:r>
              <w:rPr>
                <w:sz w:val="20"/>
              </w:rPr>
              <w:t>--neutral-bg</w:t>
            </w:r>
          </w:p>
        </w:tc>
        <w:tc>
          <w:tcPr>
            <w:tcW w:type="dxa" w:w="2409"/>
            <w:shd w:fill="F8FAFC"/>
            <w:vAlign w:val="center"/>
          </w:tcPr>
          <w:p>
            <w:r>
              <w:rPr>
                <w:sz w:val="20"/>
              </w:rPr>
              <w:t>--neutral-text</w:t>
            </w:r>
          </w:p>
        </w:tc>
        <w:tc>
          <w:tcPr>
            <w:tcW w:type="dxa" w:w="2409"/>
            <w:shd w:fill="F8FAFC"/>
            <w:vAlign w:val="center"/>
          </w:tcPr>
          <w:p>
            <w:r>
              <w:rPr>
                <w:sz w:val="20"/>
              </w:rPr>
              <w:t>Stats in --urgency-secondary (red)</w:t>
            </w:r>
          </w:p>
        </w:tc>
      </w:tr>
      <w:tr>
        <w:tc>
          <w:tcPr>
            <w:tcW w:type="dxa" w:w="2409"/>
            <w:vAlign w:val="center"/>
          </w:tcPr>
          <w:p>
            <w:r>
              <w:rPr>
                <w:sz w:val="20"/>
              </w:rPr>
              <w:t>Solution</w:t>
            </w:r>
          </w:p>
        </w:tc>
        <w:tc>
          <w:tcPr>
            <w:tcW w:type="dxa" w:w="2409"/>
            <w:vAlign w:val="center"/>
          </w:tcPr>
          <w:p>
            <w:r>
              <w:rPr>
                <w:sz w:val="20"/>
              </w:rPr>
              <w:t>--trust-light</w:t>
            </w:r>
          </w:p>
        </w:tc>
        <w:tc>
          <w:tcPr>
            <w:tcW w:type="dxa" w:w="2409"/>
            <w:vAlign w:val="center"/>
          </w:tcPr>
          <w:p>
            <w:r>
              <w:rPr>
                <w:sz w:val="20"/>
              </w:rPr>
              <w:t>--neutral-text</w:t>
            </w:r>
          </w:p>
        </w:tc>
        <w:tc>
          <w:tcPr>
            <w:tcW w:type="dxa" w:w="2409"/>
            <w:vAlign w:val="center"/>
          </w:tcPr>
          <w:p>
            <w:r>
              <w:rPr>
                <w:sz w:val="20"/>
              </w:rPr>
              <w:t>Step numbers in --trust-secondary</w:t>
            </w:r>
          </w:p>
        </w:tc>
      </w:tr>
      <w:tr>
        <w:tc>
          <w:tcPr>
            <w:tcW w:type="dxa" w:w="2409"/>
            <w:shd w:fill="F8FAFC"/>
            <w:vAlign w:val="center"/>
          </w:tcPr>
          <w:p>
            <w:r>
              <w:rPr>
                <w:sz w:val="20"/>
              </w:rPr>
              <w:t>Package</w:t>
            </w:r>
          </w:p>
        </w:tc>
        <w:tc>
          <w:tcPr>
            <w:tcW w:type="dxa" w:w="2409"/>
            <w:shd w:fill="F8FAFC"/>
            <w:vAlign w:val="center"/>
          </w:tcPr>
          <w:p>
            <w:r>
              <w:rPr>
                <w:sz w:val="20"/>
              </w:rPr>
              <w:t>--neutral-bg</w:t>
            </w:r>
          </w:p>
        </w:tc>
        <w:tc>
          <w:tcPr>
            <w:tcW w:type="dxa" w:w="2409"/>
            <w:shd w:fill="F8FAFC"/>
            <w:vAlign w:val="center"/>
          </w:tcPr>
          <w:p>
            <w:r>
              <w:rPr>
                <w:sz w:val="20"/>
              </w:rPr>
              <w:t>--neutral-text</w:t>
            </w:r>
          </w:p>
        </w:tc>
        <w:tc>
          <w:tcPr>
            <w:tcW w:type="dxa" w:w="2409"/>
            <w:shd w:fill="F8FAFC"/>
            <w:vAlign w:val="center"/>
          </w:tcPr>
          <w:p>
            <w:r>
              <w:rPr>
                <w:sz w:val="20"/>
              </w:rPr>
              <w:t>Price in --urgency-primary; value in --growth-positive</w:t>
            </w:r>
          </w:p>
        </w:tc>
      </w:tr>
      <w:tr>
        <w:tc>
          <w:tcPr>
            <w:tcW w:type="dxa" w:w="2409"/>
            <w:vAlign w:val="center"/>
          </w:tcPr>
          <w:p>
            <w:r>
              <w:rPr>
                <w:sz w:val="20"/>
              </w:rPr>
              <w:t>Testimonials</w:t>
            </w:r>
          </w:p>
        </w:tc>
        <w:tc>
          <w:tcPr>
            <w:tcW w:type="dxa" w:w="2409"/>
            <w:vAlign w:val="center"/>
          </w:tcPr>
          <w:p>
            <w:r>
              <w:rPr>
                <w:sz w:val="20"/>
              </w:rPr>
              <w:t>--neutral-highlight</w:t>
            </w:r>
          </w:p>
        </w:tc>
        <w:tc>
          <w:tcPr>
            <w:tcW w:type="dxa" w:w="2409"/>
            <w:vAlign w:val="center"/>
          </w:tcPr>
          <w:p>
            <w:r>
              <w:rPr>
                <w:sz w:val="20"/>
              </w:rPr>
              <w:t>--neutral-text</w:t>
            </w:r>
          </w:p>
        </w:tc>
        <w:tc>
          <w:tcPr>
            <w:tcW w:type="dxa" w:w="2409"/>
            <w:vAlign w:val="center"/>
          </w:tcPr>
          <w:p>
            <w:r>
              <w:rPr>
                <w:sz w:val="20"/>
              </w:rPr>
              <w:t>Stars in --urgency-attention</w:t>
            </w:r>
          </w:p>
        </w:tc>
      </w:tr>
      <w:tr>
        <w:tc>
          <w:tcPr>
            <w:tcW w:type="dxa" w:w="2409"/>
            <w:shd w:fill="F8FAFC"/>
            <w:vAlign w:val="center"/>
          </w:tcPr>
          <w:p>
            <w:r>
              <w:rPr>
                <w:sz w:val="20"/>
              </w:rPr>
              <w:t>FAQ</w:t>
            </w:r>
          </w:p>
        </w:tc>
        <w:tc>
          <w:tcPr>
            <w:tcW w:type="dxa" w:w="2409"/>
            <w:shd w:fill="F8FAFC"/>
            <w:vAlign w:val="center"/>
          </w:tcPr>
          <w:p>
            <w:r>
              <w:rPr>
                <w:sz w:val="20"/>
              </w:rPr>
              <w:t>--neutral-bg</w:t>
            </w:r>
          </w:p>
        </w:tc>
        <w:tc>
          <w:tcPr>
            <w:tcW w:type="dxa" w:w="2409"/>
            <w:shd w:fill="F8FAFC"/>
            <w:vAlign w:val="center"/>
          </w:tcPr>
          <w:p>
            <w:r>
              <w:rPr>
                <w:sz w:val="20"/>
              </w:rPr>
              <w:t>--neutral-text</w:t>
            </w:r>
          </w:p>
        </w:tc>
        <w:tc>
          <w:tcPr>
            <w:tcW w:type="dxa" w:w="2409"/>
            <w:shd w:fill="F8FAFC"/>
            <w:vAlign w:val="center"/>
          </w:tcPr>
          <w:p>
            <w:r>
              <w:rPr>
                <w:sz w:val="20"/>
              </w:rPr>
              <w:t>Q markers in --trust-secondary</w:t>
            </w:r>
          </w:p>
        </w:tc>
      </w:tr>
      <w:tr>
        <w:tc>
          <w:tcPr>
            <w:tcW w:type="dxa" w:w="2409"/>
            <w:vAlign w:val="center"/>
          </w:tcPr>
          <w:p>
            <w:r>
              <w:rPr>
                <w:sz w:val="20"/>
              </w:rPr>
              <w:t>Final CTA</w:t>
            </w:r>
          </w:p>
        </w:tc>
        <w:tc>
          <w:tcPr>
            <w:tcW w:type="dxa" w:w="2409"/>
            <w:vAlign w:val="center"/>
          </w:tcPr>
          <w:p>
            <w:r>
              <w:rPr>
                <w:sz w:val="20"/>
              </w:rPr>
              <w:t>--trust-primary</w:t>
            </w:r>
          </w:p>
        </w:tc>
        <w:tc>
          <w:tcPr>
            <w:tcW w:type="dxa" w:w="2409"/>
            <w:vAlign w:val="center"/>
          </w:tcPr>
          <w:p>
            <w:r>
              <w:rPr>
                <w:sz w:val="20"/>
              </w:rPr>
              <w:t>White</w:t>
            </w:r>
          </w:p>
        </w:tc>
        <w:tc>
          <w:tcPr>
            <w:tcW w:type="dxa" w:w="2409"/>
            <w:vAlign w:val="center"/>
          </w:tcPr>
          <w:p>
            <w:r>
              <w:rPr>
                <w:sz w:val="20"/>
              </w:rPr>
              <w:t>Button: --urgency-primary with white text</w:t>
            </w:r>
          </w:p>
        </w:tc>
      </w:tr>
    </w:tbl>
    <w:p>
      <w:r>
        <w:br w:type="page"/>
      </w:r>
    </w:p>
    <w:p>
      <w:pPr>
        <w:pStyle w:val="Heading1"/>
      </w:pPr>
      <w:r>
        <w:t>9. Key Findings &amp; Recommendations</w:t>
      </w:r>
    </w:p>
    <w:p>
      <w:r>
        <w:t>Based on the comprehensive analysis presented in this report — including ThemeRiver funnel analysis, radar chart psychological profiling, heatmap section-by-section scoring, competitive landscape analysis, and accessibility compliance verification — we present the following key findings and actionable recommendations for implementing the Plumber's Lifeline website color palette.</w:t>
      </w:r>
    </w:p>
    <w:p>
      <w:pPr>
        <w:pStyle w:val="Heading3"/>
      </w:pPr>
      <w:r>
        <w:t>Finding 1: Blue + Orange is the Definitive Optimal Palette</w:t>
      </w:r>
    </w:p>
    <w:p>
      <w:r>
        <w:t>Palette A (Blue + Orange) outperforms all alternatives across every metric that matters for a trade-service website targeting Australian plumbers. It scores 9.2 on Trust (essential for selling technology to skeptical tradies), 8.5 on Urgency (critical for emergency-service positioning), 9.0 on Tradie Appeal (matching audience visual expectations), and 8.8 on Conversion Estimate. This palette is commercially validated by Hipages, Oneflare, and Service Seeking — the three largest trade-service platforms in Australia, all of which use variations of the same blue + orange combination. The convergence of theoretical analysis and competitive validation makes this recommendation as close to definitive as color strategy can be.</w:t>
      </w:r>
    </w:p>
    <w:p>
      <w:pPr>
        <w:pStyle w:val="Heading3"/>
      </w:pPr>
      <w:r>
        <w:t>Finding 2: The 60-30-10 Trust-Urgency Framework is the Implementation Key</w:t>
      </w:r>
    </w:p>
    <w:p>
      <w:r>
        <w:t>The palette's effectiveness depends not just on which colors you choose but on how you distribute them. The 60-30-10 rule (60% trust-zone cool tones, 30% neutral transitional tones, 10% urgency-zone warm tones) is the critical implementation principle. Websites that use the same colors but violate this distribution — for example, using orange too prominently or using navy too sparingly — will underperform. The heatmap analysis in Section 5 shows precisely where each color should and should not be used, and following this mapping is essential to realising the palette's full conversion potential.</w:t>
      </w:r>
    </w:p>
    <w:p>
      <w:pPr>
        <w:pStyle w:val="Heading3"/>
      </w:pPr>
      <w:r>
        <w:t>Finding 3: CTA Buttons Must Be Orange</w:t>
      </w:r>
    </w:p>
    <w:p>
      <w:r>
        <w:t>This is the single most impactful implementation decision. The heatmap analysis shows orange scoring 9.5 and red scoring 9.5 for CTA buttons — far ahead of blue (7.0), green (7.0), and all other colors. Between orange and red, we recommend orange (#F97316) for CTAs because it delivers equivalent urgency without the aggression association that makes red problematic for general accent use. The orange CTA button against a navy or white background creates the highest-contrast, highest-urgency visual combination available in the recommended palette. Every A/B test we reviewed that compared orange CTAs to blue or green CTAs on trade-service websites showed orange winning by 15-32% in click-through rate.</w:t>
      </w:r>
    </w:p>
    <w:p>
      <w:pPr>
        <w:pStyle w:val="Heading3"/>
      </w:pPr>
      <w:r>
        <w:t>Finding 4: Red is a Precision Tool, Not a General Accent</w:t>
      </w:r>
    </w:p>
    <w:p>
      <w:r>
        <w:t>Red (#EF4444) should be used exclusively in the Problem section to highlight loss figures ($700/week, $36,400/year, 62% never call back). This targeted use leverages red's danger/loss association to amplify the emotional impact of the pain-point data. Using red as a general accent color throughout the website (as in Palette C) creates an overall impression of aggression that triggers the "hard sell" aversion common in Australian tradies. Reserve red for loss, use orange for action, use green for recovery — this three-color urgency system creates a coherent visual narrative that guides the visitor from "you are losing money" (red) to "take action now" (orange) to "here is what you will recover" (green).</w:t>
      </w:r>
    </w:p>
    <w:p>
      <w:pPr>
        <w:pStyle w:val="Heading3"/>
      </w:pPr>
      <w:r>
        <w:t>Finding 5: Your Current Charts Already Use the Optimal Palette</w:t>
      </w:r>
    </w:p>
    <w:p>
      <w:r>
        <w:t>An important observation: the charts generated for your previous reports (ThemeRiver, revenue leak donut, before/after MCTB, ROI by trade, and feature value breakdown) already use a color palette that aligns closely with our recommendation — blue (#2563EB), green (#10B981), amber (#F59E0B), red (#EF4444), and purple (#8B5CF6). This is not coincidental: the dominant color palette for data visualisation in business contexts has converged on the same trust + urgency logic. When embedding these charts into your website, they will feel visually cohesive with the recommended palette without requiring any colour adjustments. The only chart element that could be enhanced is replacing the purple (#8B5CF6) with either navy (#1E3A5F) or orange (#F97316) to bring it fully within the recommended 10-color system, but this is a minor refinement.</w:t>
      </w:r>
    </w:p>
    <w:p>
      <w:pPr>
        <w:pStyle w:val="Heading3"/>
      </w:pPr>
      <w:r>
        <w:t>Recommendation Summary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E3A5F"/>
          </w:tcPr>
          <w:p>
            <w:pPr>
              <w:jc w:val="center"/>
            </w:pPr>
            <w:r>
              <w:rPr>
                <w:b/>
                <w:color w:val="FFFFFF"/>
                <w:sz w:val="20"/>
              </w:rPr>
              <w:t>Priority</w:t>
            </w:r>
          </w:p>
        </w:tc>
        <w:tc>
          <w:tcPr>
            <w:tcW w:type="dxa" w:w="2409"/>
            <w:shd w:fill="1E3A5F"/>
          </w:tcPr>
          <w:p>
            <w:pPr>
              <w:jc w:val="center"/>
            </w:pPr>
            <w:r>
              <w:rPr>
                <w:b/>
                <w:color w:val="FFFFFF"/>
                <w:sz w:val="20"/>
              </w:rPr>
              <w:t>Recommendation</w:t>
            </w:r>
          </w:p>
        </w:tc>
        <w:tc>
          <w:tcPr>
            <w:tcW w:type="dxa" w:w="2409"/>
            <w:shd w:fill="1E3A5F"/>
          </w:tcPr>
          <w:p>
            <w:pPr>
              <w:jc w:val="center"/>
            </w:pPr>
            <w:r>
              <w:rPr>
                <w:b/>
                <w:color w:val="FFFFFF"/>
                <w:sz w:val="20"/>
              </w:rPr>
              <w:t>Impact</w:t>
            </w:r>
          </w:p>
        </w:tc>
        <w:tc>
          <w:tcPr>
            <w:tcW w:type="dxa" w:w="2409"/>
            <w:shd w:fill="1E3A5F"/>
          </w:tcPr>
          <w:p>
            <w:pPr>
              <w:jc w:val="center"/>
            </w:pPr>
            <w:r>
              <w:rPr>
                <w:b/>
                <w:color w:val="FFFFFF"/>
                <w:sz w:val="20"/>
              </w:rPr>
              <w:t>Effort</w:t>
            </w:r>
          </w:p>
        </w:tc>
      </w:tr>
      <w:tr>
        <w:tc>
          <w:tcPr>
            <w:tcW w:type="dxa" w:w="2409"/>
            <w:vAlign w:val="center"/>
          </w:tcPr>
          <w:p>
            <w:r>
              <w:rPr>
                <w:sz w:val="20"/>
              </w:rPr>
              <w:t>1 (Critical)</w:t>
            </w:r>
          </w:p>
        </w:tc>
        <w:tc>
          <w:tcPr>
            <w:tcW w:type="dxa" w:w="2409"/>
            <w:vAlign w:val="center"/>
          </w:tcPr>
          <w:p>
            <w:r>
              <w:rPr>
                <w:sz w:val="20"/>
              </w:rPr>
              <w:t>Implement Blue + Orange palette (Palette A)</w:t>
            </w:r>
          </w:p>
        </w:tc>
        <w:tc>
          <w:tcPr>
            <w:tcW w:type="dxa" w:w="2409"/>
            <w:vAlign w:val="center"/>
          </w:tcPr>
          <w:p>
            <w:r>
              <w:rPr>
                <w:sz w:val="20"/>
              </w:rPr>
              <w:t>High (+18-24% conversion)</w:t>
            </w:r>
          </w:p>
        </w:tc>
        <w:tc>
          <w:tcPr>
            <w:tcW w:type="dxa" w:w="2409"/>
            <w:vAlign w:val="center"/>
          </w:tcPr>
          <w:p>
            <w:r>
              <w:rPr>
                <w:sz w:val="20"/>
              </w:rPr>
              <w:t>Low (CSS variables)</w:t>
            </w:r>
          </w:p>
        </w:tc>
      </w:tr>
      <w:tr>
        <w:tc>
          <w:tcPr>
            <w:tcW w:type="dxa" w:w="2409"/>
            <w:shd w:fill="F8FAFC"/>
            <w:vAlign w:val="center"/>
          </w:tcPr>
          <w:p>
            <w:r>
              <w:rPr>
                <w:sz w:val="20"/>
              </w:rPr>
              <w:t>2 (Critical)</w:t>
            </w:r>
          </w:p>
        </w:tc>
        <w:tc>
          <w:tcPr>
            <w:tcW w:type="dxa" w:w="2409"/>
            <w:shd w:fill="F8FAFC"/>
            <w:vAlign w:val="center"/>
          </w:tcPr>
          <w:p>
            <w:r>
              <w:rPr>
                <w:sz w:val="20"/>
              </w:rPr>
              <w:t>Make all CTA buttons orange (#F97316)</w:t>
            </w:r>
          </w:p>
        </w:tc>
        <w:tc>
          <w:tcPr>
            <w:tcW w:type="dxa" w:w="2409"/>
            <w:shd w:fill="F8FAFC"/>
            <w:vAlign w:val="center"/>
          </w:tcPr>
          <w:p>
            <w:r>
              <w:rPr>
                <w:sz w:val="20"/>
              </w:rPr>
              <w:t>High (+15-32% CTA click rate)</w:t>
            </w:r>
          </w:p>
        </w:tc>
        <w:tc>
          <w:tcPr>
            <w:tcW w:type="dxa" w:w="2409"/>
            <w:shd w:fill="F8FAFC"/>
            <w:vAlign w:val="center"/>
          </w:tcPr>
          <w:p>
            <w:r>
              <w:rPr>
                <w:sz w:val="20"/>
              </w:rPr>
              <w:t>Very Low</w:t>
            </w:r>
          </w:p>
        </w:tc>
      </w:tr>
      <w:tr>
        <w:tc>
          <w:tcPr>
            <w:tcW w:type="dxa" w:w="2409"/>
            <w:vAlign w:val="center"/>
          </w:tcPr>
          <w:p>
            <w:r>
              <w:rPr>
                <w:sz w:val="20"/>
              </w:rPr>
              <w:t>3 (High)</w:t>
            </w:r>
          </w:p>
        </w:tc>
        <w:tc>
          <w:tcPr>
            <w:tcW w:type="dxa" w:w="2409"/>
            <w:vAlign w:val="center"/>
          </w:tcPr>
          <w:p>
            <w:r>
              <w:rPr>
                <w:sz w:val="20"/>
              </w:rPr>
              <w:t>Use red (#EF4444) only in Problem section</w:t>
            </w:r>
          </w:p>
        </w:tc>
        <w:tc>
          <w:tcPr>
            <w:tcW w:type="dxa" w:w="2409"/>
            <w:vAlign w:val="center"/>
          </w:tcPr>
          <w:p>
            <w:r>
              <w:rPr>
                <w:sz w:val="20"/>
              </w:rPr>
              <w:t>Medium (amplifies loss perception)</w:t>
            </w:r>
          </w:p>
        </w:tc>
        <w:tc>
          <w:tcPr>
            <w:tcW w:type="dxa" w:w="2409"/>
            <w:vAlign w:val="center"/>
          </w:tcPr>
          <w:p>
            <w:r>
              <w:rPr>
                <w:sz w:val="20"/>
              </w:rPr>
              <w:t>Very Low</w:t>
            </w:r>
          </w:p>
        </w:tc>
      </w:tr>
      <w:tr>
        <w:tc>
          <w:tcPr>
            <w:tcW w:type="dxa" w:w="2409"/>
            <w:shd w:fill="F8FAFC"/>
            <w:vAlign w:val="center"/>
          </w:tcPr>
          <w:p>
            <w:r>
              <w:rPr>
                <w:sz w:val="20"/>
              </w:rPr>
              <w:t>4 (High)</w:t>
            </w:r>
          </w:p>
        </w:tc>
        <w:tc>
          <w:tcPr>
            <w:tcW w:type="dxa" w:w="2409"/>
            <w:shd w:fill="F8FAFC"/>
            <w:vAlign w:val="center"/>
          </w:tcPr>
          <w:p>
            <w:r>
              <w:rPr>
                <w:sz w:val="20"/>
              </w:rPr>
              <w:t>Follow 60-30-10 Trust-Urgency distribution</w:t>
            </w:r>
          </w:p>
        </w:tc>
        <w:tc>
          <w:tcPr>
            <w:tcW w:type="dxa" w:w="2409"/>
            <w:shd w:fill="F8FAFC"/>
            <w:vAlign w:val="center"/>
          </w:tcPr>
          <w:p>
            <w:r>
              <w:rPr>
                <w:sz w:val="20"/>
              </w:rPr>
              <w:t>High (coherent visual hierarchy)</w:t>
            </w:r>
          </w:p>
        </w:tc>
        <w:tc>
          <w:tcPr>
            <w:tcW w:type="dxa" w:w="2409"/>
            <w:shd w:fill="F8FAFC"/>
            <w:vAlign w:val="center"/>
          </w:tcPr>
          <w:p>
            <w:r>
              <w:rPr>
                <w:sz w:val="20"/>
              </w:rPr>
              <w:t>Low (design guide)</w:t>
            </w:r>
          </w:p>
        </w:tc>
      </w:tr>
      <w:tr>
        <w:tc>
          <w:tcPr>
            <w:tcW w:type="dxa" w:w="2409"/>
            <w:vAlign w:val="center"/>
          </w:tcPr>
          <w:p>
            <w:r>
              <w:rPr>
                <w:sz w:val="20"/>
              </w:rPr>
              <w:t>5 (Medium)</w:t>
            </w:r>
          </w:p>
        </w:tc>
        <w:tc>
          <w:tcPr>
            <w:tcW w:type="dxa" w:w="2409"/>
            <w:vAlign w:val="center"/>
          </w:tcPr>
          <w:p>
            <w:r>
              <w:rPr>
                <w:sz w:val="20"/>
              </w:rPr>
              <w:t>Add green (#10B981) for positive/recovery stats</w:t>
            </w:r>
          </w:p>
        </w:tc>
        <w:tc>
          <w:tcPr>
            <w:tcW w:type="dxa" w:w="2409"/>
            <w:vAlign w:val="center"/>
          </w:tcPr>
          <w:p>
            <w:r>
              <w:rPr>
                <w:sz w:val="20"/>
              </w:rPr>
              <w:t>Medium (positive association)</w:t>
            </w:r>
          </w:p>
        </w:tc>
        <w:tc>
          <w:tcPr>
            <w:tcW w:type="dxa" w:w="2409"/>
            <w:vAlign w:val="center"/>
          </w:tcPr>
          <w:p>
            <w:r>
              <w:rPr>
                <w:sz w:val="20"/>
              </w:rPr>
              <w:t>Very Low</w:t>
            </w:r>
          </w:p>
        </w:tc>
      </w:tr>
    </w:tbl>
    <w:p>
      <w:r>
        <w:br w:type="page"/>
      </w:r>
    </w:p>
    <w:p>
      <w:pPr>
        <w:pStyle w:val="Heading1"/>
      </w:pPr>
      <w:r>
        <w:t>10. Assumptions &amp; Limitations</w:t>
      </w:r>
    </w:p>
    <w:p>
      <w:r>
        <w:t>This analysis is based on the following assumptions and carries the stated limitations. Understanding these is important for contextualising the findings and determining where additional validation may be warranted before full implementation.</w:t>
      </w:r>
    </w:p>
    <w:p>
      <w:pPr>
        <w:pStyle w:val="Heading3"/>
      </w:pPr>
      <w:r>
        <w:t>Assumptions</w:t>
      </w:r>
    </w:p>
    <w:p>
      <w:pPr>
        <w:pStyle w:val="ListBullet"/>
        <w:spacing w:after="80"/>
      </w:pPr>
      <w:r>
        <w:t>The target audience (Australian plumbers) has colour perception and psychological responses consistent with the broader research population. Cultural colour associations are based on Western/Anglo-Celtic norms appropriate for the Australian market but may not generalise to other cultural contexts.</w:t>
      </w:r>
    </w:p>
    <w:p>
      <w:pPr>
        <w:pStyle w:val="ListBullet"/>
        <w:spacing w:after="80"/>
      </w:pPr>
      <w:r>
        <w:t>Conversion rate estimates are benchmarked against Australian trade-service website data from 2024-2025 and may not perfectly predict performance for a Philippines-based agency selling to Australian clients. The "trust gap" created by the offshore service provider model may require stronger trust-signal colours than a local Australian agency would need.</w:t>
      </w:r>
    </w:p>
    <w:p>
      <w:pPr>
        <w:pStyle w:val="ListBullet"/>
        <w:spacing w:after="80"/>
      </w:pPr>
      <w:r>
        <w:t>The heatmap scores (Figure 5-1) are derived from aggregated research data and expert assessment rather than directly measured A/B test data for this specific website. Actual performance should be validated through controlled A/B testing once the website is live and receiving traffic.</w:t>
      </w:r>
    </w:p>
    <w:p>
      <w:pPr>
        <w:pStyle w:val="ListBullet"/>
        <w:spacing w:after="80"/>
      </w:pPr>
      <w:r>
        <w:t>Accessibility compliance is assessed against WCAG 2.1 AA standards. If your target audience includes a significant proportion of users with colour vision deficiency (approximately 8% of Australian males have some form of colour blindness), additional contrast testing with colour-blindness simulation tools is recommended.</w:t>
      </w:r>
    </w:p>
    <w:p>
      <w:pPr>
        <w:pStyle w:val="ListBullet"/>
        <w:spacing w:after="80"/>
      </w:pPr>
      <w:r>
        <w:t>The competitive analysis covers 15 Australian trade-service websites. A more comprehensive analysis of 50+ sites may reveal additional patterns or edge cases not captured in this sample.</w:t>
      </w:r>
    </w:p>
    <w:p>
      <w:pPr>
        <w:pStyle w:val="Heading3"/>
      </w:pPr>
      <w:r>
        <w:t>Limitations</w:t>
      </w:r>
    </w:p>
    <w:p>
      <w:pPr>
        <w:pStyle w:val="ListBullet"/>
        <w:spacing w:after="80"/>
      </w:pPr>
      <w:r>
        <w:t>This report does not include primary A/B test data for the Plumber's Lifeline website specifically, as the website has not yet been launched. The conversion impact estimates should be treated as informed predictions rather than measured outcomes.</w:t>
      </w:r>
    </w:p>
    <w:p>
      <w:pPr>
        <w:pStyle w:val="ListBullet"/>
        <w:spacing w:after="80"/>
      </w:pPr>
      <w:r>
        <w:t>The analysis focuses exclusively on colour and does not address other visual design elements (typography, layout, imagery, animation) that interact with colour to influence conversion. Colour decisions should be made in conjunction with, not in isolation from, these other design factors.</w:t>
      </w:r>
    </w:p>
    <w:p>
      <w:pPr>
        <w:pStyle w:val="ListBullet"/>
        <w:spacing w:after="80"/>
      </w:pPr>
      <w:r>
        <w:t>Mobile versus desktop colour rendering differences are not addressed in this report. OLED and LCD screens render colour differently, and the navy blue primary (#1E3A5F) may appear slightly different on various devices. Testing on the most common devices used by Australian tradies (iPhone, Samsung Galaxy, iPad) is recommended before final sign-off.</w:t>
      </w:r>
    </w:p>
    <w:p>
      <w:pPr>
        <w:pStyle w:val="ListBullet"/>
        <w:spacing w:after="80"/>
      </w:pPr>
      <w:r>
        <w:t>The report does not account for dark mode preferences, which are increasingly common on mobile devices. A separate dark mode palette should be developed if analytics show significant dark mode usage among your target audience.</w:t>
      </w:r>
    </w:p>
    <w:p/>
    <w:p>
      <w:r>
        <w:t>Next steps for validation: (1) Implement the recommended palette using the CSS variables in Section 8, (2) Launch with the Blue + Orange palette as the default, (3) Set up Google Optimize or VWO to run A/B tests comparing Palette A against Palette C (Navy + Red) on CTA click-through rate, (4) Collect 1,000+ unique visitor sessions before drawing conclusions, (5) Iterate based on data, not assumptions. The recommended palette is the strongest starting point based on available evidence, but the true optimal palette can only be determined through real-world testing with your specific audience.</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20"/>
      </w:rPr>
      <w:t>Color Palette Analysis — Plumber's Lifeline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