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ANDoc Office Import Fixture</w:t>
      </w:r>
    </w:p>
    <w:p>
      <w:pPr>
        <w:spacing w:after="320"/>
      </w:pPr>
      <w:r>
        <w:rPr>
          <w:rFonts w:ascii="Calibri" w:hAnsi="Calibri"/>
          <w:color w:val="373737"/>
          <w:sz w:val="28"/>
        </w:rPr>
        <w:t>A representative DOCX for human and agent interoperability testing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Purpose: </w:t>
      </w:r>
      <w:r>
        <w:rPr>
          <w:rFonts w:ascii="Calibri" w:hAnsi="Calibri"/>
          <w:color w:val="000000"/>
          <w:sz w:val="22"/>
        </w:rPr>
        <w:t>Validate DOCX to ANDoc conversion through local Docling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Owner: </w:t>
      </w:r>
      <w:r>
        <w:rPr>
          <w:rFonts w:ascii="Calibri" w:hAnsi="Calibri"/>
          <w:color w:val="000000"/>
          <w:sz w:val="22"/>
        </w:rPr>
        <w:t>ANDoc product development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Status: </w:t>
      </w:r>
      <w:r>
        <w:rPr>
          <w:rFonts w:ascii="Calibri" w:hAnsi="Calibri"/>
          <w:color w:val="000000"/>
          <w:sz w:val="22"/>
        </w:rPr>
        <w:t>MVP acceptance fixture</w:t>
      </w:r>
    </w:p>
    <w:p>
      <w:pPr>
        <w:pStyle w:val="Heading1"/>
      </w:pPr>
      <w:r>
        <w:t>Agent Experience</w:t>
      </w:r>
    </w:p>
    <w:p>
      <w:r>
        <w:t>An agent should locate this paragraph through compact search, cite its stable node address, preview a targeted edit, and apply the change without loading or rewriting the full document.</w:t>
      </w:r>
    </w:p>
    <w:p>
      <w:r>
        <w:t>A human should see the same revision in the editor and exported PDF, including the original source provenance retained inside one portable ANDoc file.</w:t>
      </w:r>
    </w:p>
    <w:p>
      <w:pPr>
        <w:pStyle w:val="Heading2"/>
      </w:pPr>
      <w:r>
        <w:t>Structured Operations Table</w:t>
      </w:r>
    </w:p>
    <w:p>
      <w:pPr>
        <w:spacing w:before="80" w:after="80"/>
      </w:pPr>
      <w:r>
        <w:rPr>
          <w:rFonts w:ascii="Calibri" w:hAnsi="Calibri"/>
          <w:i/>
          <w:color w:val="666666"/>
          <w:sz w:val="18"/>
        </w:rPr>
        <w:t>Table 1. Controlled values for semantic table extraction and targeted cell editing.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520"/>
        <w:gridCol w:w="3960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Metric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Baseline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Review status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Availability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96.2%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Ready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Net output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412 MW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Heat rate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10,420 Btu/kWh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</w:t>
            </w:r>
          </w:p>
        </w:tc>
      </w:tr>
    </w:tbl>
    <w:p>
      <w:pPr>
        <w:pStyle w:val="Heading2"/>
      </w:pPr>
      <w:r>
        <w:t>Acceptance Statement</w:t>
      </w:r>
    </w:p>
    <w:p>
      <w:r>
        <w:t>This file passes when the original DOCX, canonical blocks, stable table cells, revision history, human HTML, and deterministic PDF export remain synchronized inside the resulting ANDoc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6666"/>
        <w:sz w:val="18"/>
      </w:rPr>
      <w:t>Controlled local test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666666"/>
        <w:sz w:val="18"/>
      </w:rPr>
      <w:t>ANDoc validation fixture | Office import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ANDoc Office Import Fixture</dc:title>
  <dc:subject>Controlled local interoperability test</dc:subject>
  <dc:creator>ANDoc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