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01.120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A00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T/DEMO 002-2026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表格附加项颗粒度示例</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Granular example for table add-ons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2026-06-08发布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2026-07-01实施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示例标准化技术委员会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本文件由示例标准化技术委员会提出并归口。</w:t>
      </w:r>
    </w:p>
    <w:p>
      <w:pPr>
        <w:pStyle w:val="56"/>
      </w:pPr>
      <w:r>
        <w:t>本文件起草单位：示例标准化研究中心。</w:t>
      </w:r>
    </w:p>
    <w:p>
      <w:pPr>
        <w:pStyle w:val="56"/>
      </w:pPr>
      <w:r>
        <w:t>本文件主要起草人：张三。</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表格附加项颗粒度示例</w:t>
      </w:r>
    </w:p>
    <w:p>
      <w:pPr>
        <w:pStyle w:val="104"/>
      </w:pPr>
      <w:r>
        <w:t>范围</w:t>
      </w:r>
    </w:p>
    <w:p>
      <w:pPr>
        <w:pStyle w:val="56"/>
      </w:pPr>
      <w:r>
        <w:t>本文件按 GB/T 1.1—2020 的表格和图示例展示单位陈述、图表内普通注、标引序号说明和脚注的 Markdown 写法。</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_T1_1"/>
      <w:r>
        <w:t>GB/T 1.1</w:t>
      </w:r>
      <w:bookmarkEnd w:id="1000"/>
      <w:r>
        <w:t xml:space="preserve">  标准化工作导则</w:t>
      </w:r>
    </w:p>
    <w:p>
      <w:pPr>
        <w:pStyle w:val="104"/>
      </w:pPr>
      <w:r>
        <w:t>表格示例</w:t>
      </w:r>
    </w:p>
    <w:p>
      <w:pPr>
        <w:pStyle w:val="112"/>
        <w:numPr>
          <w:ilvl w:val="0"/>
          <w:numId w:val="16"/>
        </w:numPr>
      </w:pPr>
      <w:r>
        <w:t xml:space="preserve">　</w:t>
      </w:r>
      <w:bookmarkStart w:id="1001" w:name="_Ref732436255"/>
      <w:bookmarkStart w:id="1002" w:name="_Ref897873049"/>
      <w:bookmarkStart w:id="1003" w:name="_Ref151424007"/>
      <w:bookmarkStart w:id="1004" w:name="_Ref688101815"/>
      <w:r>
        <w:t>表题</w:t>
      </w:r>
      <w:bookmarkEnd w:id="1001"/>
      <w:bookmarkEnd w:id="1002"/>
      <w:bookmarkEnd w:id="1003"/>
      <w:bookmarkEnd w:id="1004"/>
    </w:p>
    <w:p>
      <w:pPr>
        <w:pStyle w:val="192"/>
        <w:jc w:val="right"/>
      </w:pPr>
      <w:r>
        <w:t>单位为毫米</w:t>
      </w:r>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类型</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长度</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内圆直径</w:t>
            </w:r>
            <w:r>
              <w:rPr>
                <w:rStyle w:val="102"/>
                <w:vertAlign w:val="superscript"/>
              </w:rPr>
              <w:t>a</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外圆直径</w:t>
            </w:r>
          </w:p>
        </w:tc>
      </w:tr>
      <w:tr>
        <w:tc>
          <w:tcPr>
            <w:tcW w:type="dxa" w:w="2409"/>
            <w:vAlign w:val="center"/>
            <w:tcMar>
              <w:top w:w="60" w:type="dxa"/>
              <w:left w:w="100" w:type="dxa"/>
              <w:bottom w:w="60" w:type="dxa"/>
              <w:right w:w="100" w:type="dxa"/>
            </w:tcMar>
          </w:tcPr>
          <w:p>
            <w:pPr>
              <w:pStyle w:val="178"/>
              <w:jc w:val="center"/>
            </w:pPr>
            <w:r/>
            <w:r>
              <w:t>A</w:t>
            </w:r>
          </w:p>
        </w:tc>
        <w:tc>
          <w:tcPr>
            <w:tcW w:type="dxa" w:w="2409"/>
            <w:vAlign w:val="center"/>
            <w:tcMar>
              <w:top w:w="60" w:type="dxa"/>
              <w:left w:w="100" w:type="dxa"/>
              <w:bottom w:w="60" w:type="dxa"/>
              <w:right w:w="100" w:type="dxa"/>
            </w:tcMar>
          </w:tcPr>
          <w:p>
            <w:pPr>
              <w:pStyle w:val="178"/>
              <w:jc w:val="center"/>
            </w:pPr>
            <w:r/>
            <w:r>
              <w:t>230</w:t>
            </w:r>
          </w:p>
        </w:tc>
        <w:tc>
          <w:tcPr>
            <w:tcW w:type="dxa" w:w="2409"/>
            <w:vAlign w:val="center"/>
            <w:tcMar>
              <w:top w:w="60" w:type="dxa"/>
              <w:left w:w="100" w:type="dxa"/>
              <w:bottom w:w="60" w:type="dxa"/>
              <w:right w:w="100" w:type="dxa"/>
            </w:tcMar>
          </w:tcPr>
          <w:p>
            <w:pPr>
              <w:pStyle w:val="178"/>
              <w:jc w:val="center"/>
            </w:pPr>
            <w:r/>
            <w:r>
              <w:t>100</w:t>
            </w:r>
          </w:p>
        </w:tc>
        <w:tc>
          <w:tcPr>
            <w:tcW w:type="dxa" w:w="2409"/>
            <w:vAlign w:val="center"/>
            <w:tcMar>
              <w:top w:w="60" w:type="dxa"/>
              <w:left w:w="100" w:type="dxa"/>
              <w:bottom w:w="60" w:type="dxa"/>
              <w:right w:w="100" w:type="dxa"/>
            </w:tcMar>
          </w:tcPr>
          <w:p>
            <w:pPr>
              <w:pStyle w:val="178"/>
              <w:jc w:val="center"/>
            </w:pPr>
            <w:r/>
            <w:r>
              <w:t>125</w:t>
            </w:r>
          </w:p>
        </w:tc>
      </w:tr>
      <w:tr>
        <w:tc>
          <w:tcPr>
            <w:tcW w:type="dxa" w:w="2409"/>
            <w:vAlign w:val="center"/>
            <w:tcMar>
              <w:top w:w="60" w:type="dxa"/>
              <w:left w:w="100" w:type="dxa"/>
              <w:bottom w:w="60" w:type="dxa"/>
              <w:right w:w="100" w:type="dxa"/>
            </w:tcMar>
          </w:tcPr>
          <w:p>
            <w:pPr>
              <w:pStyle w:val="178"/>
              <w:jc w:val="center"/>
            </w:pPr>
            <w:r/>
            <w:r>
              <w:t>……</w:t>
            </w:r>
          </w:p>
        </w:tc>
        <w:tc>
          <w:tcPr>
            <w:tcW w:type="dxa" w:w="2409"/>
            <w:vAlign w:val="center"/>
            <w:tcMar>
              <w:top w:w="60" w:type="dxa"/>
              <w:left w:w="100" w:type="dxa"/>
              <w:bottom w:w="60" w:type="dxa"/>
              <w:right w:w="100" w:type="dxa"/>
            </w:tcMar>
          </w:tcPr>
          <w:p>
            <w:pPr>
              <w:pStyle w:val="178"/>
              <w:jc w:val="center"/>
            </w:pPr>
            <w:r/>
            <w:r>
              <w:t>……</w:t>
            </w:r>
          </w:p>
        </w:tc>
        <w:tc>
          <w:tcPr>
            <w:tcW w:type="dxa" w:w="2409"/>
            <w:vAlign w:val="center"/>
            <w:tcMar>
              <w:top w:w="60" w:type="dxa"/>
              <w:left w:w="100" w:type="dxa"/>
              <w:bottom w:w="60" w:type="dxa"/>
              <w:right w:w="100" w:type="dxa"/>
            </w:tcMar>
          </w:tcPr>
          <w:p>
            <w:pPr>
              <w:pStyle w:val="178"/>
              <w:jc w:val="center"/>
            </w:pPr>
            <w:r/>
            <w:r>
              <w:t>……</w:t>
            </w:r>
          </w:p>
        </w:tc>
        <w:tc>
          <w:tcPr>
            <w:tcW w:type="dxa" w:w="2409"/>
            <w:vAlign w:val="center"/>
            <w:tcMar>
              <w:top w:w="60" w:type="dxa"/>
              <w:left w:w="100" w:type="dxa"/>
              <w:bottom w:w="60" w:type="dxa"/>
              <w:right w:w="100" w:type="dxa"/>
            </w:tcMar>
          </w:tcPr>
          <w:p>
            <w:pPr>
              <w:pStyle w:val="178"/>
              <w:jc w:val="center"/>
            </w:pPr>
            <w:r/>
            <w:r>
              <w:t>……</w:t>
            </w:r>
          </w:p>
        </w:tc>
      </w:tr>
      <w:tr>
        <w:tc>
          <w:tcPr>
            <w:tcW w:type="dxa" w:w="9636"/>
            <w:gridSpan w:val="4"/>
            <w:vAlign w:val="center"/>
            <w:tcMar>
              <w:top w:w="60" w:type="dxa"/>
              <w:left w:w="100" w:type="dxa"/>
              <w:bottom w:w="60" w:type="dxa"/>
              <w:right w:w="100" w:type="dxa"/>
            </w:tcMar>
          </w:tcPr>
          <w:p>
            <w:pPr>
              <w:pStyle w:val="56"/>
              <w:jc w:val="left"/>
              <w:ind w:firstLine="199" w:firstLineChars="95"/>
            </w:pPr>
            <w:r/>
            <w:r>
              <w:t>段（可包含要求型条款）</w:t>
            </w:r>
          </w:p>
          <w:p>
            <w:pPr>
              <w:pStyle w:val="180"/>
              <w:numPr>
                <w:ilvl w:val="0"/>
                <w:numId w:val="32"/>
              </w:numPr>
            </w:pPr>
            <w:r>
              <w:t>表中的注的内容</w:t>
            </w:r>
          </w:p>
          <w:p>
            <w:pPr>
              <w:pStyle w:val="180"/>
              <w:numPr>
                <w:ilvl w:val="0"/>
                <w:numId w:val="32"/>
              </w:numPr>
            </w:pPr>
            <w:r>
              <w:t>表中的注的内容</w:t>
            </w:r>
          </w:p>
        </w:tc>
      </w:tr>
      <w:tr>
        <w:tc>
          <w:tcPr>
            <w:tcW w:type="dxa" w:w="9636"/>
            <w:gridSpan w:val="4"/>
            <w:vAlign w:val="center"/>
            <w:tcMar>
              <w:top w:w="60" w:type="dxa"/>
              <w:left w:w="100" w:type="dxa"/>
              <w:bottom w:w="60" w:type="dxa"/>
              <w:right w:w="100" w:type="dxa"/>
            </w:tcMar>
          </w:tcPr>
          <w:p>
            <w:pPr>
              <w:pStyle w:val="101"/>
              <w:numPr>
                <w:ilvl w:val="0"/>
                <w:numId w:val="33"/>
              </w:numPr>
              <w:jc w:val="left"/>
            </w:pPr>
            <w:r/>
            <w:r>
              <w:t>表脚注的内容</w:t>
            </w:r>
          </w:p>
        </w:tc>
      </w:tr>
      <w:tr>
        <w:tc>
          <w:tcPr>
            <w:tcW w:type="dxa" w:w="9636"/>
            <w:gridSpan w:val="4"/>
            <w:vAlign w:val="center"/>
            <w:tcMar>
              <w:top w:w="60" w:type="dxa"/>
              <w:left w:w="100" w:type="dxa"/>
              <w:bottom w:w="60" w:type="dxa"/>
              <w:right w:w="100" w:type="dxa"/>
            </w:tcMar>
          </w:tcPr>
          <w:p>
            <w:pPr>
              <w:pStyle w:val="192"/>
              <w:ind w:firstLine="0"/>
              <w:jc w:val="left"/>
            </w:pPr>
            <w:r/>
            <w:r>
              <w:t>来源：</w:t>
            </w:r>
            <w:r>
              <w:t>资料来自 GB/T 1.1 表格版式示例。</w:t>
            </w:r>
          </w:p>
        </w:tc>
      </w:tr>
    </w:tbl>
    <w:p>
      <w:pPr/>
      <w:r>
        <w:br w:type="page"/>
      </w:r>
    </w:p>
    <w:p>
      <w:pPr>
        <w:pStyle w:val="104"/>
      </w:pPr>
      <w:r>
        <w:t>图示例</w:t>
      </w:r>
    </w:p>
    <w:p>
      <w:pPr>
        <w:pStyle w:val="192"/>
        <w:jc w:val="right"/>
      </w:pPr>
      <w:r>
        <w:t>关于单位的陈述</w:t>
      </w:r>
    </w:p>
    <w:tbl>
      <w:tblPr>
        <w:tblLook w:firstColumn="1" w:firstRow="1" w:lastColumn="0" w:lastRow="0" w:noHBand="0" w:noVBand="1" w:val="04A0"/>
        <w:tblW w:w="9638"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19"/>
        <w:gridCol w:w="4819"/>
      </w:tblGrid>
      <w:tr>
        <w:tc>
          <w:tcPr>
            <w:tcW w:w="4819" w:type="dxa"/>
            <w:vAlign w:val="center"/>
            <w:tcMar>
              <w:top w:w="40" w:type="dxa"/>
              <w:left w:w="60" w:type="dxa"/>
              <w:bottom w:w="40" w:type="dxa"/>
              <w:right w:w="60" w:type="dxa"/>
            </w:tcMar>
          </w:tcPr>
          <w:p>
            <w:pPr>
              <w:jc w:val="center"/>
              <w:spacing w:line="240" w:lineRule="auto" w:before="120" w:after="120"/>
            </w:pPr>
            <w:r/>
            <w:r>
              <w:drawing>
                <wp:inline xmlns:a="http://schemas.openxmlformats.org/drawingml/2006/main" xmlns:pic="http://schemas.openxmlformats.org/drawingml/2006/picture">
                  <wp:extent cx="2840065" cy="1420032"/>
                  <wp:docPr id="74" name="Picture 74"/>
                  <wp:cNvGraphicFramePr>
                    <a:graphicFrameLocks noChangeAspect="1"/>
                  </wp:cNvGraphicFramePr>
                  <a:graphic>
                    <a:graphicData uri="http://schemas.openxmlformats.org/drawingml/2006/picture">
                      <pic:pic>
                        <pic:nvPicPr>
                          <pic:cNvPr id="0" name="subfigure-a.png"/>
                          <pic:cNvPicPr/>
                        </pic:nvPicPr>
                        <pic:blipFill>
                          <a:blip r:embed="rId21"/>
                          <a:stretch>
                            <a:fillRect/>
                          </a:stretch>
                        </pic:blipFill>
                        <pic:spPr>
                          <a:xfrm>
                            <a:off x="0" y="0"/>
                            <a:ext cx="2840065" cy="1420032"/>
                          </a:xfrm>
                          <a:prstGeom prst="rect"/>
                        </pic:spPr>
                      </pic:pic>
                    </a:graphicData>
                  </a:graphic>
                </wp:inline>
              </w:drawing>
            </w:r>
          </w:p>
        </w:tc>
        <w:tc>
          <w:tcPr>
            <w:tcW w:w="4819" w:type="dxa"/>
            <w:vAlign w:val="center"/>
            <w:tcMar>
              <w:top w:w="40" w:type="dxa"/>
              <w:left w:w="60" w:type="dxa"/>
              <w:bottom w:w="40" w:type="dxa"/>
              <w:right w:w="60" w:type="dxa"/>
            </w:tcMar>
          </w:tcPr>
          <w:p>
            <w:pPr>
              <w:jc w:val="center"/>
              <w:spacing w:line="240" w:lineRule="auto" w:before="120" w:after="120"/>
            </w:pPr>
            <w:r/>
            <w:r>
              <w:drawing>
                <wp:inline xmlns:a="http://schemas.openxmlformats.org/drawingml/2006/main" xmlns:pic="http://schemas.openxmlformats.org/drawingml/2006/picture">
                  <wp:extent cx="2840065" cy="1420032"/>
                  <wp:docPr id="75" name="Picture 75"/>
                  <wp:cNvGraphicFramePr>
                    <a:graphicFrameLocks noChangeAspect="1"/>
                  </wp:cNvGraphicFramePr>
                  <a:graphic>
                    <a:graphicData uri="http://schemas.openxmlformats.org/drawingml/2006/picture">
                      <pic:pic>
                        <pic:nvPicPr>
                          <pic:cNvPr id="0" name="subfigure-b.png"/>
                          <pic:cNvPicPr/>
                        </pic:nvPicPr>
                        <pic:blipFill>
                          <a:blip r:embed="rId22"/>
                          <a:stretch>
                            <a:fillRect/>
                          </a:stretch>
                        </pic:blipFill>
                        <pic:spPr>
                          <a:xfrm>
                            <a:off x="0" y="0"/>
                            <a:ext cx="2840065" cy="1420032"/>
                          </a:xfrm>
                          <a:prstGeom prst="rect"/>
                        </pic:spPr>
                      </pic:pic>
                    </a:graphicData>
                  </a:graphic>
                </wp:inline>
              </w:drawing>
            </w:r>
          </w:p>
        </w:tc>
      </w:tr>
      <w:tr>
        <w:tc>
          <w:tcPr>
            <w:tcW w:w="4819" w:type="dxa"/>
            <w:vAlign w:val="center"/>
            <w:tcMar>
              <w:top w:w="0" w:type="dxa"/>
              <w:left w:w="60" w:type="dxa"/>
              <w:bottom w:w="80" w:type="dxa"/>
              <w:right w:w="60" w:type="dxa"/>
            </w:tcMar>
          </w:tcPr>
          <w:p>
            <w:pPr>
              <w:jc w:val="center"/>
            </w:pPr>
            <w:r/>
            <w:r>
              <w:t>a)　第一张分图题</w:t>
            </w:r>
          </w:p>
        </w:tc>
        <w:tc>
          <w:tcPr>
            <w:tcW w:w="4819" w:type="dxa"/>
            <w:vAlign w:val="center"/>
            <w:tcMar>
              <w:top w:w="0" w:type="dxa"/>
              <w:left w:w="60" w:type="dxa"/>
              <w:bottom w:w="80" w:type="dxa"/>
              <w:right w:w="60" w:type="dxa"/>
            </w:tcMar>
          </w:tcPr>
          <w:p>
            <w:pPr>
              <w:jc w:val="center"/>
            </w:pPr>
            <w:r/>
            <w:r>
              <w:t>b)　第二张分图题</w:t>
            </w:r>
          </w:p>
        </w:tc>
      </w:tr>
    </w:tbl>
    <w:p>
      <w:pPr>
        <w:pStyle w:val="56"/>
        <w:jc w:val="left"/>
        <w:ind w:left="0"/>
      </w:pPr>
      <w:r>
        <w:t>标引序号说明：</w:t>
      </w:r>
    </w:p>
    <w:p>
      <w:pPr>
        <w:pStyle w:val="56"/>
        <w:jc w:val="left"/>
        <w:ind w:left="0"/>
      </w:pPr>
      <w:r>
        <w:t>1</w:t>
      </w:r>
      <w:r>
        <w:t>——</w:t>
      </w:r>
      <w:r>
        <w:t>说明的内容</w:t>
      </w:r>
    </w:p>
    <w:p>
      <w:pPr>
        <w:pStyle w:val="56"/>
        <w:jc w:val="left"/>
        <w:ind w:left="0"/>
      </w:pPr>
      <w:r>
        <w:t>2</w:t>
      </w:r>
      <w:r>
        <w:t>——</w:t>
      </w:r>
      <w:r>
        <w:t>说明的内容</w:t>
      </w:r>
    </w:p>
    <w:p>
      <w:pPr>
        <w:pStyle w:val="56"/>
        <w:jc w:val="left"/>
        <w:ind w:left="0"/>
      </w:pPr>
      <w:r>
        <w:t>段（可包含要求型条款）</w:t>
      </w:r>
    </w:p>
    <w:p>
      <w:pPr>
        <w:pStyle w:val="179"/>
      </w:pPr>
      <w:r>
        <w:t>图中的注的内容</w:t>
      </w:r>
    </w:p>
    <w:p>
      <w:pPr>
        <w:pStyle w:val="101"/>
        <w:numPr>
          <w:ilvl w:val="0"/>
          <w:numId w:val="34"/>
        </w:numPr>
        <w:jc w:val="left"/>
      </w:pPr>
      <w:r>
        <w:t>图脚注的内容</w:t>
      </w:r>
    </w:p>
    <w:p>
      <w:pPr>
        <w:pStyle w:val="192"/>
        <w:keepNext/>
      </w:pPr>
      <w:r>
        <w:t>来源：</w:t>
      </w:r>
      <w:r>
        <w:t>资料来自 GB/T 1.1 图示例。</w:t>
      </w:r>
    </w:p>
    <w:p>
      <w:pPr>
        <w:pStyle w:val="114"/>
        <w:numPr>
          <w:ilvl w:val="0"/>
          <w:numId w:val="17"/>
        </w:numPr>
      </w:pPr>
      <w:r>
        <w:t xml:space="preserve">　</w:t>
      </w:r>
      <w:bookmarkStart w:id="1005" w:name="_Ref144773261"/>
      <w:bookmarkStart w:id="1006" w:name="_Ref844577972"/>
      <w:bookmarkStart w:id="1007" w:name="_Ref860876167"/>
      <w:bookmarkStart w:id="1008" w:name="_Ref561634870"/>
      <w:r>
        <w:t>图题</w:t>
      </w:r>
      <w:bookmarkEnd w:id="1005"/>
      <w:bookmarkEnd w:id="1006"/>
      <w:bookmarkEnd w:id="1007"/>
      <w:bookmarkEnd w:id="1008"/>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56"/>
        <w:jc w:val="center"/>
      </w:pPr>
      <w:r>
        <w:drawing>
          <wp:inline xmlns:a="http://schemas.openxmlformats.org/drawingml/2006/main" xmlns:pic="http://schemas.openxmlformats.org/drawingml/2006/picture">
            <wp:extent cx="1485900" cy="317500"/>
            <wp:docPr id="76" name="Picture 7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21" Type="http://schemas.openxmlformats.org/officeDocument/2006/relationships/image" Target="media/image2.png"/><Relationship Id="rId22"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