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sz w:val="21"/>
                <w:szCs w:val="21"/>
              </w:rPr>
              <w:t>ICS</w:t>
            </w:r>
            <w:r>
              <w:rPr>
                <w:rFonts w:ascii="黑体" w:hAnsi="黑体" w:eastAsia="黑体"/>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sz w:val="21"/>
                <w:szCs w:val="21"/>
              </w:rPr>
              <w:t>27.010</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sz w:val="21"/>
                <w:szCs w:val="21"/>
              </w:rPr>
              <w:t xml:space="preserve">CCS </w:t>
            </w:r>
            <w:r>
              <w:rPr>
                <w:rFonts w:ascii="黑体" w:hAnsi="黑体" w:eastAsia="黑体"/>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sz w:val="21"/>
                <w:szCs w:val="21"/>
              </w:rPr>
              <w:t>D10</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t>T/XXXX 001—2026</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fldChar w:fldCharType="separate"/>
      </w:r>
      <w:r>
        <w:rPr>
          <w:rFonts w:hAnsi="黑体"/>
        </w:rPr>
        <w:t>     </w:t>
      </w:r>
      <w:r>
        <w:rPr>
          <w:rFonts w:hAnsi="黑体"/>
        </w:rPr>
        <w:fldChar w:fldCharType="end"/>
      </w:r>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t>地热温泉资源开发利用规范</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szCs w:val="28"/>
        </w:rPr>
        <w:t>Specification for development and utilization of geothermal hot spring resources</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rPr>
        <w:t>2026-XX-XX发布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rPr>
        <w:t>2026-XX-XX实施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w w:val="100"/>
          <w:sz w:val="28"/>
        </w:rPr>
        <w:t>××地热温泉行业协会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pgNumType w:start="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Pr>
        <w:t>目</w:t>
      </w:r>
      <w:r>
        <w:t>次</w:t>
      </w:r>
    </w:p>
    <w:p>
      <w:pPr/>
      <w:fldSimple w:instr=" TOC \o &quot;1-3&quot; \h \z \u ">
        <w:r>
          <w:t>右键此处选择"更新域"以生成目次。</w:t>
        </w:r>
      </w:fldSimple>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Pr>
        <w:t>前</w:t>
      </w:r>
      <w:r>
        <w:t>言</w:t>
      </w:r>
    </w:p>
    <w:p>
      <w:pPr>
        <w:pStyle w:val="56"/>
      </w:pPr>
      <w:r>
        <w:t>本文件按照GB/T 1.1—2020《标准化工作导则　第1部分：标准化文件的结构和起草规则》的规定起草。</w:t>
      </w:r>
    </w:p>
    <w:p>
      <w:pPr>
        <w:pStyle w:val="56"/>
      </w:pPr>
      <w:r>
        <w:t>请注意本文件的某些内容可能涉及专利。本文件的发布机构不承担识别专利的责任。</w:t>
      </w:r>
    </w:p>
    <w:p>
      <w:pPr>
        <w:pStyle w:val="56"/>
      </w:pPr>
      <w:r>
        <w:t>本文件由××地热温泉行业协会提出并归口。</w:t>
      </w:r>
    </w:p>
    <w:p>
      <w:pPr>
        <w:pStyle w:val="56"/>
      </w:pPr>
      <w:r>
        <w:t>本文件起草单位：××地热研究院、××省地质调查院、××大学地球科学学院、××温泉开发有限公司。</w:t>
      </w:r>
    </w:p>
    <w:p>
      <w:pPr>
        <w:pStyle w:val="56"/>
      </w:pPr>
      <w:r>
        <w:t>本文件主要起草人：王瀚锋、谯晨、罗文宇、李鹏辉、袁耀天、薛宇皓、牟俊霖、段君豪。</w:t>
      </w:r>
    </w:p>
    <w:p>
      <w:pPr>
        <w:pStyle w:val="56"/>
      </w:pPr>
      <w:r>
        <w:t>本文件为首次发布。</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89"/>
        <w:spacing w:after="360"/>
      </w:pPr>
      <w:r>
        <w:rPr>
          <w:spacing w:val="320"/>
        </w:rPr>
        <w:t>引</w:t>
      </w:r>
      <w:r>
        <w:t>言</w:t>
      </w:r>
    </w:p>
    <w:p>
      <w:pPr>
        <w:pStyle w:val="56"/>
      </w:pPr>
      <w:r>
        <w:t>地热温泉资源兼具能源、水资源、矿物资源和休闲康养利用价值。我国中低温地热资源分布广泛，天然出露温泉和人工揭露地热水在温泉洗浴、理疗康养、建筑供热、农业温室和水产养殖等领域具有应用需求。</w:t>
      </w:r>
    </w:p>
    <w:p>
      <w:pPr>
        <w:pStyle w:val="56"/>
      </w:pPr>
      <w:r>
        <w:t>地热温泉开发利用涉及地质勘查、取水许可、采灌平衡、尾水处理、公共卫生、安全生产和生态环境保护等环节。为统一资源评价、开发利用、回灌保护、监测管理和安全运行的基本要求，减少过量开采、热储压力衰减、水质污染、地面沉降和烫伤等风险，制定本文件。</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Pr>
        <w:t>地热温泉资源开发利用规范</w:t>
      </w:r>
    </w:p>
    <w:p>
      <w:pPr>
        <w:pStyle w:val="104"/>
      </w:pPr>
      <w:r>
        <w:t>范围</w:t>
      </w:r>
    </w:p>
    <w:p>
      <w:pPr>
        <w:pStyle w:val="56"/>
      </w:pPr>
      <w:r>
        <w:t>本文件界定了地热温泉资源开发利用的术语和定义，确立了基本原则，规定了资源勘查与评价、开发利用工程、回灌与尾水处理、环境保护与监测、安全管理和档案评价等要求，给出了洗浴与康养利用水质控制项目、综合评价指标体系等内容。</w:t>
      </w:r>
    </w:p>
    <w:p>
      <w:pPr>
        <w:pStyle w:val="56"/>
      </w:pPr>
      <w:r>
        <w:t>本文件适用于出水温度或主要热储代表性温度不低于25 ℃的天然出露或人工揭露地热温泉资源的勘查评价、开发建设、运营管理和保护利用。</w:t>
      </w:r>
    </w:p>
    <w:p>
      <w:pPr>
        <w:pStyle w:val="56"/>
      </w:pPr>
      <w:r>
        <w:t>本文件不适用于干热岩增强型地热系统、高温地热发电系统以及单纯采用热泵技术开发的浅层地热能系统。</w:t>
      </w:r>
    </w:p>
    <w:p>
      <w:pPr>
        <w:pStyle w:val="104"/>
      </w:pPr>
      <w:r>
        <w:t>规范性引用文件</w:t>
      </w:r>
    </w:p>
    <w:p>
      <w:pPr>
        <w:pStyle w:val="56"/>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pPr>
      <w:bookmarkStart w:id="1000" w:name="Ref_GB5749"/>
      <w:r>
        <w:t>GB 5749</w:t>
      </w:r>
      <w:bookmarkEnd w:id="1000"/>
      <w:r>
        <w:t xml:space="preserve">  生活饮用水卫生标准</w:t>
      </w:r>
    </w:p>
    <w:p>
      <w:pPr>
        <w:pStyle w:val="56"/>
      </w:pPr>
      <w:bookmarkStart w:id="1001" w:name="Ref_GB_T5750_6"/>
      <w:r>
        <w:t>GB/T 5750.6</w:t>
      </w:r>
      <w:bookmarkEnd w:id="1001"/>
      <w:r>
        <w:t xml:space="preserve">  生活饮用水标准检验方法 第6部分：金属和类金属指标</w:t>
      </w:r>
    </w:p>
    <w:p>
      <w:pPr>
        <w:pStyle w:val="56"/>
      </w:pPr>
      <w:bookmarkStart w:id="1002" w:name="Ref_GB_T5750_12"/>
      <w:r>
        <w:t>GB/T 5750.12</w:t>
      </w:r>
      <w:bookmarkEnd w:id="1002"/>
      <w:r>
        <w:t xml:space="preserve">  生活饮用水标准检验方法 第12部分：微生物指标</w:t>
      </w:r>
    </w:p>
    <w:p>
      <w:pPr>
        <w:pStyle w:val="56"/>
      </w:pPr>
      <w:bookmarkStart w:id="1003" w:name="Ref_GB_T11615"/>
      <w:r>
        <w:t>GB/T 11615</w:t>
      </w:r>
      <w:bookmarkEnd w:id="1003"/>
      <w:r>
        <w:t xml:space="preserve">  地热资源地质勘查规范</w:t>
      </w:r>
    </w:p>
    <w:p>
      <w:pPr>
        <w:pStyle w:val="56"/>
      </w:pPr>
      <w:bookmarkStart w:id="1004" w:name="Ref_GB_T14848"/>
      <w:r>
        <w:t>GB/T 14848</w:t>
      </w:r>
      <w:bookmarkEnd w:id="1004"/>
      <w:r>
        <w:t xml:space="preserve">  地下水质量标准</w:t>
      </w:r>
    </w:p>
    <w:p>
      <w:pPr>
        <w:pStyle w:val="56"/>
      </w:pPr>
      <w:bookmarkStart w:id="1005" w:name="Ref_DZ_T0481"/>
      <w:r>
        <w:t>DZ/T 0481</w:t>
      </w:r>
      <w:bookmarkEnd w:id="1005"/>
      <w:r>
        <w:t xml:space="preserve">  水热型地热资源回灌技术要求</w:t>
      </w:r>
    </w:p>
    <w:p>
      <w:pPr>
        <w:pStyle w:val="56"/>
      </w:pPr>
      <w:bookmarkStart w:id="1006" w:name="Ref_DZ_T0482"/>
      <w:r>
        <w:t>DZ/T 0482</w:t>
      </w:r>
      <w:bookmarkEnd w:id="1006"/>
      <w:r>
        <w:t xml:space="preserve">  水热型地热资源开发与保护监测规范</w:t>
      </w:r>
    </w:p>
    <w:p>
      <w:pPr>
        <w:pStyle w:val="104"/>
      </w:pPr>
      <w:r>
        <w:t>术语和定义</w:t>
      </w:r>
    </w:p>
    <w:p>
      <w:pPr>
        <w:pStyle w:val="56"/>
      </w:pPr>
      <w:r>
        <w:t>下列术语和定义适用于本文件。</w:t>
      </w:r>
    </w:p>
    <w:p>
      <w:pPr>
        <w:pStyle w:val="223"/>
        <w:numPr>
          <w:ilvl w:val="2"/>
          <w:numId w:val="2"/>
        </w:numPr>
      </w:pPr>
      <w:r>
        <w:br/>
      </w:r>
      <w:r>
        <w:rPr>
          <w:b/>
        </w:rPr>
        <w:t>地热温泉</w:t>
      </w:r>
      <w:r>
        <w:t xml:space="preserve">　</w:t>
      </w:r>
      <w:r>
        <w:rPr>
          <w:b/>
        </w:rPr>
        <w:t>geothermal hot spring</w:t>
      </w:r>
    </w:p>
    <w:p>
      <w:pPr>
        <w:pStyle w:val="56"/>
      </w:pPr>
      <w:r>
        <w:t>由地球内部热源加热，自然出露于地表或经人工工程揭露，出水温度或主要热储代表性温度不低于25 ℃的地下热水。</w:t>
      </w:r>
    </w:p>
    <w:p>
      <w:pPr>
        <w:pStyle w:val="179"/>
      </w:pPr>
      <w:r>
        <w:t>本文件中的“地热温泉”不等同于生活饮用水水源或医疗用水资质认定。</w:t>
      </w:r>
    </w:p>
    <w:p>
      <w:pPr>
        <w:pStyle w:val="223"/>
        <w:numPr>
          <w:ilvl w:val="2"/>
          <w:numId w:val="2"/>
        </w:numPr>
      </w:pPr>
      <w:r>
        <w:br/>
      </w:r>
      <w:r>
        <w:rPr>
          <w:b/>
        </w:rPr>
        <w:t>热储</w:t>
      </w:r>
      <w:r>
        <w:t xml:space="preserve">　</w:t>
      </w:r>
      <w:r>
        <w:rPr>
          <w:b/>
        </w:rPr>
        <w:t>geothermal reservoir</w:t>
      </w:r>
    </w:p>
    <w:p>
      <w:pPr>
        <w:pStyle w:val="56"/>
      </w:pPr>
      <w:r>
        <w:t>能够储存和传导地热流体，并允许地热流体在其中运移的含水层、裂隙带或构造储集体。</w:t>
      </w:r>
    </w:p>
    <w:p>
      <w:pPr>
        <w:pStyle w:val="223"/>
        <w:numPr>
          <w:ilvl w:val="2"/>
          <w:numId w:val="2"/>
        </w:numPr>
      </w:pPr>
      <w:r>
        <w:br/>
      </w:r>
      <w:r>
        <w:rPr>
          <w:b/>
        </w:rPr>
        <w:t>地热流体</w:t>
      </w:r>
      <w:r>
        <w:t xml:space="preserve">　</w:t>
      </w:r>
      <w:r>
        <w:rPr>
          <w:b/>
        </w:rPr>
        <w:t>geothermal fluid</w:t>
      </w:r>
    </w:p>
    <w:p>
      <w:pPr>
        <w:pStyle w:val="56"/>
      </w:pPr>
      <w:r>
        <w:t>赋存于热储中，携带地热能并可含溶解气体、矿物组分或微生物指标的地下热水、蒸汽或汽液混合介质。</w:t>
      </w:r>
    </w:p>
    <w:p>
      <w:pPr>
        <w:pStyle w:val="223"/>
        <w:numPr>
          <w:ilvl w:val="2"/>
          <w:numId w:val="2"/>
        </w:numPr>
      </w:pPr>
      <w:r>
        <w:br/>
      </w:r>
      <w:r>
        <w:rPr>
          <w:b/>
        </w:rPr>
        <w:t>允许开采量</w:t>
      </w:r>
      <w:r>
        <w:t xml:space="preserve">　</w:t>
      </w:r>
      <w:r>
        <w:rPr>
          <w:b/>
        </w:rPr>
        <w:t>permissible exploitation amount</w:t>
      </w:r>
    </w:p>
    <w:p>
      <w:pPr>
        <w:pStyle w:val="56"/>
      </w:pPr>
      <w:r>
        <w:t>在经济合理、技术可行且不破坏热储可持续开采能力的条件下，单位时间内可从热储中采出的地热流体量。</w:t>
      </w:r>
    </w:p>
    <w:p>
      <w:pPr>
        <w:pStyle w:val="179"/>
      </w:pPr>
      <w:r>
        <w:t>允许开采量通常以立方米每天（m</w:t>
      </w:r>
      <w:r>
        <w:rPr>
          <w:vertAlign w:val="superscript"/>
        </w:rPr>
        <w:t>3</w:t>
      </w:r>
      <w:r>
        <w:t>/d）或立方米每年（m</w:t>
      </w:r>
      <w:r>
        <w:rPr>
          <w:vertAlign w:val="superscript"/>
        </w:rPr>
        <w:t>3</w:t>
      </w:r>
      <w:r>
        <w:t>/a）表示。</w:t>
      </w:r>
    </w:p>
    <w:p>
      <w:pPr>
        <w:pStyle w:val="223"/>
        <w:numPr>
          <w:ilvl w:val="2"/>
          <w:numId w:val="2"/>
        </w:numPr>
      </w:pPr>
      <w:r>
        <w:br/>
      </w:r>
      <w:r>
        <w:rPr>
          <w:b/>
        </w:rPr>
        <w:t>地热回灌</w:t>
      </w:r>
      <w:r>
        <w:t xml:space="preserve">　</w:t>
      </w:r>
      <w:r>
        <w:rPr>
          <w:b/>
        </w:rPr>
        <w:t>geothermal reinjection</w:t>
      </w:r>
    </w:p>
    <w:p>
      <w:pPr>
        <w:pStyle w:val="56"/>
      </w:pPr>
      <w:r>
        <w:t>将利用后的地热尾水或其他符合要求的水，经必要处理后通过回灌井注入热储，以维持热储压力、减少尾水排放和延长资源利用寿命的工程措施。</w:t>
      </w:r>
    </w:p>
    <w:p>
      <w:pPr>
        <w:pStyle w:val="223"/>
        <w:numPr>
          <w:ilvl w:val="2"/>
          <w:numId w:val="2"/>
        </w:numPr>
      </w:pPr>
      <w:r>
        <w:br/>
      </w:r>
      <w:r>
        <w:rPr>
          <w:b/>
        </w:rPr>
        <w:t>尾水</w:t>
      </w:r>
      <w:r>
        <w:t xml:space="preserve">　</w:t>
      </w:r>
      <w:r>
        <w:rPr>
          <w:b/>
        </w:rPr>
        <w:t>spent geothermal water</w:t>
      </w:r>
    </w:p>
    <w:p>
      <w:pPr>
        <w:pStyle w:val="56"/>
      </w:pPr>
      <w:r>
        <w:t>地热流体经换热、洗浴、养殖、灌溉或其他利用后排出的水。</w:t>
      </w:r>
    </w:p>
    <w:p>
      <w:pPr>
        <w:pStyle w:val="223"/>
        <w:numPr>
          <w:ilvl w:val="2"/>
          <w:numId w:val="2"/>
        </w:numPr>
      </w:pPr>
      <w:r>
        <w:br/>
      </w:r>
      <w:r>
        <w:rPr>
          <w:b/>
        </w:rPr>
        <w:t>动态监测</w:t>
      </w:r>
      <w:r>
        <w:t xml:space="preserve">　</w:t>
      </w:r>
      <w:r>
        <w:rPr>
          <w:b/>
        </w:rPr>
        <w:t>dynamic monitoring</w:t>
      </w:r>
    </w:p>
    <w:p>
      <w:pPr>
        <w:pStyle w:val="56"/>
      </w:pPr>
      <w:r>
        <w:t>对地热温泉资源开发利用过程中水量、水位或压力、水温、水质、回灌、地面沉降及生态环境影响等进行连续或周期性观测、记录、分析和预警的活动。</w:t>
      </w:r>
    </w:p>
    <w:p>
      <w:pPr>
        <w:pStyle w:val="223"/>
        <w:numPr>
          <w:ilvl w:val="2"/>
          <w:numId w:val="2"/>
        </w:numPr>
      </w:pPr>
      <w:r>
        <w:br/>
      </w:r>
      <w:r>
        <w:rPr>
          <w:b/>
        </w:rPr>
        <w:t>地热监测点</w:t>
      </w:r>
      <w:r>
        <w:t xml:space="preserve">　</w:t>
      </w:r>
      <w:r>
        <w:rPr>
          <w:b/>
        </w:rPr>
        <w:t>geothermal monitoring point</w:t>
      </w:r>
    </w:p>
    <w:p>
      <w:pPr>
        <w:pStyle w:val="56"/>
      </w:pPr>
      <w:r>
        <w:t>对地热温泉资源开发利用情况、地热资源评价要素及地热开发可能引起的地质环境变化进行观测和记录的点位。</w:t>
      </w:r>
    </w:p>
    <w:p>
      <w:pPr>
        <w:pStyle w:val="179"/>
      </w:pPr>
      <w:r>
        <w:t>地热监测点包括开发利用监测点、资源评价要素监测点和地质环境监测点。</w:t>
      </w:r>
    </w:p>
    <w:p>
      <w:pPr>
        <w:pStyle w:val="223"/>
        <w:numPr>
          <w:ilvl w:val="2"/>
          <w:numId w:val="2"/>
        </w:numPr>
      </w:pPr>
      <w:r>
        <w:br/>
      </w:r>
      <w:r>
        <w:rPr>
          <w:b/>
        </w:rPr>
        <w:t>地热流体回灌率</w:t>
      </w:r>
      <w:r>
        <w:t xml:space="preserve">　</w:t>
      </w:r>
      <w:r>
        <w:rPr>
          <w:b/>
        </w:rPr>
        <w:t>geothermal fluid reinjection rate</w:t>
      </w:r>
    </w:p>
    <w:p>
      <w:pPr>
        <w:pStyle w:val="56"/>
      </w:pPr>
      <w:r>
        <w:t>一定时期内，采灌系统回灌的地热流体总量与实际开采的地热流体总量之比。</w:t>
      </w:r>
    </w:p>
    <w:p>
      <w:pPr>
        <w:pStyle w:val="179"/>
      </w:pPr>
      <w:r>
        <w:t>地热流体回灌率以百分数表示。</w:t>
      </w:r>
    </w:p>
    <w:p>
      <w:pPr>
        <w:pStyle w:val="223"/>
        <w:numPr>
          <w:ilvl w:val="2"/>
          <w:numId w:val="2"/>
        </w:numPr>
      </w:pPr>
      <w:r>
        <w:br/>
      </w:r>
      <w:r>
        <w:rPr>
          <w:b/>
        </w:rPr>
        <w:t>回灌衰减</w:t>
      </w:r>
      <w:r>
        <w:t xml:space="preserve">　</w:t>
      </w:r>
      <w:r>
        <w:rPr>
          <w:b/>
        </w:rPr>
        <w:t>reinjection attenuation</w:t>
      </w:r>
    </w:p>
    <w:p>
      <w:pPr>
        <w:pStyle w:val="56"/>
      </w:pPr>
      <w:r>
        <w:t>在回灌过程中，由物理、化学、生物或运行维护等原因造成回灌能力随时间下降的现象。</w:t>
      </w:r>
    </w:p>
    <w:p>
      <w:pPr>
        <w:pStyle w:val="104"/>
      </w:pPr>
      <w:r>
        <w:t>基本原则和一般要求</w:t>
      </w:r>
    </w:p>
    <w:p>
      <w:pPr>
        <w:pStyle w:val="105"/>
      </w:pPr>
      <w:r>
        <w:t>基本原则</w:t>
      </w:r>
    </w:p>
    <w:p>
      <w:pPr>
        <w:pStyle w:val="56"/>
      </w:pPr>
      <w:r>
        <w:t>地热温泉资源开发利用应遵循下列原则：</w:t>
      </w:r>
    </w:p>
    <w:p>
      <w:pPr>
        <w:pStyle w:val="92"/>
        <w:numPr>
          <w:ilvl w:val="0"/>
          <w:numId w:val="9"/>
        </w:numPr>
      </w:pPr>
      <w:r>
        <w:t>保护优先，开发强度与热储补给能力、环境承载能力相协调；</w:t>
      </w:r>
    </w:p>
    <w:p>
      <w:pPr>
        <w:pStyle w:val="92"/>
        <w:numPr>
          <w:ilvl w:val="0"/>
          <w:numId w:val="9"/>
        </w:numPr>
      </w:pPr>
      <w:r>
        <w:t>开发与监测同步实施，资源利用、回灌保护和地质环境监测协同推进；</w:t>
      </w:r>
    </w:p>
    <w:p>
      <w:pPr>
        <w:pStyle w:val="92"/>
        <w:numPr>
          <w:ilvl w:val="0"/>
          <w:numId w:val="9"/>
        </w:numPr>
      </w:pPr>
      <w:r>
        <w:t>全面控制与重点掌握相结合，对集中开采区、回灌区、天然温泉露头和环境敏感区实施重点管理；</w:t>
      </w:r>
    </w:p>
    <w:p>
      <w:pPr>
        <w:pStyle w:val="92"/>
        <w:numPr>
          <w:ilvl w:val="0"/>
          <w:numId w:val="9"/>
        </w:numPr>
      </w:pPr>
      <w:r>
        <w:t>以勘查评价为基础，先评价、后开发，先论证、后扩大规模；</w:t>
      </w:r>
    </w:p>
    <w:p>
      <w:pPr>
        <w:pStyle w:val="92"/>
        <w:numPr>
          <w:ilvl w:val="0"/>
          <w:numId w:val="9"/>
        </w:numPr>
      </w:pPr>
      <w:r>
        <w:t>采灌平衡，具备回灌条件的水热型地热资源宜优先实施同层或适宜层位回灌；</w:t>
      </w:r>
    </w:p>
    <w:p>
      <w:pPr>
        <w:pStyle w:val="92"/>
        <w:numPr>
          <w:ilvl w:val="0"/>
          <w:numId w:val="9"/>
        </w:numPr>
      </w:pPr>
      <w:r>
        <w:t>梯级利用，根据温度、流量、水质和用途组织热能分级利用；</w:t>
      </w:r>
    </w:p>
    <w:p>
      <w:pPr>
        <w:pStyle w:val="92"/>
        <w:numPr>
          <w:ilvl w:val="0"/>
          <w:numId w:val="9"/>
        </w:numPr>
      </w:pPr>
      <w:r>
        <w:t>分类管理，根据用途分别控制饮用、洗浴、供热、养殖、灌溉和尾水处置风险；</w:t>
      </w:r>
    </w:p>
    <w:p>
      <w:pPr>
        <w:pStyle w:val="92"/>
        <w:numPr>
          <w:ilvl w:val="0"/>
          <w:numId w:val="9"/>
        </w:numPr>
      </w:pPr>
      <w:r>
        <w:t>数据留痕，形成资源评价、许可、运行、监测、维护和应急处置记录。</w:t>
      </w:r>
    </w:p>
    <w:p>
      <w:pPr>
        <w:pStyle w:val="105"/>
      </w:pPr>
      <w:r>
        <w:t>一般要求</w:t>
      </w:r>
    </w:p>
    <w:p>
      <w:pPr>
        <w:pStyle w:val="165"/>
        <w:numPr>
          <w:ilvl w:val="3"/>
          <w:numId w:val="2"/>
        </w:numPr>
      </w:pPr>
      <w:r>
        <w:t>开发地热温泉资源前，应完成地热资源地质勘查和开发利用可行性评价。勘查阶段、勘查内容、资源量评价、地热流体质量评价和开发利用评价应符合</w:t>
      </w:r>
      <w:r>
        <w:fldChar w:fldCharType="begin"/>
      </w:r>
      <w:r>
        <w:instrText xml:space="preserve"> REF Ref_GB_T11615 \h </w:instrText>
      </w:r>
      <w:r>
        <w:fldChar w:fldCharType="separate"/>
      </w:r>
      <w:r>
        <w:t>?</w:t>
      </w:r>
      <w:r>
        <w:fldChar w:fldCharType="end"/>
      </w:r>
      <w:r>
        <w:t>的规定。</w:t>
      </w:r>
    </w:p>
    <w:p>
      <w:pPr>
        <w:pStyle w:val="165"/>
        <w:numPr>
          <w:ilvl w:val="3"/>
          <w:numId w:val="2"/>
        </w:numPr>
      </w:pPr>
      <w:r>
        <w:t>开发建设和运营单位应依法办理取水、采矿、建设、环境保护、卫生、安全生产等相关手续，并按批准的范围、规模、用途和期限实施开发利用。</w:t>
      </w:r>
    </w:p>
    <w:p>
      <w:pPr>
        <w:pStyle w:val="165"/>
        <w:numPr>
          <w:ilvl w:val="3"/>
          <w:numId w:val="2"/>
        </w:numPr>
      </w:pPr>
      <w:r>
        <w:t>对同一热储或存在水力联系的多个开发主体，应建立统一的资源监测、开采量核算和风险协同管理机制。</w:t>
      </w:r>
    </w:p>
    <w:p>
      <w:pPr>
        <w:pStyle w:val="165"/>
        <w:numPr>
          <w:ilvl w:val="3"/>
          <w:numId w:val="2"/>
        </w:numPr>
      </w:pPr>
      <w:r>
        <w:t>用于生活饮用水、食品加工直接接触用水或对外宣称可饮用的地热温泉水，应符合</w:t>
      </w:r>
      <w:r>
        <w:fldChar w:fldCharType="begin"/>
      </w:r>
      <w:r>
        <w:instrText xml:space="preserve"> REF Ref_GB5749 \h </w:instrText>
      </w:r>
      <w:r>
        <w:fldChar w:fldCharType="separate"/>
      </w:r>
      <w:r>
        <w:t>?</w:t>
      </w:r>
      <w:r>
        <w:fldChar w:fldCharType="end"/>
      </w:r>
      <w:r>
        <w:t>的规定。</w:t>
      </w:r>
    </w:p>
    <w:p>
      <w:pPr>
        <w:pStyle w:val="165"/>
        <w:numPr>
          <w:ilvl w:val="3"/>
          <w:numId w:val="2"/>
        </w:numPr>
      </w:pPr>
      <w:r>
        <w:t>对可能影响地下水环境质量的开发利用项目，应按</w:t>
      </w:r>
      <w:r>
        <w:fldChar w:fldCharType="begin"/>
      </w:r>
      <w:r>
        <w:instrText xml:space="preserve"> REF Ref_GB_T14848 \h </w:instrText>
      </w:r>
      <w:r>
        <w:fldChar w:fldCharType="separate"/>
      </w:r>
      <w:r>
        <w:t>?</w:t>
      </w:r>
      <w:r>
        <w:fldChar w:fldCharType="end"/>
      </w:r>
      <w:r>
        <w:t>进行地下水质量分类、评价和趋势分析。</w:t>
      </w:r>
    </w:p>
    <w:p>
      <w:pPr>
        <w:pStyle w:val="104"/>
      </w:pPr>
      <w:r>
        <w:t>资源勘查与评价</w:t>
      </w:r>
    </w:p>
    <w:p>
      <w:pPr>
        <w:pStyle w:val="105"/>
      </w:pPr>
      <w:r>
        <w:t>勘查程序</w:t>
      </w:r>
    </w:p>
    <w:p>
      <w:pPr>
        <w:pStyle w:val="56"/>
      </w:pPr>
      <w:r>
        <w:t>地热温泉资源勘查宜按下列顺序开展：</w:t>
      </w:r>
    </w:p>
    <w:p>
      <w:pPr>
        <w:pStyle w:val="174"/>
        <w:numPr>
          <w:ilvl w:val="0"/>
          <w:numId w:val="32"/>
        </w:numPr>
      </w:pPr>
      <w:r>
        <w:t>收集区域地质、水文地质、地热地质、遥感、物探、钻井、温泉出露和历史开采资料。</w:t>
      </w:r>
    </w:p>
    <w:p>
      <w:pPr>
        <w:pStyle w:val="174"/>
        <w:numPr>
          <w:ilvl w:val="0"/>
          <w:numId w:val="32"/>
        </w:numPr>
      </w:pPr>
      <w:r>
        <w:t>开展地面调查，查明热储分布、控热断裂、盖层条件、补给径流排泄条件和地表热显示。</w:t>
      </w:r>
    </w:p>
    <w:p>
      <w:pPr>
        <w:pStyle w:val="174"/>
        <w:numPr>
          <w:ilvl w:val="0"/>
          <w:numId w:val="32"/>
        </w:numPr>
      </w:pPr>
      <w:r>
        <w:t>布设物探、化探、钻探、试井、采样测试和动态监测工作。</w:t>
      </w:r>
    </w:p>
    <w:p>
      <w:pPr>
        <w:pStyle w:val="174"/>
        <w:numPr>
          <w:ilvl w:val="0"/>
          <w:numId w:val="32"/>
        </w:numPr>
      </w:pPr>
      <w:r>
        <w:t>计算地热流体可开采量和地热储量，评价资源品质、利用方向和环境影响。</w:t>
      </w:r>
    </w:p>
    <w:p>
      <w:pPr>
        <w:pStyle w:val="174"/>
        <w:numPr>
          <w:ilvl w:val="0"/>
          <w:numId w:val="32"/>
        </w:numPr>
      </w:pPr>
      <w:r>
        <w:t>编制勘查评价报告，提出开发规模、利用方式、回灌方案、监测方案和保护措施。</w:t>
      </w:r>
    </w:p>
    <w:p>
      <w:pPr>
        <w:pStyle w:val="105"/>
      </w:pPr>
      <w:r>
        <w:t>勘查内容</w:t>
      </w:r>
    </w:p>
    <w:p>
      <w:pPr>
        <w:pStyle w:val="56"/>
      </w:pPr>
      <w:r>
        <w:t>勘查评价应至少包括下列内容：</w:t>
      </w:r>
    </w:p>
    <w:p>
      <w:pPr>
        <w:pStyle w:val="92"/>
        <w:numPr>
          <w:ilvl w:val="0"/>
          <w:numId w:val="9"/>
        </w:numPr>
      </w:pPr>
      <w:r>
        <w:t>热储埋深、厚度、岩性、孔隙或裂隙发育程度、渗透性和空间分布；</w:t>
      </w:r>
    </w:p>
    <w:p>
      <w:pPr>
        <w:pStyle w:val="92"/>
        <w:numPr>
          <w:ilvl w:val="0"/>
          <w:numId w:val="9"/>
        </w:numPr>
      </w:pPr>
      <w:r>
        <w:t>地热流体水温、流量、水位或压力、动态变化和单井产能；</w:t>
      </w:r>
    </w:p>
    <w:p>
      <w:pPr>
        <w:pStyle w:val="92"/>
        <w:numPr>
          <w:ilvl w:val="0"/>
          <w:numId w:val="9"/>
        </w:numPr>
      </w:pPr>
      <w:r>
        <w:t>水化学类型、主要离子、特征组分、腐蚀性、结垢性和污染风险；</w:t>
      </w:r>
    </w:p>
    <w:p>
      <w:pPr>
        <w:pStyle w:val="92"/>
        <w:numPr>
          <w:ilvl w:val="0"/>
          <w:numId w:val="9"/>
        </w:numPr>
      </w:pPr>
      <w:r>
        <w:t>控热构造、补给来源、循环路径、补给高程和更新能力；</w:t>
      </w:r>
    </w:p>
    <w:p>
      <w:pPr>
        <w:pStyle w:val="92"/>
        <w:numPr>
          <w:ilvl w:val="0"/>
          <w:numId w:val="9"/>
        </w:numPr>
      </w:pPr>
      <w:r>
        <w:t>开采活动对热储压力、水质、天然温泉露头、地面沉降和生态环境的影响；</w:t>
      </w:r>
    </w:p>
    <w:p>
      <w:pPr>
        <w:pStyle w:val="92"/>
        <w:numPr>
          <w:ilvl w:val="0"/>
          <w:numId w:val="9"/>
        </w:numPr>
      </w:pPr>
      <w:r>
        <w:t>回灌适宜性、回灌层位、回灌水质控制和采灌井布置条件。</w:t>
      </w:r>
    </w:p>
    <w:p>
      <w:pPr>
        <w:pStyle w:val="105"/>
      </w:pPr>
      <w:r>
        <w:t>水化学与同位素分析</w:t>
      </w:r>
    </w:p>
    <w:p>
      <w:pPr>
        <w:pStyle w:val="165"/>
        <w:numPr>
          <w:ilvl w:val="3"/>
          <w:numId w:val="2"/>
        </w:numPr>
      </w:pPr>
      <w:r>
        <w:t>地热流体样品的采集与保存应符合</w:t>
      </w:r>
      <w:r>
        <w:fldChar w:fldCharType="begin"/>
      </w:r>
      <w:r>
        <w:instrText xml:space="preserve"> REF Ref_GB_T11615 \h </w:instrText>
      </w:r>
      <w:r>
        <w:fldChar w:fldCharType="separate"/>
      </w:r>
      <w:r>
        <w:t>?</w:t>
      </w:r>
      <w:r>
        <w:fldChar w:fldCharType="end"/>
      </w:r>
      <w:r>
        <w:t>中地热流体分析样品采集与保存的要求。</w:t>
      </w:r>
    </w:p>
    <w:p>
      <w:pPr>
        <w:pStyle w:val="165"/>
        <w:numPr>
          <w:ilvl w:val="3"/>
          <w:numId w:val="2"/>
        </w:numPr>
      </w:pPr>
      <w:r>
        <w:t>地热流体全分析项目应覆盖物理性质、主要阴阳离子、特征组分、微量元素、放射性指标和必要的微生物指标。金属和类金属指标的检验方法应按</w:t>
      </w:r>
      <w:r>
        <w:fldChar w:fldCharType="begin"/>
      </w:r>
      <w:r>
        <w:instrText xml:space="preserve"> REF Ref_GB_T5750_6 \h </w:instrText>
      </w:r>
      <w:r>
        <w:fldChar w:fldCharType="separate"/>
      </w:r>
      <w:r>
        <w:t>?</w:t>
      </w:r>
      <w:r>
        <w:fldChar w:fldCharType="end"/>
      </w:r>
      <w:r>
        <w:t>执行，微生物指标的检验方法应按</w:t>
      </w:r>
      <w:r>
        <w:fldChar w:fldCharType="begin"/>
      </w:r>
      <w:r>
        <w:instrText xml:space="preserve"> REF Ref_GB_T5750_12 \h </w:instrText>
      </w:r>
      <w:r>
        <w:fldChar w:fldCharType="separate"/>
      </w:r>
      <w:r>
        <w:t>?</w:t>
      </w:r>
      <w:r>
        <w:fldChar w:fldCharType="end"/>
      </w:r>
      <w:r>
        <w:t>执行。</w:t>
      </w:r>
    </w:p>
    <w:p>
      <w:pPr>
        <w:pStyle w:val="165"/>
        <w:numPr>
          <w:ilvl w:val="3"/>
          <w:numId w:val="2"/>
        </w:numPr>
      </w:pPr>
      <w:r>
        <w:t>需要判断补给来源、补给高程、循环路径或停留时间时，宜开展δ2H、δ18O、3H、14C等同位素分析；高温、深循环或构造活动明显的地热田，可根据需要开展气体同位素或惰性气体分析。</w:t>
      </w:r>
    </w:p>
    <w:p>
      <w:pPr>
        <w:pStyle w:val="165"/>
        <w:numPr>
          <w:ilvl w:val="3"/>
          <w:numId w:val="2"/>
        </w:numPr>
      </w:pPr>
      <w:r>
        <w:t>热储温度和循环深度估算应采用经验证的化学温标、同位素、钻孔测温和区域地温梯度资料进行综合判断。报告中应说明所用公式、参数来源、适用条件和不确定性，不应仅依据单一温标结果确定开发规模。循环深度资料性估算方法见附录C。</w:t>
      </w:r>
    </w:p>
    <w:p>
      <w:pPr>
        <w:pStyle w:val="105"/>
      </w:pPr>
      <w:r>
        <w:t>温度分级</w:t>
      </w:r>
    </w:p>
    <w:p>
      <w:pPr>
        <w:pStyle w:val="56"/>
      </w:pPr>
      <w:r>
        <w:t>地热温泉资源温度分级宜依据</w:t>
      </w:r>
      <w:r>
        <w:fldChar w:fldCharType="begin"/>
      </w:r>
      <w:r>
        <w:instrText xml:space="preserve"> REF Ref_GB_T11615 \h </w:instrText>
      </w:r>
      <w:r>
        <w:fldChar w:fldCharType="separate"/>
      </w:r>
      <w:r>
        <w:t>?</w:t>
      </w:r>
      <w:r>
        <w:fldChar w:fldCharType="end"/>
      </w:r>
      <w:r>
        <w:t>确定。按主要热储代表性温度确定的分级和适用利用方式见</w:t>
      </w:r>
      <w:r>
        <w:fldChar w:fldCharType="begin"/>
      </w:r>
      <w:r>
        <w:instrText xml:space="preserve"> REF _Ref527658263 \h \r </w:instrText>
      </w:r>
      <w:r>
        <w:fldChar w:fldCharType="separate"/>
      </w:r>
      <w:r>
        <w:t>表?</w:t>
      </w:r>
      <w:r>
        <w:fldChar w:fldCharType="end"/>
      </w:r>
      <w:r>
        <w:t>。</w:t>
      </w:r>
    </w:p>
    <w:p>
      <w:pPr>
        <w:pStyle w:val="112"/>
        <w:numPr>
          <w:ilvl w:val="0"/>
          <w:numId w:val="16"/>
        </w:numPr>
      </w:pPr>
      <w:r>
        <w:t xml:space="preserve">　</w:t>
      </w:r>
      <w:bookmarkStart w:id="1007" w:name="_Ref340807659"/>
      <w:bookmarkStart w:id="1008" w:name="_Ref527658263"/>
      <w:bookmarkStart w:id="1009" w:name="_Ref655973559"/>
      <w:bookmarkStart w:id="1010" w:name="_Ref849597069"/>
      <w:r>
        <w:t>地热温泉资源温度分级与适用利用方式</w:t>
      </w:r>
      <w:bookmarkEnd w:id="1007"/>
      <w:bookmarkEnd w:id="1008"/>
      <w:bookmarkEnd w:id="1009"/>
      <w:bookmarkEnd w:id="1010"/>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3213"/>
        <w:gridCol w:w="3213"/>
        <w:gridCol w:w="3213"/>
      </w:tblGrid>
      <w:tr>
        <w:trPr>
          <w:tblHeader w:val="true"/>
        </w:trPr>
        <w:tc>
          <w:tcPr>
            <w:tcW w:type="dxa" w:w="3213"/>
            <w:vAlign w:val="center"/>
            <w:tcMar>
              <w:top w:w="60" w:type="dxa"/>
              <w:left w:w="100" w:type="dxa"/>
              <w:bottom w:w="60" w:type="dxa"/>
              <w:right w:w="100" w:type="dxa"/>
            </w:tcMar>
            <w:tcBorders>
              <w:bottom w:val="single" w:sz="8" w:space="0" w:color="000000"/>
            </w:tcBorders>
          </w:tcPr>
          <w:p>
            <w:pPr>
              <w:pStyle w:val="178"/>
              <w:jc w:val="center"/>
            </w:pPr>
            <w:r/>
            <w:r>
              <w:t>温度分级</w:t>
            </w:r>
          </w:p>
        </w:tc>
        <w:tc>
          <w:tcPr>
            <w:tcW w:type="dxa" w:w="3213"/>
            <w:vAlign w:val="center"/>
            <w:tcMar>
              <w:top w:w="60" w:type="dxa"/>
              <w:left w:w="100" w:type="dxa"/>
              <w:bottom w:w="60" w:type="dxa"/>
              <w:right w:w="100" w:type="dxa"/>
            </w:tcMar>
            <w:tcBorders>
              <w:bottom w:val="single" w:sz="8" w:space="0" w:color="000000"/>
            </w:tcBorders>
          </w:tcPr>
          <w:p>
            <w:pPr>
              <w:pStyle w:val="178"/>
              <w:jc w:val="center"/>
            </w:pPr>
            <w:r/>
            <w:r>
              <w:t>温度范围</w:t>
            </w:r>
          </w:p>
        </w:tc>
        <w:tc>
          <w:tcPr>
            <w:tcW w:type="dxa" w:w="3213"/>
            <w:vAlign w:val="center"/>
            <w:tcMar>
              <w:top w:w="60" w:type="dxa"/>
              <w:left w:w="100" w:type="dxa"/>
              <w:bottom w:w="60" w:type="dxa"/>
              <w:right w:w="100" w:type="dxa"/>
            </w:tcMar>
            <w:tcBorders>
              <w:bottom w:val="single" w:sz="8" w:space="0" w:color="000000"/>
            </w:tcBorders>
          </w:tcPr>
          <w:p>
            <w:pPr>
              <w:pStyle w:val="178"/>
              <w:jc w:val="center"/>
            </w:pPr>
            <w:r/>
            <w:r>
              <w:t>适用利用方式</w:t>
            </w:r>
          </w:p>
        </w:tc>
      </w:tr>
      <w:tr>
        <w:tc>
          <w:tcPr>
            <w:tcW w:type="dxa" w:w="3213"/>
            <w:vAlign w:val="center"/>
            <w:tcMar>
              <w:top w:w="60" w:type="dxa"/>
              <w:left w:w="100" w:type="dxa"/>
              <w:bottom w:w="60" w:type="dxa"/>
              <w:right w:w="100" w:type="dxa"/>
            </w:tcMar>
          </w:tcPr>
          <w:p>
            <w:pPr>
              <w:pStyle w:val="178"/>
              <w:jc w:val="center"/>
            </w:pPr>
            <w:r/>
            <w:r>
              <w:t>高温地热资源</w:t>
            </w:r>
          </w:p>
        </w:tc>
        <w:tc>
          <w:tcPr>
            <w:tcW w:type="dxa" w:w="3213"/>
            <w:vAlign w:val="center"/>
            <w:tcMar>
              <w:top w:w="60" w:type="dxa"/>
              <w:left w:w="100" w:type="dxa"/>
              <w:bottom w:w="60" w:type="dxa"/>
              <w:right w:w="100" w:type="dxa"/>
            </w:tcMar>
          </w:tcPr>
          <w:p>
            <w:pPr>
              <w:pStyle w:val="178"/>
              <w:jc w:val="center"/>
            </w:pPr>
            <w:r/>
            <w:r>
              <w:t>t≥150 ℃</w:t>
            </w:r>
          </w:p>
        </w:tc>
        <w:tc>
          <w:tcPr>
            <w:tcW w:type="dxa" w:w="3213"/>
            <w:vAlign w:val="center"/>
            <w:tcMar>
              <w:top w:w="60" w:type="dxa"/>
              <w:left w:w="100" w:type="dxa"/>
              <w:bottom w:w="60" w:type="dxa"/>
              <w:right w:w="100" w:type="dxa"/>
            </w:tcMar>
          </w:tcPr>
          <w:p>
            <w:pPr>
              <w:pStyle w:val="178"/>
              <w:jc w:val="left"/>
            </w:pPr>
            <w:r/>
            <w:r>
              <w:t>发电、烘干、采暖等</w:t>
            </w:r>
          </w:p>
        </w:tc>
      </w:tr>
      <w:tr>
        <w:tc>
          <w:tcPr>
            <w:tcW w:type="dxa" w:w="3213"/>
            <w:vAlign w:val="center"/>
            <w:tcMar>
              <w:top w:w="60" w:type="dxa"/>
              <w:left w:w="100" w:type="dxa"/>
              <w:bottom w:w="60" w:type="dxa"/>
              <w:right w:w="100" w:type="dxa"/>
            </w:tcMar>
          </w:tcPr>
          <w:p>
            <w:pPr>
              <w:pStyle w:val="178"/>
              <w:jc w:val="center"/>
            </w:pPr>
            <w:r/>
            <w:r>
              <w:t>中温地热资源</w:t>
            </w:r>
          </w:p>
        </w:tc>
        <w:tc>
          <w:tcPr>
            <w:tcW w:type="dxa" w:w="3213"/>
            <w:vAlign w:val="center"/>
            <w:tcMar>
              <w:top w:w="60" w:type="dxa"/>
              <w:left w:w="100" w:type="dxa"/>
              <w:bottom w:w="60" w:type="dxa"/>
              <w:right w:w="100" w:type="dxa"/>
            </w:tcMar>
          </w:tcPr>
          <w:p>
            <w:pPr>
              <w:pStyle w:val="178"/>
              <w:jc w:val="center"/>
            </w:pPr>
            <w:r/>
            <w:r>
              <w:t>90 ℃≤t&lt;150 ℃</w:t>
            </w:r>
          </w:p>
        </w:tc>
        <w:tc>
          <w:tcPr>
            <w:tcW w:type="dxa" w:w="3213"/>
            <w:vAlign w:val="center"/>
            <w:tcMar>
              <w:top w:w="60" w:type="dxa"/>
              <w:left w:w="100" w:type="dxa"/>
              <w:bottom w:w="60" w:type="dxa"/>
              <w:right w:w="100" w:type="dxa"/>
            </w:tcMar>
          </w:tcPr>
          <w:p>
            <w:pPr>
              <w:pStyle w:val="178"/>
              <w:jc w:val="left"/>
            </w:pPr>
            <w:r/>
            <w:r>
              <w:t>烘干、发电、采暖等</w:t>
            </w:r>
          </w:p>
        </w:tc>
      </w:tr>
      <w:tr>
        <w:tc>
          <w:tcPr>
            <w:tcW w:type="dxa" w:w="3213"/>
            <w:vAlign w:val="center"/>
            <w:tcMar>
              <w:top w:w="60" w:type="dxa"/>
              <w:left w:w="100" w:type="dxa"/>
              <w:bottom w:w="60" w:type="dxa"/>
              <w:right w:w="100" w:type="dxa"/>
            </w:tcMar>
          </w:tcPr>
          <w:p>
            <w:pPr>
              <w:pStyle w:val="178"/>
              <w:jc w:val="center"/>
            </w:pPr>
            <w:r/>
            <w:r>
              <w:t>低温地热资源 热水</w:t>
            </w:r>
          </w:p>
        </w:tc>
        <w:tc>
          <w:tcPr>
            <w:tcW w:type="dxa" w:w="3213"/>
            <w:vAlign w:val="center"/>
            <w:tcMar>
              <w:top w:w="60" w:type="dxa"/>
              <w:left w:w="100" w:type="dxa"/>
              <w:bottom w:w="60" w:type="dxa"/>
              <w:right w:w="100" w:type="dxa"/>
            </w:tcMar>
          </w:tcPr>
          <w:p>
            <w:pPr>
              <w:pStyle w:val="178"/>
              <w:jc w:val="center"/>
            </w:pPr>
            <w:r/>
            <w:r>
              <w:t>60 ℃≤t&lt;90 ℃</w:t>
            </w:r>
          </w:p>
        </w:tc>
        <w:tc>
          <w:tcPr>
            <w:tcW w:type="dxa" w:w="3213"/>
            <w:vAlign w:val="center"/>
            <w:tcMar>
              <w:top w:w="60" w:type="dxa"/>
              <w:left w:w="100" w:type="dxa"/>
              <w:bottom w:w="60" w:type="dxa"/>
              <w:right w:w="100" w:type="dxa"/>
            </w:tcMar>
          </w:tcPr>
          <w:p>
            <w:pPr>
              <w:pStyle w:val="178"/>
              <w:jc w:val="left"/>
            </w:pPr>
            <w:r/>
            <w:r>
              <w:t>采暖、理疗、洗浴、温室等</w:t>
            </w:r>
          </w:p>
        </w:tc>
      </w:tr>
      <w:tr>
        <w:tc>
          <w:tcPr>
            <w:tcW w:type="dxa" w:w="3213"/>
            <w:vAlign w:val="center"/>
            <w:tcMar>
              <w:top w:w="60" w:type="dxa"/>
              <w:left w:w="100" w:type="dxa"/>
              <w:bottom w:w="60" w:type="dxa"/>
              <w:right w:w="100" w:type="dxa"/>
            </w:tcMar>
          </w:tcPr>
          <w:p>
            <w:pPr>
              <w:pStyle w:val="178"/>
              <w:jc w:val="center"/>
            </w:pPr>
            <w:r/>
            <w:r>
              <w:t>低温地热资源 温热水</w:t>
            </w:r>
          </w:p>
        </w:tc>
        <w:tc>
          <w:tcPr>
            <w:tcW w:type="dxa" w:w="3213"/>
            <w:vAlign w:val="center"/>
            <w:tcMar>
              <w:top w:w="60" w:type="dxa"/>
              <w:left w:w="100" w:type="dxa"/>
              <w:bottom w:w="60" w:type="dxa"/>
              <w:right w:w="100" w:type="dxa"/>
            </w:tcMar>
          </w:tcPr>
          <w:p>
            <w:pPr>
              <w:pStyle w:val="178"/>
              <w:jc w:val="center"/>
            </w:pPr>
            <w:r/>
            <w:r>
              <w:t>40 ℃≤t&lt;60 ℃</w:t>
            </w:r>
          </w:p>
        </w:tc>
        <w:tc>
          <w:tcPr>
            <w:tcW w:type="dxa" w:w="3213"/>
            <w:vAlign w:val="center"/>
            <w:tcMar>
              <w:top w:w="60" w:type="dxa"/>
              <w:left w:w="100" w:type="dxa"/>
              <w:bottom w:w="60" w:type="dxa"/>
              <w:right w:w="100" w:type="dxa"/>
            </w:tcMar>
          </w:tcPr>
          <w:p>
            <w:pPr>
              <w:pStyle w:val="178"/>
              <w:jc w:val="left"/>
            </w:pPr>
            <w:r/>
            <w:r>
              <w:t>理疗、洗浴、采暖、温室、养殖等</w:t>
            </w:r>
          </w:p>
        </w:tc>
      </w:tr>
      <w:tr>
        <w:tc>
          <w:tcPr>
            <w:tcW w:type="dxa" w:w="3213"/>
            <w:vAlign w:val="center"/>
            <w:tcMar>
              <w:top w:w="60" w:type="dxa"/>
              <w:left w:w="100" w:type="dxa"/>
              <w:bottom w:w="60" w:type="dxa"/>
              <w:right w:w="100" w:type="dxa"/>
            </w:tcMar>
          </w:tcPr>
          <w:p>
            <w:pPr>
              <w:pStyle w:val="178"/>
              <w:jc w:val="center"/>
            </w:pPr>
            <w:r/>
            <w:r>
              <w:t>低温地热资源 温水</w:t>
            </w:r>
          </w:p>
        </w:tc>
        <w:tc>
          <w:tcPr>
            <w:tcW w:type="dxa" w:w="3213"/>
            <w:vAlign w:val="center"/>
            <w:tcMar>
              <w:top w:w="60" w:type="dxa"/>
              <w:left w:w="100" w:type="dxa"/>
              <w:bottom w:w="60" w:type="dxa"/>
              <w:right w:w="100" w:type="dxa"/>
            </w:tcMar>
          </w:tcPr>
          <w:p>
            <w:pPr>
              <w:pStyle w:val="178"/>
              <w:jc w:val="center"/>
            </w:pPr>
            <w:r/>
            <w:r>
              <w:t>25 ℃≤t&lt;40 ℃</w:t>
            </w:r>
          </w:p>
        </w:tc>
        <w:tc>
          <w:tcPr>
            <w:tcW w:type="dxa" w:w="3213"/>
            <w:vAlign w:val="center"/>
            <w:tcMar>
              <w:top w:w="60" w:type="dxa"/>
              <w:left w:w="100" w:type="dxa"/>
              <w:bottom w:w="60" w:type="dxa"/>
              <w:right w:w="100" w:type="dxa"/>
            </w:tcMar>
          </w:tcPr>
          <w:p>
            <w:pPr>
              <w:pStyle w:val="178"/>
              <w:jc w:val="left"/>
            </w:pPr>
            <w:r/>
            <w:r>
              <w:t>洗浴、温室、养殖、农灌等</w:t>
            </w:r>
          </w:p>
        </w:tc>
      </w:tr>
      <w:tr>
        <w:tc>
          <w:tcPr>
            <w:tcW w:type="dxa" w:w="9639"/>
            <w:gridSpan w:val="3"/>
            <w:vAlign w:val="center"/>
            <w:tcMar>
              <w:top w:w="60" w:type="dxa"/>
              <w:left w:w="100" w:type="dxa"/>
              <w:bottom w:w="60" w:type="dxa"/>
              <w:right w:w="100" w:type="dxa"/>
            </w:tcMar>
          </w:tcPr>
          <w:p>
            <w:pPr>
              <w:pStyle w:val="179"/>
            </w:pPr>
            <w:r/>
            <w:r>
              <w:t>温度分级用于资源评价和利用方向初判，具体利用端水温应结合安全、卫生和工艺要求调节。</w:t>
            </w:r>
          </w:p>
        </w:tc>
      </w:tr>
    </w:tbl>
    <w:p>
      <w:pPr>
        <w:pStyle w:val="105"/>
      </w:pPr>
      <w:r>
        <w:t>资源评价报告</w:t>
      </w:r>
    </w:p>
    <w:p>
      <w:pPr>
        <w:pStyle w:val="56"/>
      </w:pPr>
      <w:r>
        <w:t>资源评价报告应包括下列内容：</w:t>
      </w:r>
    </w:p>
    <w:p>
      <w:pPr>
        <w:pStyle w:val="92"/>
        <w:numPr>
          <w:ilvl w:val="0"/>
          <w:numId w:val="9"/>
        </w:numPr>
      </w:pPr>
      <w:r>
        <w:t>地热地质条件、热储模型和资料可靠性说明；</w:t>
      </w:r>
    </w:p>
    <w:p>
      <w:pPr>
        <w:pStyle w:val="92"/>
        <w:numPr>
          <w:ilvl w:val="0"/>
          <w:numId w:val="9"/>
        </w:numPr>
      </w:pPr>
      <w:r>
        <w:t>地热流体可开采量、地热储量、单井产能和可持续开发规模；</w:t>
      </w:r>
    </w:p>
    <w:p>
      <w:pPr>
        <w:pStyle w:val="92"/>
        <w:numPr>
          <w:ilvl w:val="0"/>
          <w:numId w:val="9"/>
        </w:numPr>
      </w:pPr>
      <w:r>
        <w:t>地热流体质量评价、用途适宜性评价和可能的预处理要求；</w:t>
      </w:r>
    </w:p>
    <w:p>
      <w:pPr>
        <w:pStyle w:val="92"/>
        <w:numPr>
          <w:ilvl w:val="0"/>
          <w:numId w:val="9"/>
        </w:numPr>
      </w:pPr>
      <w:r>
        <w:t>回灌适宜性、采灌平衡分析和尾水处置方案；</w:t>
      </w:r>
    </w:p>
    <w:p>
      <w:pPr>
        <w:pStyle w:val="92"/>
        <w:numPr>
          <w:ilvl w:val="0"/>
          <w:numId w:val="9"/>
        </w:numPr>
      </w:pPr>
      <w:r>
        <w:t>环境影响、公共安全风险和监测预警方案；</w:t>
      </w:r>
    </w:p>
    <w:p>
      <w:pPr>
        <w:pStyle w:val="92"/>
        <w:numPr>
          <w:ilvl w:val="0"/>
          <w:numId w:val="9"/>
        </w:numPr>
      </w:pPr>
      <w:r>
        <w:t>开发利用限制条件、分期实施建议和复核周期。</w:t>
      </w:r>
    </w:p>
    <w:p>
      <w:pPr>
        <w:pStyle w:val="104"/>
      </w:pPr>
      <w:r>
        <w:t>开发利用工程</w:t>
      </w:r>
    </w:p>
    <w:p>
      <w:pPr>
        <w:pStyle w:val="105"/>
      </w:pPr>
      <w:r>
        <w:t>开发方案</w:t>
      </w:r>
    </w:p>
    <w:p>
      <w:pPr>
        <w:pStyle w:val="165"/>
        <w:numPr>
          <w:ilvl w:val="3"/>
          <w:numId w:val="2"/>
        </w:numPr>
      </w:pPr>
      <w:r>
        <w:t>开发方案应以资源评价报告为依据，明确开发范围、热储层位、井位布置、开采规模、利用方式、回灌工程、尾水处置、监测系统和应急措施。</w:t>
      </w:r>
    </w:p>
    <w:p>
      <w:pPr>
        <w:pStyle w:val="165"/>
        <w:numPr>
          <w:ilvl w:val="3"/>
          <w:numId w:val="2"/>
        </w:numPr>
      </w:pPr>
      <w:r>
        <w:t>年度开采量不应超过经评价确认并依法批准的允许开采量。发现水位或压力持续下降、水温异常降低、水质恶化或天然温泉露头衰减时，应复核允许开采量并采取减采、轮采、回灌强化或停采措施。</w:t>
      </w:r>
    </w:p>
    <w:p>
      <w:pPr>
        <w:pStyle w:val="165"/>
        <w:numPr>
          <w:ilvl w:val="3"/>
          <w:numId w:val="2"/>
        </w:numPr>
      </w:pPr>
      <w:r>
        <w:t>多井联采项目应通过井间干扰试验、动态监测或数值模拟确定合理井距和开采制度，不应仅按固定经验距离布井。</w:t>
      </w:r>
    </w:p>
    <w:p>
      <w:pPr>
        <w:pStyle w:val="105"/>
      </w:pPr>
      <w:r>
        <w:t>井场和设施</w:t>
      </w:r>
    </w:p>
    <w:p>
      <w:pPr>
        <w:pStyle w:val="165"/>
        <w:numPr>
          <w:ilvl w:val="3"/>
          <w:numId w:val="2"/>
        </w:numPr>
      </w:pPr>
      <w:r>
        <w:t>开采井、回灌井和监测井的位置应避开地质灾害危险区、污染源影响区和生态敏感区。确需在限制区域建设的，应开展专项论证并采取防护措施。</w:t>
      </w:r>
    </w:p>
    <w:p>
      <w:pPr>
        <w:pStyle w:val="165"/>
        <w:numPr>
          <w:ilvl w:val="3"/>
          <w:numId w:val="2"/>
        </w:numPr>
      </w:pPr>
      <w:r>
        <w:t>开采井井口应设置防喷、防烫、防误启闭和防外来污染设施。自流井、高温井和含有有害气体的井口应设置明显警示标志和隔离防护设施。</w:t>
      </w:r>
    </w:p>
    <w:p>
      <w:pPr>
        <w:pStyle w:val="165"/>
        <w:numPr>
          <w:ilvl w:val="3"/>
          <w:numId w:val="2"/>
        </w:numPr>
      </w:pPr>
      <w:r>
        <w:t>输水管线、阀门、换热器、泵、计量仪表和自控设备应与温度、压力、腐蚀性、结垢性和运行环境相适应。</w:t>
      </w:r>
    </w:p>
    <w:p>
      <w:pPr>
        <w:pStyle w:val="165"/>
        <w:numPr>
          <w:ilvl w:val="3"/>
          <w:numId w:val="2"/>
        </w:numPr>
      </w:pPr>
      <w:r>
        <w:t>井口和主要工艺节点应配置流量、温度、压力等计量装置；计量装置应定期校准，校准和维护记录应归档。</w:t>
      </w:r>
    </w:p>
    <w:p>
      <w:pPr>
        <w:pStyle w:val="105"/>
      </w:pPr>
      <w:r>
        <w:t>利用分类</w:t>
      </w:r>
    </w:p>
    <w:p>
      <w:pPr>
        <w:pStyle w:val="56"/>
      </w:pPr>
      <w:r>
        <w:t>地热温泉资源利用方式应根据温度、流量、水质、特征组分、回灌条件和环境风险综合确定。主要利用分类见</w:t>
      </w:r>
      <w:r>
        <w:fldChar w:fldCharType="begin"/>
      </w:r>
      <w:r>
        <w:instrText xml:space="preserve"> REF _Ref480157064 \h \r </w:instrText>
      </w:r>
      <w:r>
        <w:fldChar w:fldCharType="separate"/>
      </w:r>
      <w:r>
        <w:t>表?</w:t>
      </w:r>
      <w:r>
        <w:fldChar w:fldCharType="end"/>
      </w:r>
      <w:r>
        <w:t>。</w:t>
      </w:r>
    </w:p>
    <w:p>
      <w:pPr>
        <w:pStyle w:val="112"/>
        <w:numPr>
          <w:ilvl w:val="0"/>
          <w:numId w:val="16"/>
        </w:numPr>
      </w:pPr>
      <w:r>
        <w:t xml:space="preserve">　</w:t>
      </w:r>
      <w:bookmarkStart w:id="1011" w:name="_Ref931017233"/>
      <w:bookmarkStart w:id="1012" w:name="_Ref480157064"/>
      <w:bookmarkStart w:id="1013" w:name="_Ref524675750"/>
      <w:bookmarkStart w:id="1014" w:name="_Ref339953775"/>
      <w:r>
        <w:t>地热温泉资源利用分类</w:t>
      </w:r>
      <w:bookmarkEnd w:id="1011"/>
      <w:bookmarkEnd w:id="1012"/>
      <w:bookmarkEnd w:id="1013"/>
      <w:bookmarkEnd w:id="1014"/>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利用方式</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资源或水质条件</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主要控制要求</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判定依据</w:t>
            </w:r>
          </w:p>
        </w:tc>
      </w:tr>
      <w:tr>
        <w:tc>
          <w:tcPr>
            <w:tcW w:type="dxa" w:w="2409"/>
            <w:vAlign w:val="center"/>
            <w:tcMar>
              <w:top w:w="60" w:type="dxa"/>
              <w:left w:w="100" w:type="dxa"/>
              <w:bottom w:w="60" w:type="dxa"/>
              <w:right w:w="100" w:type="dxa"/>
            </w:tcMar>
          </w:tcPr>
          <w:p>
            <w:pPr>
              <w:pStyle w:val="178"/>
              <w:jc w:val="center"/>
            </w:pPr>
            <w:r/>
            <w:r>
              <w:t>洗浴与康养</w:t>
            </w:r>
          </w:p>
        </w:tc>
        <w:tc>
          <w:tcPr>
            <w:tcW w:type="dxa" w:w="2409"/>
            <w:vAlign w:val="center"/>
            <w:tcMar>
              <w:top w:w="60" w:type="dxa"/>
              <w:left w:w="100" w:type="dxa"/>
              <w:bottom w:w="60" w:type="dxa"/>
              <w:right w:w="100" w:type="dxa"/>
            </w:tcMar>
          </w:tcPr>
          <w:p>
            <w:pPr>
              <w:pStyle w:val="178"/>
              <w:jc w:val="left"/>
            </w:pPr>
            <w:r/>
            <w:r>
              <w:t>低温地热资源，使用端经调温后满足人体接触安全要求</w:t>
            </w:r>
          </w:p>
        </w:tc>
        <w:tc>
          <w:tcPr>
            <w:tcW w:type="dxa" w:w="2409"/>
            <w:vAlign w:val="center"/>
            <w:tcMar>
              <w:top w:w="60" w:type="dxa"/>
              <w:left w:w="100" w:type="dxa"/>
              <w:bottom w:w="60" w:type="dxa"/>
              <w:right w:w="100" w:type="dxa"/>
            </w:tcMar>
          </w:tcPr>
          <w:p>
            <w:pPr>
              <w:pStyle w:val="178"/>
              <w:jc w:val="left"/>
            </w:pPr>
            <w:r/>
            <w:r>
              <w:t>应开展水质初始评价和运行期微生物风险控制</w:t>
            </w:r>
          </w:p>
        </w:tc>
        <w:tc>
          <w:tcPr>
            <w:tcW w:type="dxa" w:w="2409"/>
            <w:vAlign w:val="center"/>
            <w:tcMar>
              <w:top w:w="60" w:type="dxa"/>
              <w:left w:w="100" w:type="dxa"/>
              <w:bottom w:w="60" w:type="dxa"/>
              <w:right w:w="100" w:type="dxa"/>
            </w:tcMar>
          </w:tcPr>
          <w:p>
            <w:pPr>
              <w:pStyle w:val="178"/>
              <w:jc w:val="left"/>
            </w:pPr>
            <w:r/>
            <w:r>
              <w:t>附录A、</w:t>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建筑供热和生活热水</w:t>
            </w:r>
          </w:p>
        </w:tc>
        <w:tc>
          <w:tcPr>
            <w:tcW w:type="dxa" w:w="2409"/>
            <w:vAlign w:val="center"/>
            <w:tcMar>
              <w:top w:w="60" w:type="dxa"/>
              <w:left w:w="100" w:type="dxa"/>
              <w:bottom w:w="60" w:type="dxa"/>
              <w:right w:w="100" w:type="dxa"/>
            </w:tcMar>
          </w:tcPr>
          <w:p>
            <w:pPr>
              <w:pStyle w:val="178"/>
              <w:jc w:val="left"/>
            </w:pPr>
            <w:r/>
            <w:r>
              <w:t>热量、流量和换热条件满足负荷需求</w:t>
            </w:r>
          </w:p>
        </w:tc>
        <w:tc>
          <w:tcPr>
            <w:tcW w:type="dxa" w:w="2409"/>
            <w:vAlign w:val="center"/>
            <w:tcMar>
              <w:top w:w="60" w:type="dxa"/>
              <w:left w:w="100" w:type="dxa"/>
              <w:bottom w:w="60" w:type="dxa"/>
              <w:right w:w="100" w:type="dxa"/>
            </w:tcMar>
          </w:tcPr>
          <w:p>
            <w:pPr>
              <w:pStyle w:val="178"/>
              <w:jc w:val="left"/>
            </w:pPr>
            <w:r/>
            <w:r>
              <w:t>宜采用间接换热，减少地热流体开路排放</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温室农业和水产养殖</w:t>
            </w:r>
          </w:p>
        </w:tc>
        <w:tc>
          <w:tcPr>
            <w:tcW w:type="dxa" w:w="2409"/>
            <w:vAlign w:val="center"/>
            <w:tcMar>
              <w:top w:w="60" w:type="dxa"/>
              <w:left w:w="100" w:type="dxa"/>
              <w:bottom w:w="60" w:type="dxa"/>
              <w:right w:w="100" w:type="dxa"/>
            </w:tcMar>
          </w:tcPr>
          <w:p>
            <w:pPr>
              <w:pStyle w:val="178"/>
              <w:jc w:val="left"/>
            </w:pPr>
            <w:r/>
            <w:r>
              <w:t>温度和水质与作物、养殖对象适配</w:t>
            </w:r>
          </w:p>
        </w:tc>
        <w:tc>
          <w:tcPr>
            <w:tcW w:type="dxa" w:w="2409"/>
            <w:vAlign w:val="center"/>
            <w:tcMar>
              <w:top w:w="60" w:type="dxa"/>
              <w:left w:w="100" w:type="dxa"/>
              <w:bottom w:w="60" w:type="dxa"/>
              <w:right w:w="100" w:type="dxa"/>
            </w:tcMar>
          </w:tcPr>
          <w:p>
            <w:pPr>
              <w:pStyle w:val="178"/>
              <w:jc w:val="left"/>
            </w:pPr>
            <w:r/>
            <w:r>
              <w:t>高矿化度、高氟、高砷或含有害组分的地热水不宜直接接触土壤或养殖水体</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Ref_GB_T14848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工业热利用</w:t>
            </w:r>
          </w:p>
        </w:tc>
        <w:tc>
          <w:tcPr>
            <w:tcW w:type="dxa" w:w="2409"/>
            <w:vAlign w:val="center"/>
            <w:tcMar>
              <w:top w:w="60" w:type="dxa"/>
              <w:left w:w="100" w:type="dxa"/>
              <w:bottom w:w="60" w:type="dxa"/>
              <w:right w:w="100" w:type="dxa"/>
            </w:tcMar>
          </w:tcPr>
          <w:p>
            <w:pPr>
              <w:pStyle w:val="178"/>
              <w:jc w:val="left"/>
            </w:pPr>
            <w:r/>
            <w:r>
              <w:t>温度、腐蚀性和结垢性满足工艺要求</w:t>
            </w:r>
          </w:p>
        </w:tc>
        <w:tc>
          <w:tcPr>
            <w:tcW w:type="dxa" w:w="2409"/>
            <w:vAlign w:val="center"/>
            <w:tcMar>
              <w:top w:w="60" w:type="dxa"/>
              <w:left w:w="100" w:type="dxa"/>
              <w:bottom w:w="60" w:type="dxa"/>
              <w:right w:w="100" w:type="dxa"/>
            </w:tcMar>
          </w:tcPr>
          <w:p>
            <w:pPr>
              <w:pStyle w:val="178"/>
              <w:jc w:val="left"/>
            </w:pPr>
            <w:r/>
            <w:r>
              <w:t>应采取防腐、防垢、余热利用和尾水处置措施</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食品加工接触用水</w:t>
            </w:r>
          </w:p>
        </w:tc>
        <w:tc>
          <w:tcPr>
            <w:tcW w:type="dxa" w:w="2409"/>
            <w:vAlign w:val="center"/>
            <w:tcMar>
              <w:top w:w="60" w:type="dxa"/>
              <w:left w:w="100" w:type="dxa"/>
              <w:bottom w:w="60" w:type="dxa"/>
              <w:right w:w="100" w:type="dxa"/>
            </w:tcMar>
          </w:tcPr>
          <w:p>
            <w:pPr>
              <w:pStyle w:val="178"/>
              <w:jc w:val="center"/>
            </w:pPr>
            <w:r/>
            <w:r>
              <w:t>用水直接接触食品或进入产品</w:t>
            </w:r>
          </w:p>
        </w:tc>
        <w:tc>
          <w:tcPr>
            <w:tcW w:type="dxa" w:w="2409"/>
            <w:vAlign w:val="center"/>
            <w:tcMar>
              <w:top w:w="60" w:type="dxa"/>
              <w:left w:w="100" w:type="dxa"/>
              <w:bottom w:w="60" w:type="dxa"/>
              <w:right w:w="100" w:type="dxa"/>
            </w:tcMar>
          </w:tcPr>
          <w:p>
            <w:pPr>
              <w:pStyle w:val="178"/>
              <w:jc w:val="center"/>
            </w:pPr>
            <w:r/>
            <w:r>
              <w:t>应符合生活饮用水水质要求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Ref_GB5749 \h </w:instrText>
            </w:r>
            <w:r>
              <w:fldChar w:fldCharType="separate"/>
            </w:r>
            <w:r>
              <w:t>?</w:t>
            </w:r>
            <w:r>
              <w:fldChar w:fldCharType="end"/>
            </w:r>
          </w:p>
        </w:tc>
      </w:tr>
    </w:tbl>
    <w:p>
      <w:pPr>
        <w:pStyle w:val="105"/>
      </w:pPr>
      <w:r>
        <w:t>洗浴与康养利用</w:t>
      </w:r>
    </w:p>
    <w:p>
      <w:pPr>
        <w:pStyle w:val="165"/>
        <w:numPr>
          <w:ilvl w:val="3"/>
          <w:numId w:val="2"/>
        </w:numPr>
      </w:pPr>
      <w:r>
        <w:t>洗浴与康养用水不应直接按生活饮用水对外宣传。确需宣传医疗、理疗或特殊矿物成分功能时，应取得相应检测、评价和主管部门要求的证明材料。</w:t>
      </w:r>
    </w:p>
    <w:p>
      <w:pPr>
        <w:pStyle w:val="165"/>
        <w:numPr>
          <w:ilvl w:val="3"/>
          <w:numId w:val="2"/>
        </w:numPr>
      </w:pPr>
      <w:r>
        <w:t>浴区应设置连续或定时水温显示。人体直接接触水温应经调温控制，超过安全舒适范围时应设置警示和防误入措施。</w:t>
      </w:r>
    </w:p>
    <w:p>
      <w:pPr>
        <w:pStyle w:val="165"/>
        <w:numPr>
          <w:ilvl w:val="3"/>
          <w:numId w:val="2"/>
        </w:numPr>
      </w:pPr>
      <w:r>
        <w:t>洗浴与康养用水初始评价和运行期控制项目应符合附录A的规定。</w:t>
      </w:r>
    </w:p>
    <w:p>
      <w:pPr>
        <w:pStyle w:val="105"/>
      </w:pPr>
      <w:r>
        <w:t>供热和梯级利用</w:t>
      </w:r>
    </w:p>
    <w:p>
      <w:pPr>
        <w:pStyle w:val="165"/>
        <w:numPr>
          <w:ilvl w:val="3"/>
          <w:numId w:val="2"/>
        </w:numPr>
      </w:pPr>
      <w:r>
        <w:t>地热供热系统宜采用间接换热方式。直接利用地热流体的，应论证腐蚀、结垢、泄漏、污染和回灌影响。</w:t>
      </w:r>
    </w:p>
    <w:p>
      <w:pPr>
        <w:pStyle w:val="165"/>
        <w:numPr>
          <w:ilvl w:val="3"/>
          <w:numId w:val="2"/>
        </w:numPr>
      </w:pPr>
      <w:r>
        <w:t>梯级利用系统应按高温段、供热段、洗浴或农业段、余热回收段进行温度和水量平衡设计。各级出水温度应满足下一级利用或回灌条件。</w:t>
      </w:r>
    </w:p>
    <w:p>
      <w:pPr>
        <w:pStyle w:val="165"/>
        <w:numPr>
          <w:ilvl w:val="3"/>
          <w:numId w:val="2"/>
        </w:numPr>
      </w:pPr>
      <w:r>
        <w:t>对含高氯离子、硫化氢、二氧化碳或高矿化度的地热流体，应开展腐蚀性和结垢性评价，并配置防腐、防垢、脱气或隔离换热设施。</w:t>
      </w:r>
    </w:p>
    <w:p>
      <w:pPr>
        <w:pStyle w:val="104"/>
      </w:pPr>
      <w:r>
        <w:t>回灌与尾水处理</w:t>
      </w:r>
    </w:p>
    <w:p>
      <w:pPr>
        <w:pStyle w:val="105"/>
      </w:pPr>
      <w:r>
        <w:t>回灌设计基础</w:t>
      </w:r>
    </w:p>
    <w:p>
      <w:pPr>
        <w:pStyle w:val="165"/>
        <w:numPr>
          <w:ilvl w:val="3"/>
          <w:numId w:val="2"/>
        </w:numPr>
      </w:pPr>
      <w:r>
        <w:t>水热型地热资源回灌工程的适宜性评价、设计、施工、运行监测、维护和资料归档应符合</w:t>
      </w:r>
      <w:r>
        <w:fldChar w:fldCharType="begin"/>
      </w:r>
      <w:r>
        <w:instrText xml:space="preserve"> REF Ref_DZ_T0481 \h </w:instrText>
      </w:r>
      <w:r>
        <w:fldChar w:fldCharType="separate"/>
      </w:r>
      <w:r>
        <w:t>?</w:t>
      </w:r>
      <w:r>
        <w:fldChar w:fldCharType="end"/>
      </w:r>
      <w:r>
        <w:t>的规定。</w:t>
      </w:r>
    </w:p>
    <w:p>
      <w:pPr>
        <w:pStyle w:val="165"/>
        <w:numPr>
          <w:ilvl w:val="3"/>
          <w:numId w:val="2"/>
        </w:numPr>
      </w:pPr>
      <w:r>
        <w:t>回灌设计前，应收集或调查下列资料：</w:t>
      </w:r>
    </w:p>
    <w:p>
      <w:pPr>
        <w:pStyle w:val="92"/>
        <w:numPr>
          <w:ilvl w:val="0"/>
          <w:numId w:val="9"/>
        </w:numPr>
      </w:pPr>
      <w:r>
        <w:t>热储类型、岩性、厚度、分布、埋藏条件以及孔隙、裂隙发育程度；</w:t>
      </w:r>
    </w:p>
    <w:p>
      <w:pPr>
        <w:pStyle w:val="92"/>
        <w:numPr>
          <w:ilvl w:val="0"/>
          <w:numId w:val="9"/>
        </w:numPr>
      </w:pPr>
      <w:r>
        <w:t>热储温度场、压力场及其动态变化；</w:t>
      </w:r>
    </w:p>
    <w:p>
      <w:pPr>
        <w:pStyle w:val="92"/>
        <w:numPr>
          <w:ilvl w:val="0"/>
          <w:numId w:val="9"/>
        </w:numPr>
      </w:pPr>
      <w:r>
        <w:t>地热流体化学组分、腐蚀性、结垢性和颗粒物特征；</w:t>
      </w:r>
    </w:p>
    <w:p>
      <w:pPr>
        <w:pStyle w:val="92"/>
        <w:numPr>
          <w:ilvl w:val="0"/>
          <w:numId w:val="9"/>
        </w:numPr>
      </w:pPr>
      <w:r>
        <w:t>单井回灌能力、开采井与回灌井的干扰关系；</w:t>
      </w:r>
    </w:p>
    <w:p>
      <w:pPr>
        <w:pStyle w:val="92"/>
        <w:numPr>
          <w:ilvl w:val="0"/>
          <w:numId w:val="9"/>
        </w:numPr>
      </w:pPr>
      <w:r>
        <w:t>靠近城市建成区、人口或建筑密集区的项目，应调查地裂缝、地面沉降等地质灾害风险。</w:t>
      </w:r>
    </w:p>
    <w:p>
      <w:pPr>
        <w:pStyle w:val="165"/>
        <w:numPr>
          <w:ilvl w:val="3"/>
          <w:numId w:val="2"/>
        </w:numPr>
      </w:pPr>
      <w:r>
        <w:t>可回灌量应根据单井或多井采灌试验、区域动态监测资料和热储数值模型等资料综合确定。设计回灌量应小于可回灌量，不应以固定比例替代试验和论证。回灌率和单井设计回灌量的资料性估算方法见附录C。</w:t>
      </w:r>
    </w:p>
    <w:p>
      <w:pPr>
        <w:pStyle w:val="165"/>
        <w:numPr>
          <w:ilvl w:val="3"/>
          <w:numId w:val="2"/>
        </w:numPr>
      </w:pPr>
      <w:r>
        <w:t>回灌可行性评价应包括回灌规模与可回灌量的关系、地热流体腐蚀性和结垢性、回灌条件、监测要求、回灌井施工条件和回灌设施条件。</w:t>
      </w:r>
    </w:p>
    <w:p>
      <w:pPr>
        <w:pStyle w:val="105"/>
      </w:pPr>
      <w:r>
        <w:t>回灌系统设计</w:t>
      </w:r>
    </w:p>
    <w:p>
      <w:pPr>
        <w:pStyle w:val="165"/>
        <w:numPr>
          <w:ilvl w:val="3"/>
          <w:numId w:val="2"/>
        </w:numPr>
      </w:pPr>
      <w:r>
        <w:t>热能利用后的地热尾水、地热供水管道中未受污染的地热原水宜优先用于地热资源回灌；采用其他水源回灌时，应通过分析、试验、监测和论证确认其不会破坏地热资源评价要素。</w:t>
      </w:r>
    </w:p>
    <w:p>
      <w:pPr>
        <w:pStyle w:val="165"/>
        <w:numPr>
          <w:ilvl w:val="3"/>
          <w:numId w:val="2"/>
        </w:numPr>
      </w:pPr>
      <w:r>
        <w:t>热能利用项目应开展回灌。回灌应与开采为同一热储层，回灌温度宜不低于25 ℃；热补给能力强的热储需降低回灌温度时，应经专项论证。</w:t>
      </w:r>
    </w:p>
    <w:p>
      <w:pPr>
        <w:pStyle w:val="165"/>
        <w:numPr>
          <w:ilvl w:val="3"/>
          <w:numId w:val="2"/>
        </w:numPr>
      </w:pPr>
      <w:r>
        <w:t>地热流体回灌率应根据地热水位埋深和变化趋势确定。区域地热水位埋深大，或水位埋深较小但持续下降的地热田或开采区，应按100%回灌率设计；水位相对稳定或持续上升的，经论证可降低回灌率，外排流体应处理达标后排放。</w:t>
      </w:r>
    </w:p>
    <w:p>
      <w:pPr>
        <w:pStyle w:val="165"/>
        <w:numPr>
          <w:ilvl w:val="3"/>
          <w:numId w:val="2"/>
        </w:numPr>
      </w:pPr>
      <w:r>
        <w:t>回灌井布局应结合回灌规模、单井回灌量、采灌井干扰、热突破风险和施工条件确定。单井或小规模回灌项目的采灌井间距宜大于2倍开采影响半径或采用解析法确定；多井回灌项目宜采用数值模拟对布局方案进行预测和比选。</w:t>
      </w:r>
    </w:p>
    <w:p>
      <w:pPr>
        <w:pStyle w:val="165"/>
        <w:numPr>
          <w:ilvl w:val="3"/>
          <w:numId w:val="2"/>
        </w:numPr>
      </w:pPr>
      <w:r>
        <w:t>回灌井设计应保证足够的回灌储层厚度并包含储层主要含水层段。同一区域、同一储层回灌井回灌段井径不应小于开采井开采段井径；非回灌段应下入套管并固井，回灌段应根据储层稳定性确定滤水管设置。</w:t>
      </w:r>
    </w:p>
    <w:p>
      <w:pPr>
        <w:pStyle w:val="165"/>
        <w:numPr>
          <w:ilvl w:val="3"/>
          <w:numId w:val="2"/>
        </w:numPr>
      </w:pPr>
      <w:r>
        <w:t>回灌井套管、滤水管、井口装置、管道、泵、阀门和过滤处理设施应与地热流体温度、压力、腐蚀性、结垢性和运行环境相适应。采灌井井口及与其连接的供回管线应保持密闭并隔绝空气。</w:t>
      </w:r>
    </w:p>
    <w:p>
      <w:pPr>
        <w:pStyle w:val="165"/>
        <w:numPr>
          <w:ilvl w:val="3"/>
          <w:numId w:val="2"/>
        </w:numPr>
      </w:pPr>
      <w:r>
        <w:t>回灌设施应配置井口保护装置、过滤及处理设施、回灌监测设备、回灌管道、回扬管道和控制阀门。回灌管道应安装流量、压力、温度、排气和阀门设施，宜设置除砂和防腐、防垢过滤装置。</w:t>
      </w:r>
    </w:p>
    <w:p>
      <w:pPr>
        <w:pStyle w:val="105"/>
      </w:pPr>
      <w:r>
        <w:t>回灌运行监测与维护</w:t>
      </w:r>
    </w:p>
    <w:p>
      <w:pPr>
        <w:pStyle w:val="165"/>
        <w:numPr>
          <w:ilvl w:val="3"/>
          <w:numId w:val="2"/>
        </w:numPr>
      </w:pPr>
      <w:r>
        <w:t>回灌系统投入运行前，回灌井成井、产能测试、回灌能力测试、设施安装调试和验收结果应满足设计要求。</w:t>
      </w:r>
    </w:p>
    <w:p>
      <w:pPr>
        <w:pStyle w:val="165"/>
        <w:numPr>
          <w:ilvl w:val="3"/>
          <w:numId w:val="2"/>
        </w:numPr>
      </w:pPr>
      <w:r>
        <w:t>回灌系统运行期间，应每日定时监测并记录开采量、开采流体温度、开采流体埋深或压力、回灌量、回灌温度、回灌流体埋深或压力、回灌压力和运行异常。</w:t>
      </w:r>
    </w:p>
    <w:p>
      <w:pPr>
        <w:pStyle w:val="165"/>
        <w:numPr>
          <w:ilvl w:val="3"/>
          <w:numId w:val="2"/>
        </w:numPr>
      </w:pPr>
      <w:r>
        <w:t>每年应对回灌系统流体化学组分进行监测，并在系统运行开始后、结束前以及回扬结束前分别取样。检测项目应覆盖主要阴阳离子、特征组分、悬浮物、颗粒物、腐蚀结垢相关指标以及必要的污染风险指标。</w:t>
      </w:r>
    </w:p>
    <w:p>
      <w:pPr>
        <w:pStyle w:val="165"/>
        <w:numPr>
          <w:ilvl w:val="3"/>
          <w:numId w:val="2"/>
        </w:numPr>
      </w:pPr>
      <w:r>
        <w:t>回灌监测结果应及时用于优化回灌运行方案。发现回灌衰减、回灌压力异常升高、水位异常抬升、水质突变或热突破风险时，应复核原因并采取降量、停灌、过滤处理、回扬、洗井或工程改造等措施。</w:t>
      </w:r>
    </w:p>
    <w:p>
      <w:pPr>
        <w:pStyle w:val="165"/>
        <w:numPr>
          <w:ilvl w:val="3"/>
          <w:numId w:val="2"/>
        </w:numPr>
      </w:pPr>
      <w:r>
        <w:t>每个回灌井运行期结束后宜尽快开展回扬。回扬至水清砂净后应开展回灌试验；单位回灌量达到完井时回灌试验结果的90%以上且满足回灌要求时，可结束回扬。</w:t>
      </w:r>
    </w:p>
    <w:p>
      <w:pPr>
        <w:pStyle w:val="165"/>
        <w:numPr>
          <w:ilvl w:val="3"/>
          <w:numId w:val="2"/>
        </w:numPr>
      </w:pPr>
      <w:r>
        <w:t>回扬后仍不能满足回灌要求的，应采取物理、化学洗井或其他工程措施进行处理，并形成维护原因、处理过程、效果评价和后续运行控制记录。</w:t>
      </w:r>
    </w:p>
    <w:p>
      <w:pPr>
        <w:pStyle w:val="105"/>
      </w:pPr>
      <w:r>
        <w:t>尾水处理</w:t>
      </w:r>
    </w:p>
    <w:p>
      <w:pPr>
        <w:pStyle w:val="165"/>
        <w:numPr>
          <w:ilvl w:val="3"/>
          <w:numId w:val="2"/>
        </w:numPr>
      </w:pPr>
      <w:r>
        <w:t>尾水应优先回灌或梯级利用；不能回灌或继续利用的，应按项目环境影响评价文件、排污许可和受纳水体功能要求处理后排放。</w:t>
      </w:r>
    </w:p>
    <w:p>
      <w:pPr>
        <w:pStyle w:val="165"/>
        <w:numPr>
          <w:ilvl w:val="3"/>
          <w:numId w:val="2"/>
        </w:numPr>
      </w:pPr>
      <w:r>
        <w:t>高矿化度、高氟、高砷、含硫化氢或含放射性指标异常的尾水，不应直接排入地表水体、浅层地下水或土壤环境。</w:t>
      </w:r>
    </w:p>
    <w:p>
      <w:pPr>
        <w:pStyle w:val="165"/>
        <w:numPr>
          <w:ilvl w:val="3"/>
          <w:numId w:val="2"/>
        </w:numPr>
      </w:pPr>
      <w:r>
        <w:t>尾水处理应根据水质特征选择曝气、沉淀、过滤、除铁锰、除氟、除砷、脱硫、防垢、消毒、浓缩或其他工艺，并保留处理效果监测记录。</w:t>
      </w:r>
    </w:p>
    <w:p>
      <w:pPr>
        <w:pStyle w:val="165"/>
        <w:numPr>
          <w:ilvl w:val="3"/>
          <w:numId w:val="2"/>
        </w:numPr>
      </w:pPr>
      <w:r>
        <w:t>尾水排放可能造成热污染时，应开展受纳水体温升影响分析，并根据论证结果采取降温、分散排放、回收余热或停止排放措施。</w:t>
      </w:r>
    </w:p>
    <w:p>
      <w:pPr>
        <w:pStyle w:val="104"/>
      </w:pPr>
      <w:r>
        <w:t>环境保护与监测</w:t>
      </w:r>
    </w:p>
    <w:p>
      <w:pPr>
        <w:pStyle w:val="105"/>
      </w:pPr>
      <w:r>
        <w:t>环境保护</w:t>
      </w:r>
    </w:p>
    <w:p>
      <w:pPr>
        <w:pStyle w:val="165"/>
        <w:numPr>
          <w:ilvl w:val="3"/>
          <w:numId w:val="2"/>
        </w:numPr>
      </w:pPr>
      <w:r>
        <w:t>地热温泉开发项目应在建设前识别对浅层地下水、地表水、天然温泉露头、地面沉降、地质景观、植被和周边敏感目标的影响。</w:t>
      </w:r>
    </w:p>
    <w:p>
      <w:pPr>
        <w:pStyle w:val="165"/>
        <w:numPr>
          <w:ilvl w:val="3"/>
          <w:numId w:val="2"/>
        </w:numPr>
      </w:pPr>
      <w:r>
        <w:t>钻井废浆、岩屑、废滤料、废药剂和检维修废弃物应分类收集、贮存和处置，不应就地排放、倾倒或掩埋。</w:t>
      </w:r>
    </w:p>
    <w:p>
      <w:pPr>
        <w:pStyle w:val="165"/>
        <w:numPr>
          <w:ilvl w:val="3"/>
          <w:numId w:val="2"/>
        </w:numPr>
      </w:pPr>
      <w:r>
        <w:t>天然温泉露头、泉华、热显示景观及其补给径流通道应纳入保护对象。保护范围应按资源评价、规划、环境影响评价或主管部门批复确定。</w:t>
      </w:r>
    </w:p>
    <w:p>
      <w:pPr>
        <w:pStyle w:val="165"/>
        <w:numPr>
          <w:ilvl w:val="3"/>
          <w:numId w:val="2"/>
        </w:numPr>
      </w:pPr>
      <w:r>
        <w:t>沿海地区、岩溶地区、断裂破碎带发育地区和浅层含水层联系密切地区，应重点评价海水入侵、污染物迁移、地面沉降、地面塌陷和地质灾害风险。</w:t>
      </w:r>
    </w:p>
    <w:p>
      <w:pPr>
        <w:pStyle w:val="165"/>
        <w:numPr>
          <w:ilvl w:val="3"/>
          <w:numId w:val="2"/>
        </w:numPr>
      </w:pPr>
      <w:r>
        <w:t>与其他含水层有较密切水力联系的项目，应监测开采或回灌对相关含水层水质的影响。对海水入侵或地下水污染高风险地区，应设置专门水质监测点。</w:t>
      </w:r>
    </w:p>
    <w:p>
      <w:pPr>
        <w:pStyle w:val="105"/>
      </w:pPr>
      <w:r>
        <w:t>监测体系</w:t>
      </w:r>
    </w:p>
    <w:p>
      <w:pPr>
        <w:pStyle w:val="165"/>
        <w:numPr>
          <w:ilvl w:val="3"/>
          <w:numId w:val="2"/>
        </w:numPr>
      </w:pPr>
      <w:r>
        <w:t>地热温泉开发利用项目应建立动态监测体系。监测项目、布点、频次、数据质量控制、预警和成果报告应符合</w:t>
      </w:r>
      <w:r>
        <w:fldChar w:fldCharType="begin"/>
      </w:r>
      <w:r>
        <w:instrText xml:space="preserve"> REF Ref_DZ_T0482 \h </w:instrText>
      </w:r>
      <w:r>
        <w:fldChar w:fldCharType="separate"/>
      </w:r>
      <w:r>
        <w:t>?</w:t>
      </w:r>
      <w:r>
        <w:fldChar w:fldCharType="end"/>
      </w:r>
      <w:r>
        <w:t>的规定。</w:t>
      </w:r>
    </w:p>
    <w:p>
      <w:pPr>
        <w:pStyle w:val="165"/>
        <w:numPr>
          <w:ilvl w:val="3"/>
          <w:numId w:val="2"/>
        </w:numPr>
      </w:pPr>
      <w:r>
        <w:t>监测范围应覆盖地热田或开采区，监测内容应能反映地热资源开发利用与压力或水位、温度、化学组分以及相关地质环境变化之间的关系。</w:t>
      </w:r>
    </w:p>
    <w:p>
      <w:pPr>
        <w:pStyle w:val="165"/>
        <w:numPr>
          <w:ilvl w:val="3"/>
          <w:numId w:val="2"/>
        </w:numPr>
      </w:pPr>
      <w:r>
        <w:t>地热监测点应按下列类别设置：</w:t>
      </w:r>
    </w:p>
    <w:p>
      <w:pPr>
        <w:pStyle w:val="92"/>
        <w:numPr>
          <w:ilvl w:val="0"/>
          <w:numId w:val="9"/>
        </w:numPr>
      </w:pPr>
      <w:r>
        <w:t>开发利用监测点，监测地热流体开采量、回灌量、开采和回灌温度以及地热流体用途和用量；</w:t>
      </w:r>
    </w:p>
    <w:p>
      <w:pPr>
        <w:pStyle w:val="92"/>
        <w:numPr>
          <w:ilvl w:val="0"/>
          <w:numId w:val="9"/>
        </w:numPr>
      </w:pPr>
      <w:r>
        <w:t>资源评价要素监测点，监测地热流体压力或水位、温度和化学组分；</w:t>
      </w:r>
    </w:p>
    <w:p>
      <w:pPr>
        <w:pStyle w:val="92"/>
        <w:numPr>
          <w:ilvl w:val="0"/>
          <w:numId w:val="9"/>
        </w:numPr>
      </w:pPr>
      <w:r>
        <w:t>地质环境监测点，监测热储温度变化、地面沉降、地面塌陷、海水入侵、地下水污染等可能与地热开发有关的地质环境变化。</w:t>
      </w:r>
    </w:p>
    <w:p>
      <w:pPr>
        <w:pStyle w:val="165"/>
        <w:numPr>
          <w:ilvl w:val="3"/>
          <w:numId w:val="2"/>
        </w:numPr>
      </w:pPr>
      <w:r>
        <w:t>数据采集可采用人工采集、自动采集人工取数、自动采集远程传输等方式。具备条件的地热井、天然温泉和关键环境监测点宜采用自动采集远程传输方式。</w:t>
      </w:r>
    </w:p>
    <w:p>
      <w:pPr>
        <w:pStyle w:val="165"/>
        <w:numPr>
          <w:ilvl w:val="3"/>
          <w:numId w:val="2"/>
        </w:numPr>
      </w:pPr>
      <w:r>
        <w:t>所有地热井应在主管线安装温度计和流量总表，按用途在分支管线安装分表；计量设备宜定期标定，出现故障时应及时维修或更换。</w:t>
      </w:r>
    </w:p>
    <w:p>
      <w:pPr>
        <w:pStyle w:val="165"/>
        <w:numPr>
          <w:ilvl w:val="3"/>
          <w:numId w:val="2"/>
        </w:numPr>
      </w:pPr>
      <w:r>
        <w:t>天然温泉应监测流量、温度及化学组分。天然温泉流量和温度每月监测不应少于3次，监测时间间隔宜基本相同且每月监测时间宜相对固定。</w:t>
      </w:r>
    </w:p>
    <w:p>
      <w:pPr>
        <w:pStyle w:val="165"/>
        <w:numPr>
          <w:ilvl w:val="3"/>
          <w:numId w:val="2"/>
        </w:numPr>
      </w:pPr>
      <w:r>
        <w:t>资源评价要素监测点应监测地热流体压力或水位、温度和化学组分；回灌项目还应监测回灌流体压力或水位、温度和化学组分。专门监测点的压力或水位、温度每月监测不应少于3次；化学组分每年主要开采期和停采期应至少各取样监测1次。</w:t>
      </w:r>
    </w:p>
    <w:p>
      <w:pPr>
        <w:pStyle w:val="165"/>
        <w:numPr>
          <w:ilvl w:val="3"/>
          <w:numId w:val="2"/>
        </w:numPr>
      </w:pPr>
      <w:r>
        <w:t>集中回灌区应设置热储温度变化监测点。新生界松散沉积层、半成岩热储层、岩溶热储或基岩热储上覆松散层厚度较大的区域，应评价并监测地面沉降或地面塌陷风险。</w:t>
      </w:r>
    </w:p>
    <w:p>
      <w:pPr>
        <w:pStyle w:val="56"/>
      </w:pPr>
      <w:r>
        <w:t>地热温泉基础监测项目见</w:t>
      </w:r>
      <w:r>
        <w:fldChar w:fldCharType="begin"/>
      </w:r>
      <w:r>
        <w:instrText xml:space="preserve"> REF _Ref978932765 \h \r </w:instrText>
      </w:r>
      <w:r>
        <w:fldChar w:fldCharType="separate"/>
      </w:r>
      <w:r>
        <w:t>表?</w:t>
      </w:r>
      <w:r>
        <w:fldChar w:fldCharType="end"/>
      </w:r>
      <w:r>
        <w:t>。</w:t>
      </w:r>
    </w:p>
    <w:p>
      <w:pPr>
        <w:pStyle w:val="112"/>
        <w:numPr>
          <w:ilvl w:val="0"/>
          <w:numId w:val="16"/>
        </w:numPr>
      </w:pPr>
      <w:r>
        <w:t xml:space="preserve">　</w:t>
      </w:r>
      <w:bookmarkStart w:id="1015" w:name="_Ref317787262"/>
      <w:bookmarkStart w:id="1016" w:name="_Ref978932765"/>
      <w:bookmarkStart w:id="1017" w:name="_Ref414516090"/>
      <w:bookmarkStart w:id="1018" w:name="_Ref286247043"/>
      <w:r>
        <w:t>地热温泉基础监测项目</w:t>
      </w:r>
      <w:bookmarkEnd w:id="1015"/>
      <w:bookmarkEnd w:id="1016"/>
      <w:bookmarkEnd w:id="1017"/>
      <w:bookmarkEnd w:id="1018"/>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监测类别</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监测项目</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基础监测要求</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用途</w:t>
            </w:r>
          </w:p>
        </w:tc>
      </w:tr>
      <w:tr>
        <w:tc>
          <w:tcPr>
            <w:tcW w:type="dxa" w:w="2409"/>
            <w:vAlign w:val="center"/>
            <w:tcMar>
              <w:top w:w="60" w:type="dxa"/>
              <w:left w:w="100" w:type="dxa"/>
              <w:bottom w:w="60" w:type="dxa"/>
              <w:right w:w="100" w:type="dxa"/>
            </w:tcMar>
          </w:tcPr>
          <w:p>
            <w:pPr>
              <w:pStyle w:val="178"/>
              <w:jc w:val="center"/>
            </w:pPr>
            <w:r/>
            <w:r>
              <w:t>开采监测</w:t>
            </w:r>
          </w:p>
        </w:tc>
        <w:tc>
          <w:tcPr>
            <w:tcW w:type="dxa" w:w="2409"/>
            <w:vAlign w:val="center"/>
            <w:tcMar>
              <w:top w:w="60" w:type="dxa"/>
              <w:left w:w="100" w:type="dxa"/>
              <w:bottom w:w="60" w:type="dxa"/>
              <w:right w:w="100" w:type="dxa"/>
            </w:tcMar>
          </w:tcPr>
          <w:p>
            <w:pPr>
              <w:pStyle w:val="178"/>
              <w:jc w:val="left"/>
            </w:pPr>
            <w:r/>
            <w:r>
              <w:t>开采量、用途分量、井口温度、井口压力或水位</w:t>
            </w:r>
          </w:p>
        </w:tc>
        <w:tc>
          <w:tcPr>
            <w:tcW w:type="dxa" w:w="2409"/>
            <w:vAlign w:val="center"/>
            <w:tcMar>
              <w:top w:w="60" w:type="dxa"/>
              <w:left w:w="100" w:type="dxa"/>
              <w:bottom w:w="60" w:type="dxa"/>
              <w:right w:w="100" w:type="dxa"/>
            </w:tcMar>
          </w:tcPr>
          <w:p>
            <w:pPr>
              <w:pStyle w:val="178"/>
              <w:jc w:val="left"/>
            </w:pPr>
            <w:r/>
            <w:r>
              <w:t>每日定时记录，按月和年度汇总</w:t>
            </w:r>
          </w:p>
        </w:tc>
        <w:tc>
          <w:tcPr>
            <w:tcW w:type="dxa" w:w="2409"/>
            <w:vAlign w:val="center"/>
            <w:tcMar>
              <w:top w:w="60" w:type="dxa"/>
              <w:left w:w="100" w:type="dxa"/>
              <w:bottom w:w="60" w:type="dxa"/>
              <w:right w:w="100" w:type="dxa"/>
            </w:tcMar>
          </w:tcPr>
          <w:p>
            <w:pPr>
              <w:pStyle w:val="178"/>
              <w:jc w:val="center"/>
            </w:pPr>
            <w:r/>
            <w:r>
              <w:t>判断开采强度和资源动态</w:t>
            </w:r>
          </w:p>
        </w:tc>
      </w:tr>
      <w:tr>
        <w:tc>
          <w:tcPr>
            <w:tcW w:type="dxa" w:w="2409"/>
            <w:vAlign w:val="center"/>
            <w:tcMar>
              <w:top w:w="60" w:type="dxa"/>
              <w:left w:w="100" w:type="dxa"/>
              <w:bottom w:w="60" w:type="dxa"/>
              <w:right w:w="100" w:type="dxa"/>
            </w:tcMar>
          </w:tcPr>
          <w:p>
            <w:pPr>
              <w:pStyle w:val="178"/>
              <w:jc w:val="center"/>
            </w:pPr>
            <w:r/>
            <w:r>
              <w:t>回灌监测</w:t>
            </w:r>
          </w:p>
        </w:tc>
        <w:tc>
          <w:tcPr>
            <w:tcW w:type="dxa" w:w="2409"/>
            <w:vAlign w:val="center"/>
            <w:tcMar>
              <w:top w:w="60" w:type="dxa"/>
              <w:left w:w="100" w:type="dxa"/>
              <w:bottom w:w="60" w:type="dxa"/>
              <w:right w:w="100" w:type="dxa"/>
            </w:tcMar>
          </w:tcPr>
          <w:p>
            <w:pPr>
              <w:pStyle w:val="178"/>
              <w:jc w:val="left"/>
            </w:pPr>
            <w:r/>
            <w:r>
              <w:t>回灌量、回灌温度、回灌压力或水位、回灌水质</w:t>
            </w:r>
          </w:p>
        </w:tc>
        <w:tc>
          <w:tcPr>
            <w:tcW w:type="dxa" w:w="2409"/>
            <w:vAlign w:val="center"/>
            <w:tcMar>
              <w:top w:w="60" w:type="dxa"/>
              <w:left w:w="100" w:type="dxa"/>
              <w:bottom w:w="60" w:type="dxa"/>
              <w:right w:w="100" w:type="dxa"/>
            </w:tcMar>
          </w:tcPr>
          <w:p>
            <w:pPr>
              <w:pStyle w:val="178"/>
              <w:jc w:val="left"/>
            </w:pPr>
            <w:r/>
            <w:r>
              <w:t>每日定时记录，化学组分按运行期和停灌期检测</w:t>
            </w:r>
          </w:p>
        </w:tc>
        <w:tc>
          <w:tcPr>
            <w:tcW w:type="dxa" w:w="2409"/>
            <w:vAlign w:val="center"/>
            <w:tcMar>
              <w:top w:w="60" w:type="dxa"/>
              <w:left w:w="100" w:type="dxa"/>
              <w:bottom w:w="60" w:type="dxa"/>
              <w:right w:w="100" w:type="dxa"/>
            </w:tcMar>
          </w:tcPr>
          <w:p>
            <w:pPr>
              <w:pStyle w:val="178"/>
              <w:jc w:val="left"/>
            </w:pPr>
            <w:r/>
            <w:r>
              <w:t>判断采灌平衡、堵塞和回灌衰减风险</w:t>
            </w:r>
          </w:p>
        </w:tc>
      </w:tr>
      <w:tr>
        <w:tc>
          <w:tcPr>
            <w:tcW w:type="dxa" w:w="2409"/>
            <w:vAlign w:val="center"/>
            <w:tcMar>
              <w:top w:w="60" w:type="dxa"/>
              <w:left w:w="100" w:type="dxa"/>
              <w:bottom w:w="60" w:type="dxa"/>
              <w:right w:w="100" w:type="dxa"/>
            </w:tcMar>
          </w:tcPr>
          <w:p>
            <w:pPr>
              <w:pStyle w:val="178"/>
              <w:jc w:val="center"/>
            </w:pPr>
            <w:r/>
            <w:r>
              <w:t>水质监测</w:t>
            </w:r>
          </w:p>
        </w:tc>
        <w:tc>
          <w:tcPr>
            <w:tcW w:type="dxa" w:w="2409"/>
            <w:vAlign w:val="center"/>
            <w:tcMar>
              <w:top w:w="60" w:type="dxa"/>
              <w:left w:w="100" w:type="dxa"/>
              <w:bottom w:w="60" w:type="dxa"/>
              <w:right w:w="100" w:type="dxa"/>
            </w:tcMar>
          </w:tcPr>
          <w:p>
            <w:pPr>
              <w:pStyle w:val="178"/>
              <w:jc w:val="left"/>
            </w:pPr>
            <w:r/>
            <w:r>
              <w:t>pH、溶解性总固体、主要离子、特征组分、污染风险指标</w:t>
            </w:r>
          </w:p>
        </w:tc>
        <w:tc>
          <w:tcPr>
            <w:tcW w:type="dxa" w:w="2409"/>
            <w:vAlign w:val="center"/>
            <w:tcMar>
              <w:top w:w="60" w:type="dxa"/>
              <w:left w:w="100" w:type="dxa"/>
              <w:bottom w:w="60" w:type="dxa"/>
              <w:right w:w="100" w:type="dxa"/>
            </w:tcMar>
          </w:tcPr>
          <w:p>
            <w:pPr>
              <w:pStyle w:val="178"/>
              <w:jc w:val="left"/>
            </w:pPr>
            <w:r/>
            <w:r>
              <w:t>运行初期加密检测，稳定后按专项方案检测</w:t>
            </w:r>
          </w:p>
        </w:tc>
        <w:tc>
          <w:tcPr>
            <w:tcW w:type="dxa" w:w="2409"/>
            <w:vAlign w:val="center"/>
            <w:tcMar>
              <w:top w:w="60" w:type="dxa"/>
              <w:left w:w="100" w:type="dxa"/>
              <w:bottom w:w="60" w:type="dxa"/>
              <w:right w:w="100" w:type="dxa"/>
            </w:tcMar>
          </w:tcPr>
          <w:p>
            <w:pPr>
              <w:pStyle w:val="178"/>
              <w:jc w:val="center"/>
            </w:pPr>
            <w:r/>
            <w:r>
              <w:t>判断水质变化和用途适宜性</w:t>
            </w:r>
          </w:p>
        </w:tc>
      </w:tr>
      <w:tr>
        <w:tc>
          <w:tcPr>
            <w:tcW w:type="dxa" w:w="2409"/>
            <w:vAlign w:val="center"/>
            <w:tcMar>
              <w:top w:w="60" w:type="dxa"/>
              <w:left w:w="100" w:type="dxa"/>
              <w:bottom w:w="60" w:type="dxa"/>
              <w:right w:w="100" w:type="dxa"/>
            </w:tcMar>
          </w:tcPr>
          <w:p>
            <w:pPr>
              <w:pStyle w:val="178"/>
              <w:jc w:val="center"/>
            </w:pPr>
            <w:r/>
            <w:r>
              <w:t>安全监测</w:t>
            </w:r>
          </w:p>
        </w:tc>
        <w:tc>
          <w:tcPr>
            <w:tcW w:type="dxa" w:w="2409"/>
            <w:vAlign w:val="center"/>
            <w:tcMar>
              <w:top w:w="60" w:type="dxa"/>
              <w:left w:w="100" w:type="dxa"/>
              <w:bottom w:w="60" w:type="dxa"/>
              <w:right w:w="100" w:type="dxa"/>
            </w:tcMar>
          </w:tcPr>
          <w:p>
            <w:pPr>
              <w:pStyle w:val="178"/>
              <w:jc w:val="left"/>
            </w:pPr>
            <w:r/>
            <w:r>
              <w:t>H2S、CO2、甲烷、氡等有害或异常气体</w:t>
            </w:r>
          </w:p>
        </w:tc>
        <w:tc>
          <w:tcPr>
            <w:tcW w:type="dxa" w:w="2409"/>
            <w:vAlign w:val="center"/>
            <w:tcMar>
              <w:top w:w="60" w:type="dxa"/>
              <w:left w:w="100" w:type="dxa"/>
              <w:bottom w:w="60" w:type="dxa"/>
              <w:right w:w="100" w:type="dxa"/>
            </w:tcMar>
          </w:tcPr>
          <w:p>
            <w:pPr>
              <w:pStyle w:val="178"/>
              <w:jc w:val="center"/>
            </w:pPr>
            <w:r/>
            <w:r>
              <w:t>存在风险时布设固定或便携监测</w:t>
            </w:r>
          </w:p>
        </w:tc>
        <w:tc>
          <w:tcPr>
            <w:tcW w:type="dxa" w:w="2409"/>
            <w:vAlign w:val="center"/>
            <w:tcMar>
              <w:top w:w="60" w:type="dxa"/>
              <w:left w:w="100" w:type="dxa"/>
              <w:bottom w:w="60" w:type="dxa"/>
              <w:right w:w="100" w:type="dxa"/>
            </w:tcMar>
          </w:tcPr>
          <w:p>
            <w:pPr>
              <w:pStyle w:val="178"/>
              <w:jc w:val="left"/>
            </w:pPr>
            <w:r/>
            <w:r>
              <w:t>防止中毒、窒息、爆炸和辐射风险</w:t>
            </w:r>
          </w:p>
        </w:tc>
      </w:tr>
      <w:tr>
        <w:tc>
          <w:tcPr>
            <w:tcW w:type="dxa" w:w="2409"/>
            <w:vAlign w:val="center"/>
            <w:tcMar>
              <w:top w:w="60" w:type="dxa"/>
              <w:left w:w="100" w:type="dxa"/>
              <w:bottom w:w="60" w:type="dxa"/>
              <w:right w:w="100" w:type="dxa"/>
            </w:tcMar>
          </w:tcPr>
          <w:p>
            <w:pPr>
              <w:pStyle w:val="178"/>
              <w:jc w:val="center"/>
            </w:pPr>
            <w:r/>
            <w:r>
              <w:t>环境监测</w:t>
            </w:r>
          </w:p>
        </w:tc>
        <w:tc>
          <w:tcPr>
            <w:tcW w:type="dxa" w:w="2409"/>
            <w:vAlign w:val="center"/>
            <w:tcMar>
              <w:top w:w="60" w:type="dxa"/>
              <w:left w:w="100" w:type="dxa"/>
              <w:bottom w:w="60" w:type="dxa"/>
              <w:right w:w="100" w:type="dxa"/>
            </w:tcMar>
          </w:tcPr>
          <w:p>
            <w:pPr>
              <w:pStyle w:val="178"/>
              <w:jc w:val="left"/>
            </w:pPr>
            <w:r/>
            <w:r>
              <w:t>浅层地下水、地表水、热储温度、地面沉降、天然温泉露头</w:t>
            </w:r>
          </w:p>
        </w:tc>
        <w:tc>
          <w:tcPr>
            <w:tcW w:type="dxa" w:w="2409"/>
            <w:vAlign w:val="center"/>
            <w:tcMar>
              <w:top w:w="60" w:type="dxa"/>
              <w:left w:w="100" w:type="dxa"/>
              <w:bottom w:w="60" w:type="dxa"/>
              <w:right w:w="100" w:type="dxa"/>
            </w:tcMar>
          </w:tcPr>
          <w:p>
            <w:pPr>
              <w:pStyle w:val="178"/>
              <w:jc w:val="center"/>
            </w:pPr>
            <w:r/>
            <w:r>
              <w:t>按环境影响评价和监测方案执行</w:t>
            </w:r>
          </w:p>
        </w:tc>
        <w:tc>
          <w:tcPr>
            <w:tcW w:type="dxa" w:w="2409"/>
            <w:vAlign w:val="center"/>
            <w:tcMar>
              <w:top w:w="60" w:type="dxa"/>
              <w:left w:w="100" w:type="dxa"/>
              <w:bottom w:w="60" w:type="dxa"/>
              <w:right w:w="100" w:type="dxa"/>
            </w:tcMar>
          </w:tcPr>
          <w:p>
            <w:pPr>
              <w:pStyle w:val="178"/>
              <w:jc w:val="center"/>
            </w:pPr>
            <w:r/>
            <w:r>
              <w:t>识别生态环境影响和地质环境变化</w:t>
            </w:r>
          </w:p>
        </w:tc>
      </w:tr>
      <w:tr>
        <w:tc>
          <w:tcPr>
            <w:tcW w:type="dxa" w:w="9636"/>
            <w:gridSpan w:val="4"/>
            <w:vAlign w:val="center"/>
            <w:tcMar>
              <w:top w:w="60" w:type="dxa"/>
              <w:left w:w="100" w:type="dxa"/>
              <w:bottom w:w="60" w:type="dxa"/>
              <w:right w:w="100" w:type="dxa"/>
            </w:tcMar>
          </w:tcPr>
          <w:p>
            <w:pPr>
              <w:pStyle w:val="179"/>
            </w:pPr>
            <w:r/>
            <w:r>
              <w:t>基础监测要求不替代主管部门、环境影响评价文件或专项标准规定的更严格要求。</w:t>
            </w:r>
          </w:p>
        </w:tc>
      </w:tr>
    </w:tbl>
    <w:p>
      <w:pPr>
        <w:pStyle w:val="105"/>
      </w:pPr>
      <w:r>
        <w:t>数据管理</w:t>
      </w:r>
    </w:p>
    <w:p>
      <w:pPr>
        <w:pStyle w:val="165"/>
        <w:numPr>
          <w:ilvl w:val="3"/>
          <w:numId w:val="2"/>
        </w:numPr>
      </w:pPr>
      <w:r>
        <w:t>应建立地热监测点信息数据库。每个监测点的档案应包括统一编号、地理位置与坐标、高程、监测点类型、井位示意图、井身结构或泉点说明、监测目的层、监测项目、监测设施、成井或建点日期、监测起始日期等信息。</w:t>
      </w:r>
    </w:p>
    <w:p>
      <w:pPr>
        <w:pStyle w:val="165"/>
        <w:numPr>
          <w:ilvl w:val="3"/>
          <w:numId w:val="2"/>
        </w:numPr>
      </w:pPr>
      <w:r>
        <w:t>监测数据应形成电子台账，至少包括井号或点号、位置、监测时间、监测项目、仪器编号、检测方法、检测结果、异常说明和处置记录。</w:t>
      </w:r>
    </w:p>
    <w:p>
      <w:pPr>
        <w:pStyle w:val="165"/>
        <w:numPr>
          <w:ilvl w:val="3"/>
          <w:numId w:val="2"/>
        </w:numPr>
      </w:pPr>
      <w:r>
        <w:t>地热监测信息管理平台应具备监测点基本信息管理、数据采集、数据存储、统计汇总、查询展示、超限预警和故障报警等功能。</w:t>
      </w:r>
    </w:p>
    <w:p>
      <w:pPr>
        <w:pStyle w:val="165"/>
        <w:numPr>
          <w:ilvl w:val="3"/>
          <w:numId w:val="2"/>
        </w:numPr>
      </w:pPr>
      <w:r>
        <w:t>运行单位应定期核查、整理、统计和分析开采量、回灌量、水位或压力、水温、水质和环境指标变化趋势。异常数据应标注并及时复核；不能确定原因的，应留存备查。</w:t>
      </w:r>
    </w:p>
    <w:p>
      <w:pPr>
        <w:pStyle w:val="165"/>
        <w:numPr>
          <w:ilvl w:val="3"/>
          <w:numId w:val="2"/>
        </w:numPr>
      </w:pPr>
      <w:r>
        <w:t>地热资源评价、监测和运行数据保存期限不宜少于项目运营期满后10年。</w:t>
      </w:r>
    </w:p>
    <w:p>
      <w:pPr>
        <w:pStyle w:val="104"/>
      </w:pPr>
      <w:r>
        <w:t>安全管理</w:t>
      </w:r>
    </w:p>
    <w:p>
      <w:pPr>
        <w:pStyle w:val="105"/>
      </w:pPr>
      <w:r>
        <w:t>组织管理</w:t>
      </w:r>
    </w:p>
    <w:p>
      <w:pPr>
        <w:pStyle w:val="165"/>
        <w:numPr>
          <w:ilvl w:val="3"/>
          <w:numId w:val="2"/>
        </w:numPr>
      </w:pPr>
      <w:r>
        <w:t>运营单位应建立安全生产责任制，明确地热井、泵站、换热站、回灌站、浴区、尾水处理设施和监测系统的管理责任。</w:t>
      </w:r>
    </w:p>
    <w:p>
      <w:pPr>
        <w:pStyle w:val="165"/>
        <w:numPr>
          <w:ilvl w:val="3"/>
          <w:numId w:val="2"/>
        </w:numPr>
      </w:pPr>
      <w:r>
        <w:t>从事钻井、试井、检维修、有限空间、高温高压、有害气体和化学处理作业的人员，应经过相应安全培训后上岗。</w:t>
      </w:r>
    </w:p>
    <w:p>
      <w:pPr>
        <w:pStyle w:val="165"/>
        <w:numPr>
          <w:ilvl w:val="3"/>
          <w:numId w:val="2"/>
        </w:numPr>
      </w:pPr>
      <w:r>
        <w:t>运营单位应建立设备巡检、维护保养、仪表校准、药剂管理、消毒管理和异常处置制度。</w:t>
      </w:r>
    </w:p>
    <w:p>
      <w:pPr>
        <w:pStyle w:val="105"/>
      </w:pPr>
      <w:r>
        <w:t>运行安全</w:t>
      </w:r>
    </w:p>
    <w:p>
      <w:pPr>
        <w:pStyle w:val="165"/>
        <w:numPr>
          <w:ilvl w:val="3"/>
          <w:numId w:val="2"/>
        </w:numPr>
      </w:pPr>
      <w:r>
        <w:t>高温、高压、自流或含有害气体的地热井，应设置隔离围挡、警示标识、泄压、防喷、防烫和紧急切断设施。</w:t>
      </w:r>
    </w:p>
    <w:p>
      <w:pPr>
        <w:pStyle w:val="165"/>
        <w:numPr>
          <w:ilvl w:val="3"/>
          <w:numId w:val="2"/>
        </w:numPr>
      </w:pPr>
      <w:r>
        <w:t>浴区、管沟、井房、换热站和地下空间应根据风险设置通风、气体检测、应急照明、防滑、防烫和防触电设施。</w:t>
      </w:r>
    </w:p>
    <w:p>
      <w:pPr>
        <w:pStyle w:val="165"/>
        <w:numPr>
          <w:ilvl w:val="3"/>
          <w:numId w:val="2"/>
        </w:numPr>
      </w:pPr>
      <w:r>
        <w:t>对儿童、老年人、孕妇、心脑血管疾病患者等特殊人群，应在浴区醒目位置进行风险提示。</w:t>
      </w:r>
    </w:p>
    <w:p>
      <w:pPr>
        <w:pStyle w:val="165"/>
        <w:numPr>
          <w:ilvl w:val="3"/>
          <w:numId w:val="2"/>
        </w:numPr>
      </w:pPr>
      <w:r>
        <w:t>消毒剂、阻垢剂、缓蚀剂、除氟除砷药剂等化学品应按其危险特性分类储存和使用，不应与食品、饮用水接触物品混放。</w:t>
      </w:r>
    </w:p>
    <w:p>
      <w:pPr>
        <w:pStyle w:val="105"/>
      </w:pPr>
      <w:r>
        <w:t>应急管理</w:t>
      </w:r>
    </w:p>
    <w:p>
      <w:pPr>
        <w:pStyle w:val="56"/>
      </w:pPr>
      <w:r>
        <w:t>运营单位应制定突发事件应急预案。预案至少覆盖下列情形：</w:t>
      </w:r>
    </w:p>
    <w:p>
      <w:pPr>
        <w:pStyle w:val="92"/>
        <w:numPr>
          <w:ilvl w:val="0"/>
          <w:numId w:val="9"/>
        </w:numPr>
      </w:pPr>
      <w:r>
        <w:t>井喷、管线破裂、阀门失效、泵站停运等工程事故；</w:t>
      </w:r>
    </w:p>
    <w:p>
      <w:pPr>
        <w:pStyle w:val="92"/>
        <w:numPr>
          <w:ilvl w:val="0"/>
          <w:numId w:val="9"/>
        </w:numPr>
      </w:pPr>
      <w:r>
        <w:t>烫伤、中毒、窒息、溺水、触电、滑倒等人身伤害；</w:t>
      </w:r>
    </w:p>
    <w:p>
      <w:pPr>
        <w:pStyle w:val="92"/>
        <w:numPr>
          <w:ilvl w:val="0"/>
          <w:numId w:val="9"/>
        </w:numPr>
      </w:pPr>
      <w:r>
        <w:t>尾水外排超标、浅层地下水污染、天然温泉露头衰减等环境事件；</w:t>
      </w:r>
    </w:p>
    <w:p>
      <w:pPr>
        <w:pStyle w:val="92"/>
        <w:numPr>
          <w:ilvl w:val="0"/>
          <w:numId w:val="9"/>
        </w:numPr>
      </w:pPr>
      <w:r>
        <w:t>地面沉降、地裂缝、滑坡、泥石流等地质灾害；</w:t>
      </w:r>
    </w:p>
    <w:p>
      <w:pPr>
        <w:pStyle w:val="92"/>
        <w:numPr>
          <w:ilvl w:val="0"/>
          <w:numId w:val="9"/>
        </w:numPr>
      </w:pPr>
      <w:r>
        <w:t>监测系统失效、数据异常或通信中断。</w:t>
      </w:r>
    </w:p>
    <w:p>
      <w:pPr>
        <w:pStyle w:val="56"/>
      </w:pPr>
      <w:r>
        <w:t>应急预案应定期演练。演练后应评估处置流程、人员分工、设备物资和信息报告的有效性，并形成改进记录。</w:t>
      </w:r>
    </w:p>
    <w:p>
      <w:pPr>
        <w:pStyle w:val="104"/>
      </w:pPr>
      <w:r>
        <w:t>档案与评价</w:t>
      </w:r>
    </w:p>
    <w:p>
      <w:pPr>
        <w:pStyle w:val="105"/>
      </w:pPr>
      <w:r>
        <w:t>档案管理</w:t>
      </w:r>
    </w:p>
    <w:p>
      <w:pPr>
        <w:pStyle w:val="56"/>
      </w:pPr>
      <w:r>
        <w:t>项目档案应包括下列内容：</w:t>
      </w:r>
    </w:p>
    <w:p>
      <w:pPr>
        <w:pStyle w:val="92"/>
        <w:numPr>
          <w:ilvl w:val="0"/>
          <w:numId w:val="9"/>
        </w:numPr>
      </w:pPr>
      <w:r>
        <w:t>资源勘查评价报告、开发利用方案、环境影响评价文件和相关许可文件；</w:t>
      </w:r>
    </w:p>
    <w:p>
      <w:pPr>
        <w:pStyle w:val="92"/>
        <w:numPr>
          <w:ilvl w:val="0"/>
          <w:numId w:val="9"/>
        </w:numPr>
      </w:pPr>
      <w:r>
        <w:t>回灌系统设计方案、回灌条件分析、回灌井布局、回灌方式、回灌井地质及井身结构设计资料；</w:t>
      </w:r>
    </w:p>
    <w:p>
      <w:pPr>
        <w:pStyle w:val="92"/>
        <w:numPr>
          <w:ilvl w:val="0"/>
          <w:numId w:val="9"/>
        </w:numPr>
      </w:pPr>
      <w:r>
        <w:t>井位、井身结构、成井、测井、抽水试验、回灌试验和竣工资料；</w:t>
      </w:r>
    </w:p>
    <w:p>
      <w:pPr>
        <w:pStyle w:val="92"/>
        <w:numPr>
          <w:ilvl w:val="0"/>
          <w:numId w:val="9"/>
        </w:numPr>
      </w:pPr>
      <w:r>
        <w:t>水质检测、同位素分析、腐蚀性和结垢性评价资料；</w:t>
      </w:r>
    </w:p>
    <w:p>
      <w:pPr>
        <w:pStyle w:val="92"/>
        <w:numPr>
          <w:ilvl w:val="0"/>
          <w:numId w:val="9"/>
        </w:numPr>
      </w:pPr>
      <w:r>
        <w:t>开采量、回灌量、水温、水位或压力、水质、地面沉降和环境监测记录；</w:t>
      </w:r>
    </w:p>
    <w:p>
      <w:pPr>
        <w:pStyle w:val="92"/>
        <w:numPr>
          <w:ilvl w:val="0"/>
          <w:numId w:val="9"/>
        </w:numPr>
      </w:pPr>
      <w:r>
        <w:t>设备巡检、维护、校准、故障、事故和应急演练记录；</w:t>
      </w:r>
    </w:p>
    <w:p>
      <w:pPr>
        <w:pStyle w:val="92"/>
        <w:numPr>
          <w:ilvl w:val="0"/>
          <w:numId w:val="9"/>
        </w:numPr>
      </w:pPr>
      <w:r>
        <w:t>年度回灌系统运维总结报告、年度地热资源开发与保护监测成果报告、资源利用和安全管理评价报告。</w:t>
      </w:r>
    </w:p>
    <w:p>
      <w:pPr>
        <w:pStyle w:val="105"/>
      </w:pPr>
      <w:r>
        <w:t>运行评价</w:t>
      </w:r>
    </w:p>
    <w:p>
      <w:pPr>
        <w:pStyle w:val="56"/>
      </w:pPr>
      <w:r>
        <w:t>运行单位应定期开展开发利用综合评价。评价可从资源禀赋、开发合理性、环境影响、安全管理和经济社会效益等维度开展，资料性指标体系见附录B。</w:t>
      </w:r>
    </w:p>
    <w:p>
      <w:pPr>
        <w:pStyle w:val="56"/>
      </w:pPr>
      <w:r>
        <w:t>评价结果应用于开采规模调整、回灌工程优化、尾水处理改进、监测方案修订和安全管理提升。</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76"/>
        <w:pageBreakBefore w:val="0"/>
      </w:pPr>
      <w:r>
        <w:br/>
      </w:r>
      <w:r>
        <w:rPr>
          <w:rFonts w:ascii="黑体" w:eastAsia="黑体"/>
        </w:rPr>
        <w:t>（规范性）</w:t>
      </w:r>
      <w:r>
        <w:br/>
      </w:r>
      <w:r>
        <w:rPr>
          <w:rFonts w:ascii="黑体" w:hAnsi="Times New Roman" w:eastAsia="黑体" w:cs="Times New Roman"/>
          <w:kern w:val="21"/>
          <w:sz w:val="21"/>
          <w:lang w:val="en-US" w:eastAsia="zh-CN" w:bidi="ar-SA"/>
        </w:rPr>
        <w:t>洗浴与康养利用水质控制项目</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基本要求</w:t>
      </w:r>
    </w:p>
    <w:p>
      <w:pPr>
        <w:pStyle w:val="56"/>
      </w:pPr>
      <w:r>
        <w:t>洗浴与康养利用水质控制应先开展初始评价，再根据客流量、补水方式、循环方式、消毒方式和水质稳定性确定运行期监测方案。初始评价应覆盖水温、感官性状、一般化学指标、特征组分、金属和类金属指标、微生物指标以及可能影响人体接触安全的异常指标。</w:t>
      </w:r>
    </w:p>
    <w:p>
      <w:pPr>
        <w:pStyle w:val="56"/>
      </w:pPr>
      <w:r>
        <w:t>洗浴与康养用水不作为生活饮用水使用。对外宣称可饮用、用于食品加工直接接触或进入产品时，应符合</w:t>
      </w:r>
      <w:r>
        <w:fldChar w:fldCharType="begin"/>
      </w:r>
      <w:r>
        <w:instrText xml:space="preserve"> REF Ref_GB5749 \h </w:instrText>
      </w:r>
      <w:r>
        <w:fldChar w:fldCharType="separate"/>
      </w:r>
      <w:r>
        <w:t>?</w:t>
      </w:r>
      <w:r>
        <w:fldChar w:fldCharType="end"/>
      </w:r>
      <w:r>
        <w:t>的规定。</w:t>
      </w:r>
    </w:p>
    <w:p>
      <w:pPr>
        <w:pStyle w:val="56"/>
      </w:pPr>
      <w:r>
        <w:t>水质控制项目见</w:t>
      </w:r>
      <w:r>
        <w:fldChar w:fldCharType="begin"/>
      </w:r>
      <w:r>
        <w:instrText xml:space="preserve"> REF _Ref382855586 \h \r </w:instrText>
      </w:r>
      <w:r>
        <w:fldChar w:fldCharType="separate"/>
      </w:r>
      <w:r>
        <w:t>表?</w:t>
      </w:r>
      <w:r>
        <w:fldChar w:fldCharType="end"/>
      </w:r>
      <w:r>
        <w:t>。</w:t>
      </w:r>
    </w:p>
    <w:p>
      <w:pPr>
        <w:pStyle w:val="77"/>
        <w:numPr>
          <w:ilvl w:val="1"/>
          <w:numId w:val="5"/>
        </w:numPr>
      </w:pPr>
      <w:r>
        <w:t xml:space="preserve">　</w:t>
      </w:r>
      <w:bookmarkStart w:id="1019" w:name="_Ref318900524"/>
      <w:bookmarkStart w:id="1020" w:name="_Ref382855586"/>
      <w:bookmarkStart w:id="1021" w:name="_Ref918268049"/>
      <w:bookmarkStart w:id="1022" w:name="_Ref234830138"/>
      <w:r>
        <w:t>洗浴与康养利用水质控制项目</w:t>
      </w:r>
      <w:bookmarkEnd w:id="1019"/>
      <w:bookmarkEnd w:id="1020"/>
      <w:bookmarkEnd w:id="1021"/>
      <w:bookmarkEnd w:id="1022"/>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类别</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控制项目</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控制目的</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方法或判定依据</w:t>
            </w:r>
          </w:p>
        </w:tc>
      </w:tr>
      <w:tr>
        <w:tc>
          <w:tcPr>
            <w:tcW w:type="dxa" w:w="2409"/>
            <w:vAlign w:val="center"/>
            <w:tcMar>
              <w:top w:w="60" w:type="dxa"/>
              <w:left w:w="100" w:type="dxa"/>
              <w:bottom w:w="60" w:type="dxa"/>
              <w:right w:w="100" w:type="dxa"/>
            </w:tcMar>
          </w:tcPr>
          <w:p>
            <w:pPr>
              <w:pStyle w:val="178"/>
              <w:jc w:val="center"/>
            </w:pPr>
            <w:r/>
            <w:r>
              <w:t>现场指标</w:t>
            </w:r>
          </w:p>
        </w:tc>
        <w:tc>
          <w:tcPr>
            <w:tcW w:type="dxa" w:w="2409"/>
            <w:vAlign w:val="center"/>
            <w:tcMar>
              <w:top w:w="60" w:type="dxa"/>
              <w:left w:w="100" w:type="dxa"/>
              <w:bottom w:w="60" w:type="dxa"/>
              <w:right w:w="100" w:type="dxa"/>
            </w:tcMar>
          </w:tcPr>
          <w:p>
            <w:pPr>
              <w:pStyle w:val="178"/>
              <w:jc w:val="left"/>
            </w:pPr>
            <w:r/>
            <w:r>
              <w:t>水温、色、嗅、浑浊度、pH</w:t>
            </w:r>
          </w:p>
        </w:tc>
        <w:tc>
          <w:tcPr>
            <w:tcW w:type="dxa" w:w="2409"/>
            <w:vAlign w:val="center"/>
            <w:tcMar>
              <w:top w:w="60" w:type="dxa"/>
              <w:left w:w="100" w:type="dxa"/>
              <w:bottom w:w="60" w:type="dxa"/>
              <w:right w:w="100" w:type="dxa"/>
            </w:tcMar>
          </w:tcPr>
          <w:p>
            <w:pPr>
              <w:pStyle w:val="178"/>
              <w:jc w:val="center"/>
            </w:pPr>
            <w:r/>
            <w:r>
              <w:t>判断人体接触安全和水质稳定性</w:t>
            </w:r>
          </w:p>
        </w:tc>
        <w:tc>
          <w:tcPr>
            <w:tcW w:type="dxa" w:w="2409"/>
            <w:vAlign w:val="center"/>
            <w:tcMar>
              <w:top w:w="60" w:type="dxa"/>
              <w:left w:w="100" w:type="dxa"/>
              <w:bottom w:w="60" w:type="dxa"/>
              <w:right w:w="100" w:type="dxa"/>
            </w:tcMar>
          </w:tcPr>
          <w:p>
            <w:pPr>
              <w:pStyle w:val="178"/>
              <w:jc w:val="left"/>
            </w:pPr>
            <w:r/>
            <w:r>
              <w:t>现场监测、运行方案</w:t>
            </w:r>
          </w:p>
        </w:tc>
      </w:tr>
      <w:tr>
        <w:tc>
          <w:tcPr>
            <w:tcW w:type="dxa" w:w="2409"/>
            <w:vAlign w:val="center"/>
            <w:tcMar>
              <w:top w:w="60" w:type="dxa"/>
              <w:left w:w="100" w:type="dxa"/>
              <w:bottom w:w="60" w:type="dxa"/>
              <w:right w:w="100" w:type="dxa"/>
            </w:tcMar>
          </w:tcPr>
          <w:p>
            <w:pPr>
              <w:pStyle w:val="178"/>
              <w:jc w:val="center"/>
            </w:pPr>
            <w:r/>
            <w:r>
              <w:t>一般化学指标</w:t>
            </w:r>
          </w:p>
        </w:tc>
        <w:tc>
          <w:tcPr>
            <w:tcW w:type="dxa" w:w="2409"/>
            <w:vAlign w:val="center"/>
            <w:tcMar>
              <w:top w:w="60" w:type="dxa"/>
              <w:left w:w="100" w:type="dxa"/>
              <w:bottom w:w="60" w:type="dxa"/>
              <w:right w:w="100" w:type="dxa"/>
            </w:tcMar>
          </w:tcPr>
          <w:p>
            <w:pPr>
              <w:pStyle w:val="178"/>
              <w:jc w:val="left"/>
            </w:pPr>
            <w:r/>
            <w:r>
              <w:t>溶解性总固体、总硬度、耗氧量、主要阴阳离子</w:t>
            </w:r>
          </w:p>
        </w:tc>
        <w:tc>
          <w:tcPr>
            <w:tcW w:type="dxa" w:w="2409"/>
            <w:vAlign w:val="center"/>
            <w:tcMar>
              <w:top w:w="60" w:type="dxa"/>
              <w:left w:w="100" w:type="dxa"/>
              <w:bottom w:w="60" w:type="dxa"/>
              <w:right w:w="100" w:type="dxa"/>
            </w:tcMar>
          </w:tcPr>
          <w:p>
            <w:pPr>
              <w:pStyle w:val="178"/>
              <w:jc w:val="left"/>
            </w:pPr>
            <w:r/>
            <w:r>
              <w:t>判断矿化度、腐蚀性、结垢性和用途适宜性</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金属和类金属指标</w:t>
            </w:r>
          </w:p>
        </w:tc>
        <w:tc>
          <w:tcPr>
            <w:tcW w:type="dxa" w:w="2409"/>
            <w:vAlign w:val="center"/>
            <w:tcMar>
              <w:top w:w="60" w:type="dxa"/>
              <w:left w:w="100" w:type="dxa"/>
              <w:bottom w:w="60" w:type="dxa"/>
              <w:right w:w="100" w:type="dxa"/>
            </w:tcMar>
          </w:tcPr>
          <w:p>
            <w:pPr>
              <w:pStyle w:val="178"/>
              <w:jc w:val="left"/>
            </w:pPr>
            <w:r/>
            <w:r>
              <w:t>砷、铅、镉、汞、铬、硒、铁、锰等</w:t>
            </w:r>
          </w:p>
        </w:tc>
        <w:tc>
          <w:tcPr>
            <w:tcW w:type="dxa" w:w="2409"/>
            <w:vAlign w:val="center"/>
            <w:tcMar>
              <w:top w:w="60" w:type="dxa"/>
              <w:left w:w="100" w:type="dxa"/>
              <w:bottom w:w="60" w:type="dxa"/>
              <w:right w:w="100" w:type="dxa"/>
            </w:tcMar>
          </w:tcPr>
          <w:p>
            <w:pPr>
              <w:pStyle w:val="178"/>
              <w:jc w:val="center"/>
            </w:pPr>
            <w:r/>
            <w:r>
              <w:t>识别健康风险和预处理需求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Ref_GB_T5750_6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特征组分</w:t>
            </w:r>
          </w:p>
        </w:tc>
        <w:tc>
          <w:tcPr>
            <w:tcW w:type="dxa" w:w="2409"/>
            <w:vAlign w:val="center"/>
            <w:tcMar>
              <w:top w:w="60" w:type="dxa"/>
              <w:left w:w="100" w:type="dxa"/>
              <w:bottom w:w="60" w:type="dxa"/>
              <w:right w:w="100" w:type="dxa"/>
            </w:tcMar>
          </w:tcPr>
          <w:p>
            <w:pPr>
              <w:pStyle w:val="178"/>
              <w:jc w:val="left"/>
            </w:pPr>
            <w:r/>
            <w:r>
              <w:t>氟、偏硅酸、锂、锶、碘、溴、硫化物、氡等</w:t>
            </w:r>
          </w:p>
        </w:tc>
        <w:tc>
          <w:tcPr>
            <w:tcW w:type="dxa" w:w="2409"/>
            <w:vAlign w:val="center"/>
            <w:tcMar>
              <w:top w:w="60" w:type="dxa"/>
              <w:left w:w="100" w:type="dxa"/>
              <w:bottom w:w="60" w:type="dxa"/>
              <w:right w:w="100" w:type="dxa"/>
            </w:tcMar>
          </w:tcPr>
          <w:p>
            <w:pPr>
              <w:pStyle w:val="178"/>
              <w:jc w:val="left"/>
            </w:pPr>
            <w:r/>
            <w:r>
              <w:t>判断特殊组分、命名和风险提示需求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r>
              <w:t>及检测报告</w:t>
            </w:r>
          </w:p>
        </w:tc>
      </w:tr>
      <w:tr>
        <w:tc>
          <w:tcPr>
            <w:tcW w:type="dxa" w:w="2409"/>
            <w:vAlign w:val="center"/>
            <w:tcMar>
              <w:top w:w="60" w:type="dxa"/>
              <w:left w:w="100" w:type="dxa"/>
              <w:bottom w:w="60" w:type="dxa"/>
              <w:right w:w="100" w:type="dxa"/>
            </w:tcMar>
          </w:tcPr>
          <w:p>
            <w:pPr>
              <w:pStyle w:val="178"/>
              <w:jc w:val="center"/>
            </w:pPr>
            <w:r/>
            <w:r>
              <w:t>微生物指标</w:t>
            </w:r>
          </w:p>
        </w:tc>
        <w:tc>
          <w:tcPr>
            <w:tcW w:type="dxa" w:w="2409"/>
            <w:vAlign w:val="center"/>
            <w:tcMar>
              <w:top w:w="60" w:type="dxa"/>
              <w:left w:w="100" w:type="dxa"/>
              <w:bottom w:w="60" w:type="dxa"/>
              <w:right w:w="100" w:type="dxa"/>
            </w:tcMar>
          </w:tcPr>
          <w:p>
            <w:pPr>
              <w:pStyle w:val="178"/>
              <w:jc w:val="left"/>
            </w:pPr>
            <w:r/>
            <w:r>
              <w:t>菌落总数、总大肠菌群、耐热大肠菌群或大肠埃希氏菌等</w:t>
            </w:r>
          </w:p>
        </w:tc>
        <w:tc>
          <w:tcPr>
            <w:tcW w:type="dxa" w:w="2409"/>
            <w:vAlign w:val="center"/>
            <w:tcMar>
              <w:top w:w="60" w:type="dxa"/>
              <w:left w:w="100" w:type="dxa"/>
              <w:bottom w:w="60" w:type="dxa"/>
              <w:right w:w="100" w:type="dxa"/>
            </w:tcMar>
          </w:tcPr>
          <w:p>
            <w:pPr>
              <w:pStyle w:val="178"/>
              <w:jc w:val="center"/>
            </w:pPr>
            <w:r/>
            <w:r>
              <w:t>控制公共卫生风险</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Ref_GB_T5750_12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运行控制指标</w:t>
            </w:r>
          </w:p>
        </w:tc>
        <w:tc>
          <w:tcPr>
            <w:tcW w:type="dxa" w:w="2409"/>
            <w:vAlign w:val="center"/>
            <w:tcMar>
              <w:top w:w="60" w:type="dxa"/>
              <w:left w:w="100" w:type="dxa"/>
              <w:bottom w:w="60" w:type="dxa"/>
              <w:right w:w="100" w:type="dxa"/>
            </w:tcMar>
          </w:tcPr>
          <w:p>
            <w:pPr>
              <w:pStyle w:val="178"/>
              <w:jc w:val="left"/>
            </w:pPr>
            <w:r/>
            <w:r>
              <w:t>消毒剂余量、循环水补水量、换水周期、池水温度</w:t>
            </w:r>
          </w:p>
        </w:tc>
        <w:tc>
          <w:tcPr>
            <w:tcW w:type="dxa" w:w="2409"/>
            <w:vAlign w:val="center"/>
            <w:tcMar>
              <w:top w:w="60" w:type="dxa"/>
              <w:left w:w="100" w:type="dxa"/>
              <w:bottom w:w="60" w:type="dxa"/>
              <w:right w:w="100" w:type="dxa"/>
            </w:tcMar>
          </w:tcPr>
          <w:p>
            <w:pPr>
              <w:pStyle w:val="178"/>
              <w:jc w:val="center"/>
            </w:pPr>
            <w:r/>
            <w:r>
              <w:t>控制运营过程中的水质波动</w:t>
            </w:r>
          </w:p>
        </w:tc>
        <w:tc>
          <w:tcPr>
            <w:tcW w:type="dxa" w:w="2409"/>
            <w:vAlign w:val="center"/>
            <w:tcMar>
              <w:top w:w="60" w:type="dxa"/>
              <w:left w:w="100" w:type="dxa"/>
              <w:bottom w:w="60" w:type="dxa"/>
              <w:right w:w="100" w:type="dxa"/>
            </w:tcMar>
          </w:tcPr>
          <w:p>
            <w:pPr>
              <w:pStyle w:val="178"/>
              <w:jc w:val="center"/>
            </w:pPr>
            <w:r/>
            <w:r>
              <w:t>运营卫生管理制度</w:t>
            </w:r>
          </w:p>
        </w:tc>
      </w:tr>
    </w:tbl>
    <w:p>
      <w:pPr>
        <w:pStyle w:val="78"/>
      </w:pPr>
      <w:r>
        <w:t>评价和处置</w:t>
      </w:r>
    </w:p>
    <w:p>
      <w:pPr>
        <w:pStyle w:val="56"/>
      </w:pPr>
      <w:r>
        <w:t>初始评价或运行期监测发现高氟、高砷、高矿化度、硫化氢、放射性指标异常或微生物异常时，应进行复测和风险评估；必要时应采取预处理、稀释、间接利用、限制用途、暂停开放或停止宣传特定功效等措施。</w:t>
      </w:r>
    </w:p>
    <w:p>
      <w:pPr>
        <w:pStyle w:val="56"/>
      </w:pPr>
      <w:r>
        <w:t>对天然温泉和浅埋热储，应根据周边污染源识别结果增加酚、氰等污染风险指标；对高温热田，应根据地球化学背景和用途增加汞、砷、锑、铋等指标。用于回灌关联性分析时，还宜增加悬浮物、颗粒物、腐蚀性和结垢性相关指标。</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rPr>
        <w:t>（资料性）</w:t>
      </w:r>
      <w:r>
        <w:br/>
      </w:r>
      <w:r>
        <w:rPr>
          <w:rFonts w:ascii="黑体" w:hAnsi="Times New Roman" w:eastAsia="黑体" w:cs="Times New Roman"/>
          <w:kern w:val="21"/>
          <w:sz w:val="21"/>
          <w:lang w:val="en-US" w:eastAsia="zh-CN" w:bidi="ar-SA"/>
        </w:rPr>
        <w:t>开发利用综合评价指标体系</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指标体系说明</w:t>
      </w:r>
    </w:p>
    <w:p>
      <w:pPr>
        <w:pStyle w:val="56"/>
      </w:pPr>
      <w:r>
        <w:t>开发利用综合评价用于项目可行性研究、年度运行复核和管理改进。评价时宜结合资源类型、开发规模、用途、区域环境敏感性和管理要求确定权重，不宜直接套用固定阈值替代专项评价。</w:t>
      </w:r>
    </w:p>
    <w:p>
      <w:pPr>
        <w:pStyle w:val="56"/>
      </w:pPr>
      <w:r>
        <w:t>综合评价指标体系见</w:t>
      </w:r>
      <w:r>
        <w:fldChar w:fldCharType="begin"/>
      </w:r>
      <w:r>
        <w:instrText xml:space="preserve"> REF _Ref452240846 \h \r </w:instrText>
      </w:r>
      <w:r>
        <w:fldChar w:fldCharType="separate"/>
      </w:r>
      <w:r>
        <w:t>表?</w:t>
      </w:r>
      <w:r>
        <w:fldChar w:fldCharType="end"/>
      </w:r>
      <w:r>
        <w:t>。</w:t>
      </w:r>
    </w:p>
    <w:p>
      <w:pPr>
        <w:pStyle w:val="77"/>
        <w:numPr>
          <w:ilvl w:val="1"/>
          <w:numId w:val="5"/>
        </w:numPr>
      </w:pPr>
      <w:r>
        <w:t xml:space="preserve">　</w:t>
      </w:r>
      <w:bookmarkStart w:id="1023" w:name="_Ref633159316"/>
      <w:bookmarkStart w:id="1024" w:name="_Ref452240846"/>
      <w:bookmarkStart w:id="1025" w:name="_Ref109634033"/>
      <w:bookmarkStart w:id="1026" w:name="_Ref841293401"/>
      <w:r>
        <w:t>开发利用综合评价指标体系</w:t>
      </w:r>
      <w:bookmarkEnd w:id="1023"/>
      <w:bookmarkEnd w:id="1024"/>
      <w:bookmarkEnd w:id="1025"/>
      <w:bookmarkEnd w:id="1026"/>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评价维度</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指标</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数据来源</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评价关注点</w:t>
            </w:r>
          </w:p>
        </w:tc>
      </w:tr>
      <w:tr>
        <w:tc>
          <w:tcPr>
            <w:tcW w:type="dxa" w:w="2409"/>
            <w:vAlign w:val="center"/>
            <w:tcMar>
              <w:top w:w="60" w:type="dxa"/>
              <w:left w:w="100" w:type="dxa"/>
              <w:bottom w:w="60" w:type="dxa"/>
              <w:right w:w="100" w:type="dxa"/>
            </w:tcMar>
          </w:tcPr>
          <w:p>
            <w:pPr>
              <w:pStyle w:val="178"/>
              <w:jc w:val="center"/>
            </w:pPr>
            <w:r/>
            <w:r>
              <w:t>资源禀赋</w:t>
            </w:r>
          </w:p>
        </w:tc>
        <w:tc>
          <w:tcPr>
            <w:tcW w:type="dxa" w:w="2409"/>
            <w:vAlign w:val="center"/>
            <w:tcMar>
              <w:top w:w="60" w:type="dxa"/>
              <w:left w:w="100" w:type="dxa"/>
              <w:bottom w:w="60" w:type="dxa"/>
              <w:right w:w="100" w:type="dxa"/>
            </w:tcMar>
          </w:tcPr>
          <w:p>
            <w:pPr>
              <w:pStyle w:val="178"/>
              <w:jc w:val="left"/>
            </w:pPr>
            <w:r/>
            <w:r>
              <w:t>热储温度、单井产能、可开采量、补给条件</w:t>
            </w:r>
          </w:p>
        </w:tc>
        <w:tc>
          <w:tcPr>
            <w:tcW w:type="dxa" w:w="2409"/>
            <w:vAlign w:val="center"/>
            <w:tcMar>
              <w:top w:w="60" w:type="dxa"/>
              <w:left w:w="100" w:type="dxa"/>
              <w:bottom w:w="60" w:type="dxa"/>
              <w:right w:w="100" w:type="dxa"/>
            </w:tcMar>
          </w:tcPr>
          <w:p>
            <w:pPr>
              <w:pStyle w:val="178"/>
              <w:jc w:val="left"/>
            </w:pPr>
            <w:r/>
            <w:r>
              <w:t>勘查评价报告、试井资料、动态监测</w:t>
            </w:r>
          </w:p>
        </w:tc>
        <w:tc>
          <w:tcPr>
            <w:tcW w:type="dxa" w:w="2409"/>
            <w:vAlign w:val="center"/>
            <w:tcMar>
              <w:top w:w="60" w:type="dxa"/>
              <w:left w:w="100" w:type="dxa"/>
              <w:bottom w:w="60" w:type="dxa"/>
              <w:right w:w="100" w:type="dxa"/>
            </w:tcMar>
          </w:tcPr>
          <w:p>
            <w:pPr>
              <w:pStyle w:val="178"/>
              <w:jc w:val="center"/>
            </w:pPr>
            <w:r/>
            <w:r>
              <w:t>是否满足拟定用途和可持续开发规模</w:t>
            </w:r>
          </w:p>
        </w:tc>
      </w:tr>
      <w:tr>
        <w:tc>
          <w:tcPr>
            <w:tcW w:type="dxa" w:w="2409"/>
            <w:vAlign w:val="center"/>
            <w:tcMar>
              <w:top w:w="60" w:type="dxa"/>
              <w:left w:w="100" w:type="dxa"/>
              <w:bottom w:w="60" w:type="dxa"/>
              <w:right w:w="100" w:type="dxa"/>
            </w:tcMar>
          </w:tcPr>
          <w:p>
            <w:pPr>
              <w:pStyle w:val="178"/>
              <w:jc w:val="center"/>
            </w:pPr>
            <w:r/>
            <w:r>
              <w:t>水质适宜性</w:t>
            </w:r>
          </w:p>
        </w:tc>
        <w:tc>
          <w:tcPr>
            <w:tcW w:type="dxa" w:w="2409"/>
            <w:vAlign w:val="center"/>
            <w:tcMar>
              <w:top w:w="60" w:type="dxa"/>
              <w:left w:w="100" w:type="dxa"/>
              <w:bottom w:w="60" w:type="dxa"/>
              <w:right w:w="100" w:type="dxa"/>
            </w:tcMar>
          </w:tcPr>
          <w:p>
            <w:pPr>
              <w:pStyle w:val="178"/>
              <w:jc w:val="left"/>
            </w:pPr>
            <w:r/>
            <w:r>
              <w:t>水化学类型、矿化度、特征组分、腐蚀性、结垢性</w:t>
            </w:r>
          </w:p>
        </w:tc>
        <w:tc>
          <w:tcPr>
            <w:tcW w:type="dxa" w:w="2409"/>
            <w:vAlign w:val="center"/>
            <w:tcMar>
              <w:top w:w="60" w:type="dxa"/>
              <w:left w:w="100" w:type="dxa"/>
              <w:bottom w:w="60" w:type="dxa"/>
              <w:right w:w="100" w:type="dxa"/>
            </w:tcMar>
          </w:tcPr>
          <w:p>
            <w:pPr>
              <w:pStyle w:val="178"/>
              <w:jc w:val="left"/>
            </w:pPr>
            <w:r/>
            <w:r>
              <w:t>水质检测报告、地球化学分析</w:t>
            </w:r>
          </w:p>
        </w:tc>
        <w:tc>
          <w:tcPr>
            <w:tcW w:type="dxa" w:w="2409"/>
            <w:vAlign w:val="center"/>
            <w:tcMar>
              <w:top w:w="60" w:type="dxa"/>
              <w:left w:w="100" w:type="dxa"/>
              <w:bottom w:w="60" w:type="dxa"/>
              <w:right w:w="100" w:type="dxa"/>
            </w:tcMar>
          </w:tcPr>
          <w:p>
            <w:pPr>
              <w:pStyle w:val="178"/>
              <w:jc w:val="left"/>
            </w:pPr>
            <w:r/>
            <w:r>
              <w:t>是否需要预处理、间接利用或用途限制</w:t>
            </w:r>
          </w:p>
        </w:tc>
      </w:tr>
      <w:tr>
        <w:tc>
          <w:tcPr>
            <w:tcW w:type="dxa" w:w="2409"/>
            <w:vAlign w:val="center"/>
            <w:tcMar>
              <w:top w:w="60" w:type="dxa"/>
              <w:left w:w="100" w:type="dxa"/>
              <w:bottom w:w="60" w:type="dxa"/>
              <w:right w:w="100" w:type="dxa"/>
            </w:tcMar>
          </w:tcPr>
          <w:p>
            <w:pPr>
              <w:pStyle w:val="178"/>
              <w:jc w:val="center"/>
            </w:pPr>
            <w:r/>
            <w:r>
              <w:t>开发合理性</w:t>
            </w:r>
          </w:p>
        </w:tc>
        <w:tc>
          <w:tcPr>
            <w:tcW w:type="dxa" w:w="2409"/>
            <w:vAlign w:val="center"/>
            <w:tcMar>
              <w:top w:w="60" w:type="dxa"/>
              <w:left w:w="100" w:type="dxa"/>
              <w:bottom w:w="60" w:type="dxa"/>
              <w:right w:w="100" w:type="dxa"/>
            </w:tcMar>
          </w:tcPr>
          <w:p>
            <w:pPr>
              <w:pStyle w:val="178"/>
              <w:jc w:val="left"/>
            </w:pPr>
            <w:r/>
            <w:r>
              <w:t>年度开采量、回灌量、采灌平衡、梯级利用</w:t>
            </w:r>
          </w:p>
        </w:tc>
        <w:tc>
          <w:tcPr>
            <w:tcW w:type="dxa" w:w="2409"/>
            <w:vAlign w:val="center"/>
            <w:tcMar>
              <w:top w:w="60" w:type="dxa"/>
              <w:left w:w="100" w:type="dxa"/>
              <w:bottom w:w="60" w:type="dxa"/>
              <w:right w:w="100" w:type="dxa"/>
            </w:tcMar>
          </w:tcPr>
          <w:p>
            <w:pPr>
              <w:pStyle w:val="178"/>
              <w:jc w:val="left"/>
            </w:pPr>
            <w:r/>
            <w:r>
              <w:t>运行台账、回灌试验、能量平衡分析</w:t>
            </w:r>
          </w:p>
        </w:tc>
        <w:tc>
          <w:tcPr>
            <w:tcW w:type="dxa" w:w="2409"/>
            <w:vAlign w:val="center"/>
            <w:tcMar>
              <w:top w:w="60" w:type="dxa"/>
              <w:left w:w="100" w:type="dxa"/>
              <w:bottom w:w="60" w:type="dxa"/>
              <w:right w:w="100" w:type="dxa"/>
            </w:tcMar>
          </w:tcPr>
          <w:p>
            <w:pPr>
              <w:pStyle w:val="178"/>
              <w:jc w:val="left"/>
            </w:pPr>
            <w:r/>
            <w:r>
              <w:t>是否超过允许开采量，是否存在资源衰减趋势</w:t>
            </w:r>
          </w:p>
        </w:tc>
      </w:tr>
      <w:tr>
        <w:tc>
          <w:tcPr>
            <w:tcW w:type="dxa" w:w="2409"/>
            <w:vAlign w:val="center"/>
            <w:tcMar>
              <w:top w:w="60" w:type="dxa"/>
              <w:left w:w="100" w:type="dxa"/>
              <w:bottom w:w="60" w:type="dxa"/>
              <w:right w:w="100" w:type="dxa"/>
            </w:tcMar>
          </w:tcPr>
          <w:p>
            <w:pPr>
              <w:pStyle w:val="178"/>
              <w:jc w:val="center"/>
            </w:pPr>
            <w:r/>
            <w:r>
              <w:t>环境影响</w:t>
            </w:r>
          </w:p>
        </w:tc>
        <w:tc>
          <w:tcPr>
            <w:tcW w:type="dxa" w:w="2409"/>
            <w:vAlign w:val="center"/>
            <w:tcMar>
              <w:top w:w="60" w:type="dxa"/>
              <w:left w:w="100" w:type="dxa"/>
              <w:bottom w:w="60" w:type="dxa"/>
              <w:right w:w="100" w:type="dxa"/>
            </w:tcMar>
          </w:tcPr>
          <w:p>
            <w:pPr>
              <w:pStyle w:val="178"/>
              <w:jc w:val="left"/>
            </w:pPr>
            <w:r/>
            <w:r>
              <w:t>浅层地下水、地表水、地面沉降、天然温泉露头</w:t>
            </w:r>
          </w:p>
        </w:tc>
        <w:tc>
          <w:tcPr>
            <w:tcW w:type="dxa" w:w="2409"/>
            <w:vAlign w:val="center"/>
            <w:tcMar>
              <w:top w:w="60" w:type="dxa"/>
              <w:left w:w="100" w:type="dxa"/>
              <w:bottom w:w="60" w:type="dxa"/>
              <w:right w:w="100" w:type="dxa"/>
            </w:tcMar>
          </w:tcPr>
          <w:p>
            <w:pPr>
              <w:pStyle w:val="178"/>
              <w:jc w:val="left"/>
            </w:pPr>
            <w:r/>
            <w:r>
              <w:t>环境监测、InSAR或水准测量、现场调查</w:t>
            </w:r>
          </w:p>
        </w:tc>
        <w:tc>
          <w:tcPr>
            <w:tcW w:type="dxa" w:w="2409"/>
            <w:vAlign w:val="center"/>
            <w:tcMar>
              <w:top w:w="60" w:type="dxa"/>
              <w:left w:w="100" w:type="dxa"/>
              <w:bottom w:w="60" w:type="dxa"/>
              <w:right w:w="100" w:type="dxa"/>
            </w:tcMar>
          </w:tcPr>
          <w:p>
            <w:pPr>
              <w:pStyle w:val="178"/>
              <w:jc w:val="left"/>
            </w:pPr>
            <w:r/>
            <w:r>
              <w:t>是否出现污染、沉降、泉流衰减或生态影响</w:t>
            </w:r>
          </w:p>
        </w:tc>
      </w:tr>
      <w:tr>
        <w:tc>
          <w:tcPr>
            <w:tcW w:type="dxa" w:w="2409"/>
            <w:vAlign w:val="center"/>
            <w:tcMar>
              <w:top w:w="60" w:type="dxa"/>
              <w:left w:w="100" w:type="dxa"/>
              <w:bottom w:w="60" w:type="dxa"/>
              <w:right w:w="100" w:type="dxa"/>
            </w:tcMar>
          </w:tcPr>
          <w:p>
            <w:pPr>
              <w:pStyle w:val="178"/>
              <w:jc w:val="center"/>
            </w:pPr>
            <w:r/>
            <w:r>
              <w:t>安全管理</w:t>
            </w:r>
          </w:p>
        </w:tc>
        <w:tc>
          <w:tcPr>
            <w:tcW w:type="dxa" w:w="2409"/>
            <w:vAlign w:val="center"/>
            <w:tcMar>
              <w:top w:w="60" w:type="dxa"/>
              <w:left w:w="100" w:type="dxa"/>
              <w:bottom w:w="60" w:type="dxa"/>
              <w:right w:w="100" w:type="dxa"/>
            </w:tcMar>
          </w:tcPr>
          <w:p>
            <w:pPr>
              <w:pStyle w:val="178"/>
              <w:jc w:val="left"/>
            </w:pPr>
            <w:r/>
            <w:r>
              <w:t>高温高压、有害气体、浴区安全、应急处置</w:t>
            </w:r>
          </w:p>
        </w:tc>
        <w:tc>
          <w:tcPr>
            <w:tcW w:type="dxa" w:w="2409"/>
            <w:vAlign w:val="center"/>
            <w:tcMar>
              <w:top w:w="60" w:type="dxa"/>
              <w:left w:w="100" w:type="dxa"/>
              <w:bottom w:w="60" w:type="dxa"/>
              <w:right w:w="100" w:type="dxa"/>
            </w:tcMar>
          </w:tcPr>
          <w:p>
            <w:pPr>
              <w:pStyle w:val="178"/>
              <w:jc w:val="left"/>
            </w:pPr>
            <w:r/>
            <w:r>
              <w:t>安全检查、事故记录、演练记录</w:t>
            </w:r>
          </w:p>
        </w:tc>
        <w:tc>
          <w:tcPr>
            <w:tcW w:type="dxa" w:w="2409"/>
            <w:vAlign w:val="center"/>
            <w:tcMar>
              <w:top w:w="60" w:type="dxa"/>
              <w:left w:w="100" w:type="dxa"/>
              <w:bottom w:w="60" w:type="dxa"/>
              <w:right w:w="100" w:type="dxa"/>
            </w:tcMar>
          </w:tcPr>
          <w:p>
            <w:pPr>
              <w:pStyle w:val="178"/>
              <w:jc w:val="left"/>
            </w:pPr>
            <w:r/>
            <w:r>
              <w:t>是否具备风险识别、预警和处置能力</w:t>
            </w:r>
          </w:p>
        </w:tc>
      </w:tr>
      <w:tr>
        <w:tc>
          <w:tcPr>
            <w:tcW w:type="dxa" w:w="2409"/>
            <w:vAlign w:val="center"/>
            <w:tcMar>
              <w:top w:w="60" w:type="dxa"/>
              <w:left w:w="100" w:type="dxa"/>
              <w:bottom w:w="60" w:type="dxa"/>
              <w:right w:w="100" w:type="dxa"/>
            </w:tcMar>
          </w:tcPr>
          <w:p>
            <w:pPr>
              <w:pStyle w:val="178"/>
              <w:jc w:val="center"/>
            </w:pPr>
            <w:r/>
            <w:r>
              <w:t>经济社会效益</w:t>
            </w:r>
          </w:p>
        </w:tc>
        <w:tc>
          <w:tcPr>
            <w:tcW w:type="dxa" w:w="2409"/>
            <w:vAlign w:val="center"/>
            <w:tcMar>
              <w:top w:w="60" w:type="dxa"/>
              <w:left w:w="100" w:type="dxa"/>
              <w:bottom w:w="60" w:type="dxa"/>
              <w:right w:w="100" w:type="dxa"/>
            </w:tcMar>
          </w:tcPr>
          <w:p>
            <w:pPr>
              <w:pStyle w:val="178"/>
              <w:jc w:val="left"/>
            </w:pPr>
            <w:r/>
            <w:r>
              <w:t>供热面积、洗浴接待量、节能减排、运营成本</w:t>
            </w:r>
          </w:p>
        </w:tc>
        <w:tc>
          <w:tcPr>
            <w:tcW w:type="dxa" w:w="2409"/>
            <w:vAlign w:val="center"/>
            <w:tcMar>
              <w:top w:w="60" w:type="dxa"/>
              <w:left w:w="100" w:type="dxa"/>
              <w:bottom w:w="60" w:type="dxa"/>
              <w:right w:w="100" w:type="dxa"/>
            </w:tcMar>
          </w:tcPr>
          <w:p>
            <w:pPr>
              <w:pStyle w:val="178"/>
              <w:jc w:val="left"/>
            </w:pPr>
            <w:r/>
            <w:r>
              <w:t>运行统计、财务资料、能耗核算</w:t>
            </w:r>
          </w:p>
        </w:tc>
        <w:tc>
          <w:tcPr>
            <w:tcW w:type="dxa" w:w="2409"/>
            <w:vAlign w:val="center"/>
            <w:tcMar>
              <w:top w:w="60" w:type="dxa"/>
              <w:left w:w="100" w:type="dxa"/>
              <w:bottom w:w="60" w:type="dxa"/>
              <w:right w:w="100" w:type="dxa"/>
            </w:tcMar>
          </w:tcPr>
          <w:p>
            <w:pPr>
              <w:pStyle w:val="178"/>
              <w:jc w:val="center"/>
            </w:pPr>
            <w:r/>
            <w:r>
              <w:t>是否实现资源节约和合理收益</w:t>
            </w:r>
          </w:p>
        </w:tc>
      </w:tr>
    </w:tbl>
    <w:p>
      <w:pPr>
        <w:pStyle w:val="78"/>
      </w:pPr>
      <w:r>
        <w:t>评价程序</w:t>
      </w:r>
    </w:p>
    <w:p>
      <w:pPr>
        <w:pStyle w:val="56"/>
      </w:pPr>
      <w:r>
        <w:t>开发利用综合评价宜按下列顺序开展：</w:t>
      </w:r>
    </w:p>
    <w:p>
      <w:pPr>
        <w:pStyle w:val="174"/>
        <w:numPr>
          <w:ilvl w:val="0"/>
          <w:numId w:val="33"/>
        </w:numPr>
      </w:pPr>
      <w:r>
        <w:t>汇集资源勘查、开发利用、回灌运行、环境监测和安全管理资料。</w:t>
      </w:r>
    </w:p>
    <w:p>
      <w:pPr>
        <w:pStyle w:val="174"/>
        <w:numPr>
          <w:ilvl w:val="0"/>
          <w:numId w:val="33"/>
        </w:numPr>
      </w:pPr>
      <w:r>
        <w:t>核查数据完整性、异常数据说明和监测仪器校准记录。</w:t>
      </w:r>
    </w:p>
    <w:p>
      <w:pPr>
        <w:pStyle w:val="174"/>
        <w:numPr>
          <w:ilvl w:val="0"/>
          <w:numId w:val="33"/>
        </w:numPr>
      </w:pPr>
      <w:r>
        <w:t>按资源、开发、环境、安全和效益维度进行趋势分析。</w:t>
      </w:r>
    </w:p>
    <w:p>
      <w:pPr>
        <w:pStyle w:val="174"/>
        <w:numPr>
          <w:ilvl w:val="0"/>
          <w:numId w:val="33"/>
        </w:numPr>
      </w:pPr>
      <w:r>
        <w:t>形成年度评价结论，提出开采规模、回灌运行、尾水处理、监测布点和安全管理改进建议。</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rPr>
        <w:t>（资料性）</w:t>
      </w:r>
      <w:r>
        <w:br/>
      </w:r>
      <w:r>
        <w:rPr>
          <w:rFonts w:ascii="黑体" w:hAnsi="Times New Roman" w:eastAsia="黑体" w:cs="Times New Roman"/>
          <w:kern w:val="21"/>
          <w:sz w:val="21"/>
          <w:lang w:val="en-US" w:eastAsia="zh-CN" w:bidi="ar-SA"/>
        </w:rPr>
        <w:t>地热资源估算方法</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一般要求</w:t>
      </w:r>
    </w:p>
    <w:p>
      <w:pPr>
        <w:pStyle w:val="56"/>
      </w:pPr>
      <w:r>
        <w:t>本附录给出了循环深度、回灌率和单井设计回灌量的资料性估算方法。估算结果宜用于方案比选、资源评价报告复核和运行分析，不宜单独作为确定开发规模、回灌规模或安全边界的依据。</w:t>
      </w:r>
    </w:p>
    <w:p>
      <w:pPr>
        <w:pStyle w:val="56"/>
      </w:pPr>
      <w:r>
        <w:t>采用本附录公式时，应说明参数来源、计量单位、测试时间、数据代表性和不确定性。参数来自不同测试阶段或不同计量单位时，应进行一致性校核。</w:t>
      </w:r>
    </w:p>
    <w:p>
      <w:pPr>
        <w:pStyle w:val="78"/>
      </w:pPr>
      <w:r>
        <w:t>循环深度估算</w:t>
      </w:r>
    </w:p>
    <w:p>
      <w:pPr>
        <w:pStyle w:val="56"/>
      </w:pPr>
      <w:r>
        <w:t>当地温梯度采用摄氏度每百米（℃/100 m）表示时，热流体循环深度可按</w:t>
      </w:r>
      <w:hyperlink w:anchor="_Ref223161676" w:history="1">
        <w:r>
          <w:t>式（</w:t>
        </w:r>
        <w:r>
          <w:fldChar w:fldCharType="begin"/>
        </w:r>
        <w:r>
          <w:instrText xml:space="preserve"> REF _Ref874107873 \h \* CHARFORMAT </w:instrText>
        </w:r>
        <w:r>
          <w:fldChar w:fldCharType="separate"/>
        </w:r>
        <w:r>
          <w:t>?</w:t>
        </w:r>
        <w:r>
          <w:fldChar w:fldCharType="end"/>
        </w:r>
        <w:r>
          <w:t>）</w:t>
        </w:r>
      </w:hyperlink>
      <w:r>
        <w:t>进行初步估算。</w:t>
      </w:r>
    </w:p>
    <w:p>
      <w:pPr>
        <w:rPr>
          <w:vanish/>
        </w:rPr>
      </w:pPr>
      <w:bookmarkStart w:id="1027" w:name="_Ref223161676"/>
      <w:r>
        <w:rPr>
          <w:vanish/>
        </w:rPr>
        <w:t>公式</w:t>
      </w:r>
      <w:r>
        <w:rPr>
          <w:vanish/>
        </w:rPr>
        <w:t xml:space="preserve"> </w:t>
      </w:r>
      <w:bookmarkStart w:id="1028" w:name="_Ref874107873"/>
      <w:r>
        <w:rPr>
          <w:vanish/>
        </w:rPr>
        <w:t>C.</w:t>
      </w:r>
      <w:r>
        <w:rPr>
          <w:vanish/>
        </w:rPr>
        <w:fldChar w:fldCharType="begin"/>
      </w:r>
      <w:r>
        <w:rPr>
          <w:vanish/>
        </w:rPr>
        <w:instrText xml:space="preserve"> SEQ 公式 \* ARABIC \r 1 </w:instrText>
      </w:r>
      <w:r>
        <w:rPr>
          <w:vanish/>
        </w:rPr>
        <w:fldChar w:fldCharType="separate"/>
      </w:r>
      <w:r>
        <w:rPr>
          <w:vanish/>
        </w:rPr>
        <w:t>1</w:t>
      </w:r>
      <w:r>
        <w:rPr>
          <w:vanish/>
        </w:rPr>
        <w:fldChar w:fldCharType="end"/>
      </w:r>
      <w:bookmarkEnd w:id="1028"/>
      <w:bookmarkEnd w:id="1027"/>
    </w:p>
    <w:p>
      <w:pPr>
        <w:pStyle w:val="80"/>
      </w:pPr>
      <w:r>
        <w:tab/>
      </w:r>
      <m:oMath>
        <m:r>
          <m:t>H=</m:t>
        </m:r>
        <m:f>
          <m:fPr>
            <m:type m:val="bar"/>
          </m:fPr>
          <m:num>
            <m:r>
              <m:t>100(</m:t>
            </m:r>
            <m:sSub>
              <m:e>
                <m:r>
                  <m:t>T</m:t>
                </m:r>
              </m:e>
              <m:sub>
                <m:r>
                  <m:t>r</m:t>
                </m:r>
              </m:sub>
            </m:sSub>
            <m:r>
              <m:t>−</m:t>
            </m:r>
            <m:sSub>
              <m:e>
                <m:r>
                  <m:t>T</m:t>
                </m:r>
              </m:e>
              <m:sub>
                <m:r>
                  <m:t>0</m:t>
                </m:r>
              </m:sub>
            </m:sSub>
            <m:r>
              <m:t>)</m:t>
            </m:r>
          </m:num>
          <m:den>
            <m:r>
              <m:t>G</m:t>
            </m:r>
          </m:den>
        </m:f>
        <m:r>
          <m:t>+h</m:t>
        </m:r>
      </m:oMath>
      <w:r>
        <w:tab/>
      </w:r>
      <w:r>
        <w:t>（</w:t>
      </w:r>
      <w:r>
        <w:fldChar w:fldCharType="begin"/>
      </w:r>
      <w:r>
        <w:instrText xml:space="preserve"> REF _Ref874107873 \h \* CHARFORMAT </w:instrText>
      </w:r>
      <w:r>
        <w:fldChar w:fldCharType="separate"/>
      </w:r>
      <w:r>
        <w:t>C.1</w:t>
      </w:r>
      <w:r>
        <w:fldChar w:fldCharType="end"/>
      </w:r>
      <w:r>
        <w:t>）</w:t>
      </w:r>
    </w:p>
    <w:p>
      <w:pPr>
        <w:pStyle w:val="56"/>
      </w:pPr>
      <w:r>
        <w:t>式中：</w:t>
      </w:r>
    </w:p>
    <w:p>
      <w:pPr>
        <w:pStyle w:val="56"/>
      </w:pPr>
      <m:oMath>
        <m:r>
          <m:t>H</m:t>
        </m:r>
      </m:oMath>
      <w:r>
        <w:t xml:space="preserve"> ——循环深度，单位为米（m）；</w:t>
      </w:r>
    </w:p>
    <w:p>
      <w:pPr>
        <w:pStyle w:val="56"/>
      </w:pPr>
      <m:oMath>
        <m:sSub>
          <m:e>
            <m:r>
              <m:t>T</m:t>
            </m:r>
          </m:e>
          <m:sub>
            <m:r>
              <m:t>r</m:t>
            </m:r>
          </m:sub>
        </m:sSub>
      </m:oMath>
      <w:r>
        <w:t xml:space="preserve"> ——热储温度，单位为摄氏度（℃）；</w:t>
      </w:r>
    </w:p>
    <w:p>
      <w:pPr>
        <w:pStyle w:val="56"/>
      </w:pPr>
      <m:oMath>
        <m:sSub>
          <m:e>
            <m:r>
              <m:t>T</m:t>
            </m:r>
          </m:e>
          <m:sub>
            <m:r>
              <m:t>0</m:t>
            </m:r>
          </m:sub>
        </m:sSub>
      </m:oMath>
      <w:r>
        <w:t xml:space="preserve"> ——年平均地表温度，单位为摄氏度（℃）；</w:t>
      </w:r>
    </w:p>
    <w:p>
      <w:pPr>
        <w:pStyle w:val="56"/>
      </w:pPr>
      <m:oMath>
        <m:r>
          <m:t>G</m:t>
        </m:r>
      </m:oMath>
      <w:r>
        <w:t xml:space="preserve"> ——地温梯度，单位为摄氏度每百米（℃/100 m）；</w:t>
      </w:r>
    </w:p>
    <w:p>
      <w:pPr>
        <w:pStyle w:val="56"/>
      </w:pPr>
      <m:oMath>
        <m:r>
          <m:t>h</m:t>
        </m:r>
      </m:oMath>
      <w:r>
        <w:t xml:space="preserve"> ——地下水位埋深，单位为米（m）。</w:t>
      </w:r>
    </w:p>
    <w:p>
      <w:pPr>
        <w:pStyle w:val="56"/>
      </w:pPr>
      <w:r>
        <w:t>当G采用摄氏度每米（℃/m）表示时，应将</w:t>
      </w:r>
      <w:hyperlink w:anchor="_Ref223161676" w:history="1">
        <w:r>
          <w:t>式（</w:t>
        </w:r>
        <w:r>
          <w:fldChar w:fldCharType="begin"/>
        </w:r>
        <w:r>
          <w:instrText xml:space="preserve"> REF _Ref874107873 \h \* CHARFORMAT </w:instrText>
        </w:r>
        <w:r>
          <w:fldChar w:fldCharType="separate"/>
        </w:r>
        <w:r>
          <w:t>?</w:t>
        </w:r>
        <w:r>
          <w:fldChar w:fldCharType="end"/>
        </w:r>
        <w:r>
          <w:t>）</w:t>
        </w:r>
      </w:hyperlink>
      <w:r>
        <w:t>中的系数100删除。循环深度估算应与同位素、地球化学温标、钻孔测温和区域地质资料进行相互校核。</w:t>
      </w:r>
    </w:p>
    <w:p>
      <w:pPr>
        <w:pStyle w:val="78"/>
      </w:pPr>
      <w:r>
        <w:t>回灌率估算</w:t>
      </w:r>
    </w:p>
    <w:p>
      <w:pPr>
        <w:pStyle w:val="56"/>
      </w:pPr>
      <w:r>
        <w:t>地热流体回灌率可按</w:t>
      </w:r>
      <w:hyperlink w:anchor="_Ref690808058" w:history="1">
        <w:r>
          <w:t>式（</w:t>
        </w:r>
        <w:r>
          <w:fldChar w:fldCharType="begin"/>
        </w:r>
        <w:r>
          <w:instrText xml:space="preserve"> REF _Ref458772616 \h \* CHARFORMAT </w:instrText>
        </w:r>
        <w:r>
          <w:fldChar w:fldCharType="separate"/>
        </w:r>
        <w:r>
          <w:t>?</w:t>
        </w:r>
        <w:r>
          <w:fldChar w:fldCharType="end"/>
        </w:r>
        <w:r>
          <w:t>）</w:t>
        </w:r>
      </w:hyperlink>
      <w:r>
        <w:t>计算。</w:t>
      </w:r>
    </w:p>
    <w:p>
      <w:pPr>
        <w:rPr>
          <w:vanish/>
        </w:rPr>
      </w:pPr>
      <w:bookmarkStart w:id="1029" w:name="_Ref690808058"/>
      <w:r>
        <w:rPr>
          <w:vanish/>
        </w:rPr>
        <w:t>公式</w:t>
      </w:r>
      <w:r>
        <w:rPr>
          <w:vanish/>
        </w:rPr>
        <w:t xml:space="preserve"> </w:t>
      </w:r>
      <w:bookmarkStart w:id="1030" w:name="_Ref458772616"/>
      <w:r>
        <w:rPr>
          <w:vanish/>
        </w:rPr>
        <w:t>C.</w:t>
      </w:r>
      <w:r>
        <w:rPr>
          <w:vanish/>
        </w:rPr>
        <w:fldChar w:fldCharType="begin"/>
      </w:r>
      <w:r>
        <w:rPr>
          <w:vanish/>
        </w:rPr>
        <w:instrText xml:space="preserve"> SEQ 公式 \* ARABIC </w:instrText>
      </w:r>
      <w:r>
        <w:rPr>
          <w:vanish/>
        </w:rPr>
        <w:fldChar w:fldCharType="separate"/>
      </w:r>
      <w:r>
        <w:rPr>
          <w:vanish/>
        </w:rPr>
        <w:t>1</w:t>
      </w:r>
      <w:r>
        <w:rPr>
          <w:vanish/>
        </w:rPr>
        <w:fldChar w:fldCharType="end"/>
      </w:r>
      <w:bookmarkEnd w:id="1030"/>
      <w:bookmarkEnd w:id="1029"/>
    </w:p>
    <w:p>
      <w:pPr>
        <w:pStyle w:val="80"/>
      </w:pPr>
      <w:r>
        <w:tab/>
      </w:r>
      <m:oMath>
        <m:sSub>
          <m:e>
            <m:r>
              <m:t>R</m:t>
            </m:r>
          </m:e>
          <m:sub>
            <m:r>
              <m:t>g</m:t>
            </m:r>
          </m:sub>
        </m:sSub>
        <m:r>
          <m:t>=</m:t>
        </m:r>
        <m:f>
          <m:fPr>
            <m:type m:val="bar"/>
          </m:fPr>
          <m:num>
            <m:sSub>
              <m:e>
                <m:r>
                  <m:t>Q</m:t>
                </m:r>
              </m:e>
              <m:sub>
                <m:r>
                  <m:t>r</m:t>
                </m:r>
              </m:sub>
            </m:sSub>
          </m:num>
          <m:den>
            <m:sSub>
              <m:e>
                <m:r>
                  <m:t>Q</m:t>
                </m:r>
              </m:e>
              <m:sub>
                <m:r>
                  <m:t>e</m:t>
                </m:r>
              </m:sub>
            </m:sSub>
          </m:den>
        </m:f>
        <m:r>
          <m:t>×100%</m:t>
        </m:r>
      </m:oMath>
      <w:r>
        <w:tab/>
      </w:r>
      <w:r>
        <w:t>（</w:t>
      </w:r>
      <w:r>
        <w:fldChar w:fldCharType="begin"/>
      </w:r>
      <w:r>
        <w:instrText xml:space="preserve"> REF _Ref458772616 \h \* CHARFORMAT </w:instrText>
      </w:r>
      <w:r>
        <w:fldChar w:fldCharType="separate"/>
      </w:r>
      <w:r>
        <w:t>C.1</w:t>
      </w:r>
      <w:r>
        <w:fldChar w:fldCharType="end"/>
      </w:r>
      <w:r>
        <w:t>）</w:t>
      </w:r>
    </w:p>
    <w:p>
      <w:pPr>
        <w:pStyle w:val="56"/>
      </w:pPr>
      <w:r>
        <w:t>式中：</w:t>
      </w:r>
    </w:p>
    <w:p>
      <w:pPr>
        <w:pStyle w:val="56"/>
      </w:pPr>
      <m:oMath>
        <m:sSub>
          <m:e>
            <m:r>
              <m:t>R</m:t>
            </m:r>
          </m:e>
          <m:sub>
            <m:r>
              <m:t>g</m:t>
            </m:r>
          </m:sub>
        </m:sSub>
      </m:oMath>
      <w:r>
        <w:t xml:space="preserve"> ——地热流体回灌率；</w:t>
      </w:r>
    </w:p>
    <w:p>
      <w:pPr>
        <w:pStyle w:val="56"/>
      </w:pPr>
      <m:oMath>
        <m:sSub>
          <m:e>
            <m:r>
              <m:t>Q</m:t>
            </m:r>
          </m:e>
          <m:sub>
            <m:r>
              <m:t>r</m:t>
            </m:r>
          </m:sub>
        </m:sSub>
      </m:oMath>
      <w:r>
        <w:t xml:space="preserve"> ——统计期内回灌的地热流体总量，单位为立方米（m</w:t>
      </w:r>
      <w:r>
        <w:rPr>
          <w:vertAlign w:val="superscript"/>
        </w:rPr>
        <w:t>3</w:t>
      </w:r>
      <w:r>
        <w:t>）；</w:t>
      </w:r>
    </w:p>
    <w:p>
      <w:pPr>
        <w:pStyle w:val="56"/>
      </w:pPr>
      <m:oMath>
        <m:sSub>
          <m:e>
            <m:r>
              <m:t>Q</m:t>
            </m:r>
          </m:e>
          <m:sub>
            <m:r>
              <m:t>e</m:t>
            </m:r>
          </m:sub>
        </m:sSub>
      </m:oMath>
      <w:r>
        <w:t xml:space="preserve"> ——统计期内实际开采的地热流体总量，单位为立方米（m</w:t>
      </w:r>
      <w:r>
        <w:rPr>
          <w:vertAlign w:val="superscript"/>
        </w:rPr>
        <w:t>3</w:t>
      </w:r>
      <w:r>
        <w:t>）。</w:t>
      </w:r>
    </w:p>
    <w:p>
      <w:pPr>
        <w:pStyle w:val="56"/>
      </w:pPr>
      <w:r>
        <w:t>统计期内存在停采、停灌、旁路排放或外来水回灌时，应在计算说明中列明边界条件，不宜直接用回灌率替代采灌平衡和热储响应分析。</w:t>
      </w:r>
    </w:p>
    <w:p>
      <w:pPr>
        <w:pStyle w:val="78"/>
      </w:pPr>
      <w:r>
        <w:t>单井设计回灌量估算</w:t>
      </w:r>
    </w:p>
    <w:p>
      <w:pPr>
        <w:pStyle w:val="56"/>
      </w:pPr>
      <w:r>
        <w:t>已通过回灌试验确定单位回灌量时，单井设计回灌量可按</w:t>
      </w:r>
      <w:hyperlink w:anchor="_Ref399836054" w:history="1">
        <w:r>
          <w:t>式（</w:t>
        </w:r>
        <w:r>
          <w:fldChar w:fldCharType="begin"/>
        </w:r>
        <w:r>
          <w:instrText xml:space="preserve"> REF _Ref751163738 \h \* CHARFORMAT </w:instrText>
        </w:r>
        <w:r>
          <w:fldChar w:fldCharType="separate"/>
        </w:r>
        <w:r>
          <w:t>?</w:t>
        </w:r>
        <w:r>
          <w:fldChar w:fldCharType="end"/>
        </w:r>
        <w:r>
          <w:t>）</w:t>
        </w:r>
      </w:hyperlink>
      <w:r>
        <w:t>进行初步估算。</w:t>
      </w:r>
    </w:p>
    <w:p>
      <w:pPr>
        <w:rPr>
          <w:vanish/>
        </w:rPr>
      </w:pPr>
      <w:bookmarkStart w:id="1031" w:name="_Ref399836054"/>
      <w:r>
        <w:rPr>
          <w:vanish/>
        </w:rPr>
        <w:t>公式</w:t>
      </w:r>
      <w:r>
        <w:rPr>
          <w:vanish/>
        </w:rPr>
        <w:t xml:space="preserve"> </w:t>
      </w:r>
      <w:bookmarkStart w:id="1032" w:name="_Ref751163738"/>
      <w:r>
        <w:rPr>
          <w:vanish/>
        </w:rPr>
        <w:t>C.</w:t>
      </w:r>
      <w:r>
        <w:rPr>
          <w:vanish/>
        </w:rPr>
        <w:fldChar w:fldCharType="begin"/>
      </w:r>
      <w:r>
        <w:rPr>
          <w:vanish/>
        </w:rPr>
        <w:instrText xml:space="preserve"> SEQ 公式 \* ARABIC </w:instrText>
      </w:r>
      <w:r>
        <w:rPr>
          <w:vanish/>
        </w:rPr>
        <w:fldChar w:fldCharType="separate"/>
      </w:r>
      <w:r>
        <w:rPr>
          <w:vanish/>
        </w:rPr>
        <w:t>1</w:t>
      </w:r>
      <w:r>
        <w:rPr>
          <w:vanish/>
        </w:rPr>
        <w:fldChar w:fldCharType="end"/>
      </w:r>
      <w:bookmarkEnd w:id="1032"/>
      <w:bookmarkEnd w:id="1031"/>
    </w:p>
    <w:p>
      <w:pPr>
        <w:pStyle w:val="80"/>
      </w:pPr>
      <w:r>
        <w:tab/>
      </w:r>
      <m:oMath>
        <m:r>
          <m:t>Q=qS</m:t>
        </m:r>
      </m:oMath>
      <w:r>
        <w:tab/>
      </w:r>
      <w:r>
        <w:t>（</w:t>
      </w:r>
      <w:r>
        <w:fldChar w:fldCharType="begin"/>
      </w:r>
      <w:r>
        <w:instrText xml:space="preserve"> REF _Ref751163738 \h \* CHARFORMAT </w:instrText>
      </w:r>
      <w:r>
        <w:fldChar w:fldCharType="separate"/>
      </w:r>
      <w:r>
        <w:t>C.1</w:t>
      </w:r>
      <w:r>
        <w:fldChar w:fldCharType="end"/>
      </w:r>
      <w:r>
        <w:t>）</w:t>
      </w:r>
    </w:p>
    <w:p>
      <w:pPr>
        <w:pStyle w:val="56"/>
      </w:pPr>
      <w:r>
        <w:t>式中：</w:t>
      </w:r>
    </w:p>
    <w:p>
      <w:pPr>
        <w:pStyle w:val="56"/>
      </w:pPr>
      <m:oMath>
        <m:r>
          <m:t>Q</m:t>
        </m:r>
      </m:oMath>
      <w:r>
        <w:t xml:space="preserve"> ——设计回灌量，单位为立方米每天（m</w:t>
      </w:r>
      <w:r>
        <w:rPr>
          <w:vertAlign w:val="superscript"/>
        </w:rPr>
        <w:t>3</w:t>
      </w:r>
      <w:r>
        <w:t>/d）；</w:t>
      </w:r>
    </w:p>
    <w:p>
      <w:pPr>
        <w:pStyle w:val="56"/>
      </w:pPr>
      <m:oMath>
        <m:r>
          <m:t>q</m:t>
        </m:r>
      </m:oMath>
      <w:r>
        <w:t xml:space="preserve"> ——单位回灌量，单位为立方米每天米[m</w:t>
      </w:r>
      <w:r>
        <w:rPr>
          <w:vertAlign w:val="superscript"/>
        </w:rPr>
        <w:t>3</w:t>
      </w:r>
      <w:r>
        <w:t>/(d·m)]；</w:t>
      </w:r>
    </w:p>
    <w:p>
      <w:pPr>
        <w:pStyle w:val="56"/>
      </w:pPr>
      <m:oMath>
        <m:r>
          <m:t>S</m:t>
        </m:r>
      </m:oMath>
      <w:r>
        <w:t xml:space="preserve"> ——设计地热水位抬升高度，单位为米（m）。</w:t>
      </w:r>
    </w:p>
    <w:p>
      <w:pPr>
        <w:pStyle w:val="56"/>
      </w:pPr>
      <w:r>
        <w:t>单井回灌量宜结合回灌试验曲线、设计回灌温度和水位抬升控制要求确定。多井回灌或采灌干扰明显的项目，应结合多井回灌试验、观测井监测和数值模拟成果进行校核。</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63"/>
        <w:spacing w:after="120"/>
      </w:pPr>
      <w:r>
        <w:rPr>
          <w:rFonts w:hint="eastAsia"/>
          <w:spacing w:val="105"/>
        </w:rPr>
        <w:t>参考文</w:t>
      </w:r>
      <w:r>
        <w:rPr>
          <w:rFonts w:hint="eastAsia"/>
        </w:rPr>
        <w:t>献</w:t>
      </w:r>
    </w:p>
    <w:p>
      <w:pPr>
        <w:pStyle w:val="64"/>
      </w:pPr>
      <w:r>
        <w:t>GB/T 1.1—2020　标准化工作导则 第1部分：标准化文件的结构和起草规则</w:t>
      </w:r>
    </w:p>
    <w:p>
      <w:pPr>
        <w:pStyle w:val="64"/>
      </w:pPr>
      <w:r>
        <w:t>GB/T 5750.3—2023　生活饮用水标准检验方法 第3部分：水质分析质量控制</w:t>
      </w:r>
    </w:p>
    <w:p>
      <w:pPr>
        <w:pStyle w:val="64"/>
      </w:pPr>
      <w:r>
        <w:t>DZ/T 0225—2024　浅层地热能勘查评价规范</w:t>
      </w:r>
    </w:p>
    <w:p>
      <w:pPr>
        <w:pStyle w:val="64"/>
      </w:pPr>
      <w:r>
        <w:t>陈长敬. 以重庆地区为例谈地热水源地评价与开发利用[J]. 山西建筑, 2018, 44(10): 106-108.</w:t>
      </w:r>
    </w:p>
    <w:p>
      <w:pPr>
        <w:pStyle w:val="64"/>
      </w:pPr>
      <w:r>
        <w:t>袁星芳, 杨明爽, 王晓翠, 等. 山东威海市呼雷汤地热水化学、成因与开发潜力[J]. 地质通报, 2024, 43(1): 143-152.</w:t>
      </w:r>
    </w:p>
    <w:p>
      <w:pPr>
        <w:pStyle w:val="64"/>
      </w:pPr>
      <w:r>
        <w:t>陈书阁. 宁海县深甽镇地热流体富集规律、控热断裂特征及开发潜力研究[J]. 黑龙江国土资源, 2025, 23(6): 66-74.</w:t>
      </w:r>
    </w:p>
    <w:p>
      <w:pPr>
        <w:pStyle w:val="64"/>
      </w:pPr>
      <w:r>
        <w:t>冯自明, 靳海东, 刘昭, 等. 甘肃天水地区地热田同位素分布特征、成因机制及开发潜力[J]. 地质通报, 2025. DOI: 10.12097/gbc.2025.07.031.</w:t>
      </w:r>
    </w:p>
    <w:p>
      <w:pPr>
        <w:pStyle w:val="64"/>
      </w:pPr>
      <w:r>
        <w:t>孙焕泉, 毛翔, 吴陈冰洁, 等. 地热资源勘探开发技术与发展方向[J]. 地学前缘, 2024, 31(1): 400-411.</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221"/>
        <w:spacing w:after="120"/>
      </w:pPr>
      <w:r>
        <w:rPr>
          <w:rFonts w:hint="eastAsia"/>
          <w:spacing w:val="210"/>
        </w:rPr>
        <w:t>索</w:t>
      </w:r>
      <w:r>
        <w:rPr>
          <w:rFonts w:hint="eastAsia"/>
        </w:rPr>
        <w:t>引</w:t>
      </w:r>
    </w:p>
    <w:p>
      <w:pPr>
        <w:pStyle w:val="175"/>
      </w:pPr>
      <w:r>
        <w:t>D</w:t>
      </w:r>
    </w:p>
    <w:p>
      <w:pPr>
        <w:pStyle w:val="210"/>
      </w:pPr>
      <w:r>
        <w:t>地热回灌</w:t>
      </w:r>
      <w:r>
        <w:tab/>
      </w:r>
      <w:r>
        <w:t>3.5，7.1，7.2</w:t>
      </w:r>
    </w:p>
    <w:p>
      <w:pPr>
        <w:pStyle w:val="210"/>
      </w:pPr>
      <w:r>
        <w:t>地热监测点</w:t>
      </w:r>
      <w:r>
        <w:tab/>
      </w:r>
      <w:r>
        <w:t>3.8，8.2，8.3</w:t>
      </w:r>
    </w:p>
    <w:p>
      <w:pPr>
        <w:pStyle w:val="210"/>
      </w:pPr>
      <w:r>
        <w:t>地热流体</w:t>
      </w:r>
      <w:r>
        <w:tab/>
      </w:r>
      <w:r>
        <w:t>3.3，5.3，6.3，A.1，附录C</w:t>
      </w:r>
    </w:p>
    <w:p>
      <w:pPr>
        <w:pStyle w:val="210"/>
      </w:pPr>
      <w:r>
        <w:t>地热流体回灌率</w:t>
      </w:r>
      <w:r>
        <w:tab/>
      </w:r>
      <w:r>
        <w:t>3.9，7.2，附录C</w:t>
      </w:r>
    </w:p>
    <w:p>
      <w:pPr>
        <w:pStyle w:val="210"/>
      </w:pPr>
      <w:r>
        <w:t>地热温泉</w:t>
      </w:r>
      <w:r>
        <w:tab/>
      </w:r>
      <w:r>
        <w:t>3.1，4.2，6.3</w:t>
      </w:r>
    </w:p>
    <w:p>
      <w:pPr>
        <w:pStyle w:val="210"/>
      </w:pPr>
      <w:r>
        <w:t>动态监测</w:t>
      </w:r>
      <w:r>
        <w:tab/>
      </w:r>
      <w:r>
        <w:t>3.7，8.2，8.3</w:t>
      </w:r>
    </w:p>
    <w:p>
      <w:pPr>
        <w:pStyle w:val="175"/>
      </w:pPr>
      <w:r>
        <w:t>H</w:t>
      </w:r>
    </w:p>
    <w:p>
      <w:pPr>
        <w:pStyle w:val="210"/>
      </w:pPr>
      <w:r>
        <w:t>回灌</w:t>
      </w:r>
      <w:r>
        <w:tab/>
      </w:r>
      <w:r>
        <w:t>4.1，5.2，7.1，7.2，7.3，8.2，附录C</w:t>
      </w:r>
    </w:p>
    <w:p>
      <w:pPr>
        <w:pStyle w:val="210"/>
      </w:pPr>
      <w:r>
        <w:t>回灌衰减</w:t>
      </w:r>
      <w:r>
        <w:tab/>
      </w:r>
      <w:r>
        <w:t>3.10，7.3，10.1</w:t>
      </w:r>
    </w:p>
    <w:p>
      <w:pPr>
        <w:pStyle w:val="175"/>
      </w:pPr>
      <w:r>
        <w:t>R</w:t>
      </w:r>
    </w:p>
    <w:p>
      <w:pPr>
        <w:pStyle w:val="210"/>
      </w:pPr>
      <w:r>
        <w:t>热储</w:t>
      </w:r>
      <w:r>
        <w:tab/>
      </w:r>
      <w:r>
        <w:t>3.2，5.1，5.4，7.1，7.2</w:t>
      </w:r>
    </w:p>
    <w:p>
      <w:pPr>
        <w:pStyle w:val="175"/>
      </w:pPr>
      <w:r>
        <w:t>W</w:t>
      </w:r>
    </w:p>
    <w:p>
      <w:pPr>
        <w:pStyle w:val="210"/>
      </w:pPr>
      <w:r>
        <w:t>尾水</w:t>
      </w:r>
      <w:r>
        <w:tab/>
      </w:r>
      <w:r>
        <w:t>3.6，7.2，7.4，8.1</w:t>
      </w:r>
    </w:p>
    <w:p>
      <w:pPr>
        <w:pStyle w:val="175"/>
      </w:pPr>
      <w:r>
        <w:t>X</w:t>
      </w:r>
    </w:p>
    <w:p>
      <w:pPr>
        <w:pStyle w:val="210"/>
      </w:pPr>
      <w:r>
        <w:t>洗浴与康养</w:t>
      </w:r>
      <w:r>
        <w:tab/>
      </w:r>
      <w:r>
        <w:t>6.4，附录A</w:t>
      </w:r>
    </w:p>
    <w:p>
      <w:pPr>
        <w:pStyle w:val="210"/>
      </w:pPr>
      <w:r>
        <w:t>允许开采量</w:t>
      </w:r>
      <w:r>
        <w:tab/>
      </w:r>
      <w:r>
        <w:t>3.4，5.5，6.1，7.2</w:t>
      </w:r>
    </w:p>
    <w:p>
      <w:pPr>
        <w:pStyle w:val="210"/>
      </w:pPr>
      <w:r>
        <w:t>循环深度</w:t>
      </w:r>
      <w:r>
        <w:tab/>
      </w:r>
      <w:r>
        <w:t>5.3，附录C</w:t>
      </w:r>
    </w:p>
    <w:p>
      <w:pPr>
        <w:pStyle w:val="56"/>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rPr>
      <w:t>Q/LB.</w:t>
    </w:r>
    <w:r>
      <w:rPr>
        <w:rFonts w:hint="eastAsia" w:ascii="黑体" w:hAnsi="黑体" w:eastAsia="黑体"/>
      </w:rPr>
      <w:t>□</w:t>
    </w:r>
    <w:r>
      <w:rPr>
        <w:rFonts w:ascii="黑体" w:hAnsi="黑体" w:eastAsia="黑体"/>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nothing"/>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evenAndOddHeade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pPr>
  </w:style>
  <w:style w:type="paragraph" w:customStyle="1" w:styleId="94">
    <w:name w:val="标准文件_三级条标题"/>
    <w:basedOn w:val="65"/>
    <w:next w:val="56"/>
    <w:uiPriority w:val="0"/>
    <w:pPr>
      <w:widowControl/>
      <w:numPr>
        <w:ilvl w:val="4"/>
      </w:numPr>
      <w:outlineLvl w:val="3"/>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100" w:beforeLines="100" w:after="100" w:afterLines="100"/>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outlineLvl w:val="9"/>
    </w:pPr>
    <w:rPr>
      <w:rFonts w:ascii="宋体" w:eastAsia="宋体"/>
    </w:rPr>
  </w:style>
  <w:style w:type="paragraph" w:customStyle="1" w:styleId="163">
    <w:name w:val="标准文件_五级无标题"/>
    <w:basedOn w:val="103"/>
    <w:qFormat/>
    <w:uiPriority w:val="0"/>
    <w:pPr>
      <w:spacing w:before="0" w:beforeLines="0" w:after="0" w:afterLines="0"/>
      <w:outlineLvl w:val="9"/>
    </w:pPr>
    <w:rPr>
      <w:rFonts w:ascii="宋体" w:eastAsia="宋体"/>
    </w:rPr>
  </w:style>
  <w:style w:type="paragraph" w:customStyle="1" w:styleId="164">
    <w:name w:val="标准文件_三级无标题"/>
    <w:basedOn w:val="94"/>
    <w:qFormat/>
    <w:uiPriority w:val="0"/>
    <w:pPr>
      <w:spacing w:before="0" w:beforeLines="0" w:after="0" w:afterLines="0"/>
      <w:outlineLvl w:val="9"/>
    </w:pPr>
    <w:rPr>
      <w:rFonts w:ascii="宋体" w:eastAsia="宋体"/>
    </w:rPr>
  </w:style>
  <w:style w:type="paragraph" w:customStyle="1" w:styleId="165">
    <w:name w:val="标准文件_二级无标题"/>
    <w:basedOn w:val="65"/>
    <w:qFormat/>
    <w:uiPriority w:val="0"/>
    <w:pPr>
      <w:spacing w:before="0" w:beforeLines="0" w:after="0" w:afterLines="0"/>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style>
  <w:style w:type="paragraph" w:customStyle="1" w:styleId="224">
    <w:name w:val="标准文件_术语条二"/>
    <w:basedOn w:val="165"/>
    <w:next w:val="56"/>
    <w:qFormat/>
    <w:uiPriority w:val="0"/>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