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numPr>
          <w:ilvl w:val="0"/>
          <w:numId w:val="6"/>
        </w:numPr>
      </w:pPr>
      <w:r>
        <w:t>更改了标准适用范围，增加了L类（见第1章，2008年版的第1章）。</w:t>
      </w:r>
    </w:p>
    <w:p>
      <w:pPr>
        <w:pStyle w:val="af1"/>
        <w:numPr>
          <w:ilvl w:val="0"/>
          <w:numId w:val="6"/>
        </w:numPr>
      </w:pPr>
      <w:r>
        <w:t>增加了L类机动车车速表以及数字式车速表的有关技术内容（见第4章）。</w:t>
      </w:r>
    </w:p>
    <w:p>
      <w:pPr>
        <w:pStyle w:val="af1"/>
        <w:numPr>
          <w:ilvl w:val="0"/>
          <w:numId w:val="6"/>
        </w:numPr>
      </w:pPr>
      <w:r>
        <w:t>增加了对车速表装备的规定（见4.1.1）。</w:t>
      </w:r>
    </w:p>
    <w:p>
      <w:pPr>
        <w:pStyle w:val="af1"/>
        <w:numPr>
          <w:ilvl w:val="0"/>
          <w:numId w:val="6"/>
        </w:numPr>
      </w:pPr>
      <w:r>
        <w:t>更改了道路试验方法（见5.2.2，2008年版的5.4）。</w:t>
      </w:r>
    </w:p>
    <w:p>
      <w:pPr>
        <w:pStyle w:val="af1"/>
        <w:numPr>
          <w:ilvl w:val="0"/>
          <w:numId w:val="6"/>
        </w:numPr>
      </w:pPr>
      <w:r>
        <w:t>增加了底盘测功机试验（见5.2.3）。</w:t>
      </w:r>
    </w:p>
    <w:p>
      <w:pPr>
        <w:pStyle w:val="af1"/>
        <w:numPr>
          <w:ilvl w:val="0"/>
          <w:numId w:val="6"/>
        </w:numPr>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numPr>
          <w:ilvl w:val="0"/>
          <w:numId w:val="6"/>
        </w:numPr>
      </w:pPr>
      <w:r>
        <w:t>1994年首次发布为GB 15082—1994，1999年第一次修订，2008年第二次修订；</w:t>
      </w:r>
    </w:p>
    <w:p>
      <w:pPr>
        <w:pStyle w:val="af1"/>
        <w:numPr>
          <w:ilvl w:val="0"/>
          <w:numId w:val="6"/>
        </w:numPr>
      </w:pPr>
      <w:r>
        <w:t>本次为第三次修订。</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numPr>
          <w:ilvl w:val="0"/>
          <w:numId w:val="6"/>
        </w:numPr>
      </w:pPr>
      <w:r>
        <w:t>用于M类、N类、L3类、L4类和L5类车辆的车速表，当标度盘上的最大值未超出200 km/h时，标度值应以不超过20 km/h的间隔显示；当标度盘上的最大值超出200 km/h时，标度值应以不超过30 km/h的间隔显示。</w:t>
      </w:r>
    </w:p>
    <w:p>
      <w:pPr>
        <w:pStyle w:val="af1"/>
        <w:numPr>
          <w:ilvl w:val="0"/>
          <w:numId w:val="6"/>
        </w:numPr>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 CHARFORMAT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 CHARFORMAT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numPr>
          <w:ilvl w:val="0"/>
          <w:numId w:val="41"/>
        </w:numPr>
      </w:pPr>
      <w:r>
        <w:t>车速表处的温度为23 ℃±5 ℃（其中L类车辆准许放宽至0 ℃～38 ℃）。</w:t>
      </w:r>
    </w:p>
    <w:p>
      <w:pPr>
        <w:pStyle w:val="af5"/>
        <w:numPr>
          <w:ilvl w:val="0"/>
          <w:numId w:val="41"/>
        </w:numPr>
      </w:pPr>
      <w:r>
        <w:t>测试车速允许的偏差为±2 km/h。</w:t>
      </w:r>
    </w:p>
    <w:p>
      <w:pPr>
        <w:pStyle w:val="af5"/>
        <w:numPr>
          <w:ilvl w:val="0"/>
          <w:numId w:val="41"/>
        </w:numPr>
      </w:pPr>
      <w:r>
        <w:t>用以测试车速的试验仪器误差不大于±1.0%。</w:t>
      </w:r>
    </w:p>
    <w:p>
      <w:pPr>
        <w:pStyle w:val="af5"/>
        <w:numPr>
          <w:ilvl w:val="0"/>
          <w:numId w:val="41"/>
        </w:numPr>
      </w:pPr>
      <w:r>
        <w:t>车辆装备：</w:t>
      </w:r>
    </w:p>
    <w:p>
      <w:pPr>
        <w:pStyle w:val="af6"/>
        <w:numPr>
          <w:ilvl w:val="1"/>
          <w:numId w:val="41"/>
        </w:numPr>
      </w:pPr>
      <w:r>
        <w:t>为整备质量再加上驾驶员、试验人员（如果需要的话）和测试装备（其中L类驾驶员及其装备的总质量为75 kg±5 kg）；</w:t>
      </w:r>
    </w:p>
    <w:p>
      <w:pPr>
        <w:pStyle w:val="af6"/>
        <w:numPr>
          <w:ilvl w:val="1"/>
          <w:numId w:val="41"/>
        </w:numPr>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\r </w:instrText>
      </w:r>
      <w:r>
        <w:fldChar w:fldCharType="separate"/>
      </w:r>
      <w:r>
        <w:t>表?</w:t>
      </w:r>
      <w:r>
        <w:fldChar w:fldCharType="end"/>
      </w:r>
      <w:r>
        <w:t>选取测试车速。</w:t>
      </w:r>
    </w:p>
    <w:p>
      <w:pPr>
        <w:pStyle w:val="aff2"/>
        <w:numPr>
          <w:ilvl w:val="0"/>
          <w:numId w:val="10"/>
        </w:numPr>
      </w:pPr>
      <w:r>
        <w:t xml:space="preserve">　</w:t>
      </w:r>
      <w:bookmarkStart w:id="1002" w:name="_Ref512971109"/>
      <w:bookmarkStart w:id="1003" w:name="_Ref630296882"/>
      <w:bookmarkStart w:id="1004" w:name="_Ref604906871"/>
      <w:bookmarkStart w:id="1005" w:name="_Ref651458273"/>
      <w:r>
        <w:t>测试车速</w:t>
      </w:r>
      <w:bookmarkEnd w:id="1002"/>
      <w:bookmarkEnd w:id="1003"/>
      <w:bookmarkEnd w:id="1004"/>
      <w:bookmarkEnd w:id="1005"/>
    </w:p>
    <w:p>
      <w:pPr>
        <w:pStyle w:val="affffffffff0"/>
        <w:jc w:val="right"/>
      </w:pPr>
      <w:r>
        <w:t>单位为千米每小时</w:t>
      </w:r>
    </w:p>
    <w:tbl>
      <w:tblPr>
        <w:tblStyle w:val="afffffffffc"/>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4819"/>
        <w:gridCol w:w="4819"/>
      </w:tblGrid>
      <w:tr>
        <w:trPr>
          <w:tblHeader w:val="true"/>
        </w:trPr>
        <w:tc>
          <w:tcPr>
            <w:tcW w:type="dxa" w:w="4819"/>
            <w:vAlign w:val="center"/>
            <w:tcMar>
              <w:top w:w="60" w:type="dxa"/>
              <w:left w:w="100" w:type="dxa"/>
              <w:bottom w:w="60" w:type="dxa"/>
              <w:right w:w="100" w:type="dxa"/>
            </w:tcMar>
            <w:tcBorders>
              <w:bottom w:val="single" w:sz="8" w:space="0" w:color="000000"/>
            </w:tcBorders>
          </w:tcPr>
          <w:p>
            <w:pPr>
              <w:pStyle w:val="afffffffff9"/>
              <w:jc w:val="left"/>
            </w:pPr>
            <w:r/>
            <w:r>
              <w:t>最高设计车速（</w:t>
            </w:r>
            <m:oMath>
              <m:sSub>
                <m:e>
                  <m:r>
                    <m:t>v</m:t>
                  </m:r>
                </m:e>
                <m:sub>
                  <m:r>
                    <m:rPr>
                      <m:nor/>
                    </m:rPr>
                    <m:t>max</m:t>
                  </m:r>
                </m:sub>
              </m:sSub>
            </m:oMath>
            <w:r>
              <w:t>）</w:t>
            </w:r>
          </w:p>
        </w:tc>
        <w:tc>
          <w:tcPr>
            <w:tcW w:type="dxa" w:w="4819"/>
            <w:vAlign w:val="center"/>
            <w:tcMar>
              <w:top w:w="60" w:type="dxa"/>
              <w:left w:w="100" w:type="dxa"/>
              <w:bottom w:w="60" w:type="dxa"/>
              <w:right w:w="100" w:type="dxa"/>
            </w:tcMar>
            <w:tcBorders>
              <w:bottom w:val="single" w:sz="8" w:space="0" w:color="000000"/>
            </w:tcBorders>
          </w:tcPr>
          <w:p>
            <w:pPr>
              <w:pStyle w:val="afffffffff9"/>
              <w:jc w:val="center"/>
            </w:pPr>
            <w:r/>
            <w:r>
              <w:t>测试车速</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⩽45</m:t>
              </m:r>
            </m:oMath>
          </w:p>
        </w:tc>
        <w:tc>
          <w:tcPr>
            <w:tcW w:type="dxa" w:w="4819"/>
            <w:vAlign w:val="center"/>
            <w:tcMar>
              <w:top w:w="60" w:type="dxa"/>
              <w:left w:w="100" w:type="dxa"/>
              <w:bottom w:w="60" w:type="dxa"/>
              <w:right w:w="100" w:type="dxa"/>
            </w:tcMar>
          </w:tcPr>
          <w:p>
            <w:pPr>
              <w:pStyle w:val="afffffffff9"/>
              <w:jc w:val="center"/>
            </w:pPr>
            <w:r/>
            <w:r>
              <w:t>80%</w:t>
            </w:r>
            <m:oMath>
              <m:sSub>
                <m:e>
                  <m:r>
                    <m:t>v</m:t>
                  </m:r>
                </m:e>
                <m:sub>
                  <m:r>
                    <m:rPr>
                      <m:nor/>
                    </m:rPr>
                    <m:t>max</m:t>
                  </m:r>
                </m:sub>
              </m:sSub>
            </m:oMath>
          </w:p>
        </w:tc>
      </w:tr>
      <w:tr>
        <w:tc>
          <w:tcPr>
            <w:tcW w:type="dxa" w:w="4819"/>
            <w:vAlign w:val="center"/>
            <w:tcMar>
              <w:top w:w="60" w:type="dxa"/>
              <w:left w:w="100" w:type="dxa"/>
              <w:bottom w:w="60" w:type="dxa"/>
              <w:right w:w="100" w:type="dxa"/>
            </w:tcMar>
          </w:tcPr>
          <w:p>
            <w:pPr>
              <w:pStyle w:val="afffffffff9"/>
              <w:jc w:val="center"/>
            </w:pPr>
            <w:r/>
            <m:oMath>
              <m:r>
                <m:t>45&lt;</m:t>
              </m:r>
              <m:sSub>
                <m:e>
                  <m:r>
                    <m:t>v</m:t>
                  </m:r>
                </m:e>
                <m:sub>
                  <m:r>
                    <m:rPr>
                      <m:nor/>
                    </m:rPr>
                    <m:t>max</m:t>
                  </m:r>
                </m:sub>
              </m:sSub>
              <m:r>
                <m:t>⩽100</m:t>
              </m:r>
            </m:oMath>
          </w:p>
        </w:tc>
        <w:tc>
          <w:tcPr>
            <w:tcW w:type="dxa" w:w="4819"/>
            <w:vAlign w:val="center"/>
            <w:tcMar>
              <w:top w:w="60" w:type="dxa"/>
              <w:left w:w="100" w:type="dxa"/>
              <w:bottom w:w="60" w:type="dxa"/>
              <w:right w:w="100" w:type="dxa"/>
            </w:tcMar>
          </w:tcPr>
          <w:p>
            <w:pPr>
              <w:pStyle w:val="afffffffff9"/>
              <w:jc w:val="left"/>
            </w:pPr>
            <w:r/>
            <w:r>
              <w:t>40、80%</w:t>
            </w:r>
            <m:oMath>
              <m:sSub>
                <m:e>
                  <m:r>
                    <m:t>v</m:t>
                  </m:r>
                </m:e>
                <m:sub>
                  <m:r>
                    <m:rPr>
                      <m:nor/>
                    </m:rPr>
                    <m:t>max</m:t>
                  </m:r>
                </m:sub>
              </m:sSub>
            </m:oMath>
            <w:r>
              <w:t>（≥55）</w:t>
            </w:r>
          </w:p>
        </w:tc>
      </w:tr>
      <w:tr>
        <w:tc>
          <w:tcPr>
            <w:tcW w:type="dxa" w:w="4819"/>
            <w:vAlign w:val="center"/>
            <w:tcMar>
              <w:top w:w="60" w:type="dxa"/>
              <w:left w:w="100" w:type="dxa"/>
              <w:bottom w:w="60" w:type="dxa"/>
              <w:right w:w="100" w:type="dxa"/>
            </w:tcMar>
          </w:tcPr>
          <w:p>
            <w:pPr>
              <w:pStyle w:val="afffffffff9"/>
              <w:jc w:val="center"/>
            </w:pPr>
            <w:r/>
            <m:oMath>
              <m:r>
                <m:t>100&lt;</m:t>
              </m:r>
              <m:sSub>
                <m:e>
                  <m:r>
                    <m:t>v</m:t>
                  </m:r>
                </m:e>
                <m:sub>
                  <m:r>
                    <m:rPr>
                      <m:nor/>
                    </m:rPr>
                    <m:t>max</m:t>
                  </m:r>
                </m:sub>
              </m:sSub>
              <m:r>
                <m:t>⩽150</m:t>
              </m:r>
            </m:oMath>
          </w:p>
        </w:tc>
        <w:tc>
          <w:tcPr>
            <w:tcW w:type="dxa" w:w="4819"/>
            <w:vAlign w:val="center"/>
            <w:tcMar>
              <w:top w:w="60" w:type="dxa"/>
              <w:left w:w="100" w:type="dxa"/>
              <w:bottom w:w="60" w:type="dxa"/>
              <w:right w:w="100" w:type="dxa"/>
            </w:tcMar>
          </w:tcPr>
          <w:p>
            <w:pPr>
              <w:pStyle w:val="afffffffff9"/>
              <w:jc w:val="left"/>
            </w:pPr>
            <w:r/>
            <w:r>
              <w:t>40、80、80%</w:t>
            </w:r>
            <m:oMath>
              <m:sSub>
                <m:e>
                  <m:r>
                    <m:t>v</m:t>
                  </m:r>
                </m:e>
                <m:sub>
                  <m:r>
                    <m:rPr>
                      <m:nor/>
                    </m:rPr>
                    <m:t>max</m:t>
                  </m:r>
                </m:sub>
              </m:sSub>
            </m:oMath>
            <w:r>
              <w:t>（≥100）</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&gt;150</m:t>
              </m:r>
            </m:oMath>
          </w:p>
        </w:tc>
        <w:tc>
          <w:tcPr>
            <w:tcW w:type="dxa" w:w="4819"/>
            <w:vAlign w:val="center"/>
            <w:tcMar>
              <w:top w:w="60" w:type="dxa"/>
              <w:left w:w="100" w:type="dxa"/>
              <w:bottom w:w="60" w:type="dxa"/>
              <w:right w:w="100" w:type="dxa"/>
            </w:tcMar>
          </w:tcPr>
          <w:p>
            <w:pPr>
              <w:pStyle w:val="afffffffff9"/>
              <w:jc w:val="left"/>
            </w:pPr>
            <w:r/>
            <w:r>
              <w:t>40、80、120</w:t>
            </w:r>
          </w:p>
        </w:tc>
      </w:tr>
      <w:tr>
        <w:tc>
          <w:tcPr>
            <w:tcW w:type="dxa" w:w="9638"/>
            <w:gridSpan w:val="2"/>
            <w:vAlign w:val="center"/>
            <w:tcMar>
              <w:top w:w="60" w:type="dxa"/>
              <w:left w:w="100" w:type="dxa"/>
              <w:bottom w:w="60" w:type="dxa"/>
              <w:right w:w="100" w:type="dxa"/>
            </w:tcMar>
          </w:tcPr>
          <w:p>
            <w:pPr>
              <w:pStyle w:val="afff2"/>
            </w:pPr>
            <w:r/>
            <w:r>
              <w:t>对于指针式车速表，80%</w:t>
            </w:r>
            <m:oMath>
              <m:sSub>
                <m:e>
                  <m:r>
                    <m:t>v</m:t>
                  </m:r>
                </m:e>
                <m:sub>
                  <m:r>
                    <m:rPr>
                      <m:nor/>
                    </m:rPr>
                    <m:t>max</m:t>
                  </m:r>
                </m:sub>
              </m:sSub>
            </m:oMath>
            <w:r>
              <w:t>计算值若不在分度线上，向上取临近的分度线车速值；若该值超过</w:t>
            </w:r>
            <m:oMath>
              <m:sSub>
                <m:e>
                  <m:r>
                    <m:t>v</m:t>
                  </m:r>
                </m:e>
                <m:sub>
                  <m:r>
                    <m:rPr>
                      <m:nor/>
                    </m:rPr>
                    <m:t>max</m:t>
                  </m:r>
                </m:sub>
              </m:sSub>
            </m:oMath>
            <w:r>
              <w:t>，则向下取临近的分度线车速值。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\r </w:instrText>
      </w:r>
      <w:r>
        <w:fldChar w:fldCharType="separate"/>
      </w:r>
      <w:r>
        <w:t>表?</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\r </w:instrText>
      </w:r>
      <w:r>
        <w:fldChar w:fldCharType="separate"/>
      </w:r>
      <w:r>
        <w:t>表?</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numPr>
          <w:ilvl w:val="0"/>
          <w:numId w:val="6"/>
        </w:numPr>
      </w:pPr>
      <w:r>
        <w:t>车速表型号相同；</w:t>
      </w:r>
    </w:p>
    <w:p>
      <w:pPr>
        <w:pStyle w:val="af1"/>
        <w:numPr>
          <w:ilvl w:val="0"/>
          <w:numId w:val="6"/>
        </w:numPr>
      </w:pPr>
      <w:r>
        <w:t>驱动桥速比在所有选装驱动桥速比的最大值和最小值之间（不适用直接通过轮速传感器获得车速信号的车辆）；</w:t>
      </w:r>
    </w:p>
    <w:p>
      <w:pPr>
        <w:pStyle w:val="af1"/>
        <w:numPr>
          <w:ilvl w:val="0"/>
          <w:numId w:val="6"/>
        </w:numPr>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numPr>
          <w:ilvl w:val="0"/>
          <w:numId w:val="6"/>
        </w:numPr>
      </w:pPr>
      <w:r>
        <w:t>车速表型号相同；</w:t>
      </w:r>
    </w:p>
    <w:p>
      <w:pPr>
        <w:pStyle w:val="af1"/>
        <w:numPr>
          <w:ilvl w:val="0"/>
          <w:numId w:val="6"/>
        </w:numPr>
      </w:pPr>
      <w:r>
        <w:t>车速表驱动装置的总传动比相同；</w:t>
      </w:r>
    </w:p>
    <w:p>
      <w:pPr>
        <w:pStyle w:val="af1"/>
        <w:numPr>
          <w:ilvl w:val="0"/>
          <w:numId w:val="6"/>
        </w:numPr>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 w:numId="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