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01.120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A00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T/DEMO 004-2026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表格合并与边框颗粒度示例</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Example for table merge and border granularity</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2026-06-08发布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2026-07-01实施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示例标准化技术委员会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请注意本文件的某些内容可能涉及专利。本文件的发布机构不承担识别专利的责任。</w:t>
      </w:r>
    </w:p>
    <w:p>
      <w:pPr>
        <w:pStyle w:val="56"/>
      </w:pPr>
      <w:r>
        <w:t>本文件由示例标准化技术委员会提出并归口。</w:t>
      </w:r>
    </w:p>
    <w:p>
      <w:pPr>
        <w:pStyle w:val="56"/>
      </w:pPr>
      <w:r>
        <w:t>本文件起草单位：示例标准化研究中心。</w:t>
      </w:r>
    </w:p>
    <w:p>
      <w:pPr>
        <w:pStyle w:val="56"/>
      </w:pPr>
      <w:r>
        <w:t>本文件主要起草人：张三。</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表格合并与边框颗粒度示例</w:t>
      </w:r>
    </w:p>
    <w:p>
      <w:pPr>
        <w:pStyle w:val="104"/>
      </w:pPr>
      <w:r>
        <w:t>范围</w:t>
      </w:r>
    </w:p>
    <w:p>
      <w:pPr>
        <w:pStyle w:val="56"/>
      </w:pPr>
      <w:r>
        <w:t>本文件展示 HTML 表格中 rowspan、colspan、空单元格、“同上”和边框属性的生成效果。</w:t>
      </w:r>
    </w:p>
    <w:p>
      <w:pPr>
        <w:pStyle w:val="104"/>
      </w:pPr>
      <w:r>
        <w:t>表格合并与边框</w:t>
      </w:r>
    </w:p>
    <w:p>
      <w:pPr>
        <w:pStyle w:val="181"/>
      </w:pPr>
    </w:p>
    <w:p>
      <w:pPr>
        <w:pStyle w:val="182"/>
      </w:pPr>
      <w:r>
        <w:t>第一段示例内容说明表格中存在纵向合并、横向合并、空单元格和“同上”文本。</w:t>
      </w:r>
    </w:p>
    <w:p>
      <w:pPr>
        <w:pStyle w:val="112"/>
        <w:numPr>
          <w:ilvl w:val="0"/>
          <w:numId w:val="16"/>
        </w:numPr>
      </w:pPr>
      <w:r>
        <w:t xml:space="preserve">　</w:t>
      </w:r>
      <w:bookmarkStart w:id="1000" w:name="_Ref926817369"/>
      <w:bookmarkStart w:id="1001" w:name="_Ref513094573"/>
      <w:bookmarkStart w:id="1002" w:name="_Ref112259456"/>
      <w:bookmarkStart w:id="1003" w:name="_Ref696377594"/>
      <w:r>
        <w:t>合并和边框示例</w:t>
      </w:r>
      <w:bookmarkEnd w:id="1000"/>
      <w:bookmarkEnd w:id="1001"/>
      <w:bookmarkEnd w:id="1002"/>
      <w:bookmarkEnd w:id="1003"/>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Merge w:val="restart"/>
            <w:vAlign w:val="center"/>
            <w:tcMar>
              <w:top w:w="60" w:type="dxa"/>
              <w:left w:w="100" w:type="dxa"/>
              <w:bottom w:w="60" w:type="dxa"/>
              <w:right w:w="100" w:type="dxa"/>
            </w:tcMar>
            <w:tcBorders>
              <w:right w:val="single" w:sz="8" w:space="0" w:color="000000"/>
            </w:tcBorders>
          </w:tcPr>
          <w:p>
            <w:pPr>
              <w:pStyle w:val="178"/>
              <w:jc w:val="center"/>
            </w:pPr>
            <w:r/>
            <w:r>
              <w:t>类别</w:t>
            </w:r>
          </w:p>
        </w:tc>
        <w:tc>
          <w:tcPr>
            <w:tcW w:type="dxa" w:w="4818"/>
            <w:gridSpan w:val="2"/>
            <w:vAlign w:val="center"/>
            <w:tcMar>
              <w:top w:w="60" w:type="dxa"/>
              <w:left w:w="100" w:type="dxa"/>
              <w:bottom w:w="60" w:type="dxa"/>
              <w:right w:w="100" w:type="dxa"/>
            </w:tcMar>
          </w:tcPr>
          <w:p>
            <w:pPr>
              <w:pStyle w:val="178"/>
              <w:jc w:val="center"/>
            </w:pPr>
            <w:r/>
            <w:r>
              <w:t>指标</w:t>
            </w:r>
          </w:p>
        </w:tc>
        <w:tc>
          <w:tcPr>
            <w:tcW w:type="dxa" w:w="2409"/>
            <w:vMerge w:val="restart"/>
            <w:vAlign w:val="center"/>
            <w:tcMar>
              <w:top w:w="60" w:type="dxa"/>
              <w:left w:w="100" w:type="dxa"/>
              <w:bottom w:w="60" w:type="dxa"/>
              <w:right w:w="100" w:type="dxa"/>
            </w:tcMar>
          </w:tcPr>
          <w:p>
            <w:pPr>
              <w:pStyle w:val="178"/>
              <w:jc w:val="center"/>
            </w:pPr>
            <w:r/>
            <w:r>
              <w:t>说明</w:t>
            </w:r>
          </w:p>
        </w:tc>
      </w:tr>
      <w:tr>
        <w:tc>
          <w:tcPr>
            <w:tcW w:type="dxa" w:w="2409"/>
            <w:vMerge/>
          </w:tcPr>
          <w:p/>
        </w:tc>
        <w:tc>
          <w:tcPr>
            <w:tcW w:type="dxa" w:w="2409"/>
            <w:vAlign w:val="center"/>
            <w:tcMar>
              <w:top w:w="60" w:type="dxa"/>
              <w:left w:w="100" w:type="dxa"/>
              <w:bottom w:w="60" w:type="dxa"/>
              <w:right w:w="100" w:type="dxa"/>
            </w:tcMar>
          </w:tcPr>
          <w:p>
            <w:pPr>
              <w:pStyle w:val="178"/>
              <w:jc w:val="center"/>
            </w:pPr>
            <w:r/>
            <w:r>
              <w:t>值</w:t>
            </w:r>
          </w:p>
        </w:tc>
        <w:tc>
          <w:tcPr>
            <w:tcW w:type="dxa" w:w="2409"/>
            <w:vAlign w:val="center"/>
            <w:tcMar>
              <w:top w:w="60" w:type="dxa"/>
              <w:left w:w="100" w:type="dxa"/>
              <w:bottom w:w="60" w:type="dxa"/>
              <w:right w:w="100" w:type="dxa"/>
            </w:tcMar>
            <w:tcBorders>
              <w:bottom w:val="nil" w:sz="0" w:space="0" w:color="000000"/>
            </w:tcBorders>
          </w:tcPr>
          <w:p>
            <w:pPr>
              <w:pStyle w:val="178"/>
              <w:jc w:val="center"/>
            </w:pPr>
            <w:r/>
            <w:r>
              <w:t>备注</w:t>
            </w:r>
          </w:p>
        </w:tc>
        <w:tc>
          <w:tcPr>
            <w:tcW w:type="dxa" w:w="2409"/>
            <w:vMerge/>
          </w:tcPr>
          <w:p/>
        </w:tc>
      </w:tr>
      <w:tr>
        <w:tc>
          <w:tcPr>
            <w:tcW w:type="dxa" w:w="2409"/>
            <w:vMerge w:val="restart"/>
            <w:vAlign w:val="center"/>
            <w:tcMar>
              <w:top w:w="60" w:type="dxa"/>
              <w:left w:w="100" w:type="dxa"/>
              <w:bottom w:w="60" w:type="dxa"/>
              <w:right w:w="100" w:type="dxa"/>
            </w:tcMar>
          </w:tcPr>
          <w:p>
            <w:pPr>
              <w:pStyle w:val="178"/>
              <w:jc w:val="center"/>
            </w:pPr>
            <w:r/>
            <w:r>
              <w:t>一类</w:t>
            </w:r>
          </w:p>
        </w:tc>
        <w:tc>
          <w:tcPr>
            <w:tcW w:type="dxa" w:w="2409"/>
            <w:vAlign w:val="center"/>
            <w:tcMar>
              <w:top w:w="60" w:type="dxa"/>
              <w:left w:w="100" w:type="dxa"/>
              <w:bottom w:w="60" w:type="dxa"/>
              <w:right w:w="100" w:type="dxa"/>
            </w:tcMar>
          </w:tcPr>
          <w:p>
            <w:pPr>
              <w:pStyle w:val="178"/>
              <w:jc w:val="center"/>
            </w:pPr>
            <w:r/>
            <w:r>
              <w:t>100</w:t>
            </w:r>
          </w:p>
        </w:tc>
        <w:tc>
          <w:tcPr>
            <w:tcW w:type="dxa" w:w="2409"/>
            <w:vAlign w:val="center"/>
            <w:tcMar>
              <w:top w:w="60" w:type="dxa"/>
              <w:left w:w="100" w:type="dxa"/>
              <w:bottom w:w="60" w:type="dxa"/>
              <w:right w:w="100" w:type="dxa"/>
            </w:tcMar>
          </w:tcPr>
          <w:p>
            <w:pPr>
              <w:pStyle w:val="178"/>
              <w:jc w:val="center"/>
            </w:pPr>
            <w:r/>
          </w:p>
        </w:tc>
        <w:tc>
          <w:tcPr>
            <w:tcW w:type="dxa" w:w="2409"/>
            <w:vAlign w:val="center"/>
            <w:tcMar>
              <w:top w:w="60" w:type="dxa"/>
              <w:left w:w="100" w:type="dxa"/>
              <w:bottom w:w="60" w:type="dxa"/>
              <w:right w:w="100" w:type="dxa"/>
            </w:tcMar>
          </w:tcPr>
          <w:p>
            <w:pPr>
              <w:pStyle w:val="178"/>
              <w:jc w:val="left"/>
            </w:pPr>
            <w:r/>
            <w:r>
              <w:t>首次给出。</w:t>
            </w:r>
          </w:p>
        </w:tc>
      </w:tr>
      <w:tr>
        <w:tc>
          <w:tcPr>
            <w:tcW w:type="dxa" w:w="2409"/>
            <w:vMerge/>
          </w:tcPr>
          <w:p/>
        </w:tc>
        <w:tc>
          <w:tcPr>
            <w:tcW w:type="dxa" w:w="2409"/>
            <w:vAlign w:val="center"/>
            <w:tcMar>
              <w:top w:w="60" w:type="dxa"/>
              <w:left w:w="100" w:type="dxa"/>
              <w:bottom w:w="60" w:type="dxa"/>
              <w:right w:w="100" w:type="dxa"/>
            </w:tcMar>
          </w:tcPr>
          <w:p>
            <w:pPr>
              <w:pStyle w:val="178"/>
              <w:jc w:val="center"/>
            </w:pPr>
            <w:r/>
            <w:r>
              <w:t>同上</w:t>
            </w:r>
          </w:p>
        </w:tc>
        <w:tc>
          <w:tcPr>
            <w:tcW w:type="dxa" w:w="2409"/>
            <w:vAlign w:val="center"/>
            <w:tcMar>
              <w:top w:w="60" w:type="dxa"/>
              <w:left w:w="100" w:type="dxa"/>
              <w:bottom w:w="60" w:type="dxa"/>
              <w:right w:w="100" w:type="dxa"/>
            </w:tcMar>
            <w:tcBorders>
              <w:left w:val="single" w:sz="8" w:space="0" w:color="000000"/>
            </w:tcBorders>
          </w:tcPr>
          <w:p>
            <w:pPr>
              <w:pStyle w:val="178"/>
              <w:jc w:val="center"/>
            </w:pPr>
            <w:r/>
            <w:r>
              <w:t>同上</w:t>
            </w:r>
          </w:p>
        </w:tc>
        <w:tc>
          <w:tcPr>
            <w:tcW w:type="dxa" w:w="2409"/>
            <w:vAlign w:val="center"/>
            <w:tcMar>
              <w:top w:w="60" w:type="dxa"/>
              <w:left w:w="100" w:type="dxa"/>
              <w:bottom w:w="60" w:type="dxa"/>
              <w:right w:w="100" w:type="dxa"/>
            </w:tcMar>
          </w:tcPr>
          <w:p>
            <w:pPr>
              <w:pStyle w:val="178"/>
              <w:jc w:val="left"/>
            </w:pPr>
            <w:r/>
            <w:r>
              <w:t>保持上一行说明。</w:t>
            </w:r>
          </w:p>
        </w:tc>
      </w:tr>
    </w:tbl>
    <w:p>
      <w:pPr>
        <w:pStyle w:val="182"/>
      </w:pPr>
      <w:r>
        <w:t>第二段示例内容用于验证结束标记前的普通段落会继续使用示例内容样式。</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