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W w:w="9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09"/>
        <w:gridCol w:w="8855"/>
      </w:tblGrid>
      <w:tr w14:paraId="6C845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9" w:type="dxa"/>
          </w:tcPr>
          <w:p w14:paraId="3F45FA36">
            <w:pPr>
              <w:pStyle w:val="18"/>
              <w:framePr w:wrap="notBeside" w:vAnchor="page" w:hAnchor="page" w:x="1372" w:y="568"/>
              <w:tabs>
                <w:tab w:val="clear" w:pos="4153"/>
                <w:tab w:val="clear" w:pos="8306"/>
              </w:tabs>
              <w:spacing w:line="240" w:lineRule="auto"/>
              <w:jc w:val="left"/>
              <w:rPr>
                <w:rFonts w:ascii="黑体" w:hAnsi="黑体" w:eastAsia="黑体"/>
                <w:sz w:val="21"/>
                <w:szCs w:val="21"/>
              </w:rPr>
            </w:pPr>
            <w:r>
              <w:rPr>
                <w:rFonts w:ascii="Times New Roman" w:hAnsi="Times New Roman" w:eastAsia="黑体"/>
                <w:sz w:val="21"/>
                <w:szCs w:val="21"/>
              </w:rPr>
              <w:t>ICS</w:t>
            </w:r>
            <w:r>
              <w:rPr>
                <w:rFonts w:ascii="黑体" w:hAnsi="黑体" w:eastAsia="黑体"/>
                <w:sz w:val="21"/>
                <w:szCs w:val="21"/>
              </w:rPr>
              <w:t xml:space="preserve">  </w:t>
            </w:r>
          </w:p>
        </w:tc>
        <w:tc>
          <w:tcPr>
            <w:tcW w:w="8855" w:type="dxa"/>
          </w:tcPr>
          <w:p w14:paraId="7A9CCD7E">
            <w:pPr>
              <w:pStyle w:val="18"/>
              <w:framePr w:wrap="notBeside" w:vAnchor="page" w:hAnchor="page" w:x="1372" w:y="568"/>
              <w:tabs>
                <w:tab w:val="clear" w:pos="4153"/>
                <w:tab w:val="clear" w:pos="8306"/>
              </w:tabs>
              <w:spacing w:line="240" w:lineRule="auto"/>
              <w:jc w:val="both"/>
              <w:rPr>
                <w:rFonts w:ascii="黑体" w:hAnsi="黑体" w:eastAsia="黑体"/>
                <w:sz w:val="21"/>
                <w:szCs w:val="21"/>
              </w:rPr>
            </w:pPr>
            <w:r>
              <w:rPr>
                <w:rFonts w:ascii="黑体" w:hAnsi="黑体" w:eastAsia="黑体"/>
                <w:sz w:val="21"/>
                <w:szCs w:val="21"/>
              </w:rPr>
              <w:t>27.010</w:t>
            </w:r>
            <w:bookmarkStart w:id="0" w:name="ICS"/>
            <w:bookmarkEnd w:id="0"/>
          </w:p>
        </w:tc>
      </w:tr>
      <w:tr w14:paraId="3BE32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9" w:type="dxa"/>
          </w:tcPr>
          <w:p w14:paraId="2D5DD216">
            <w:pPr>
              <w:pStyle w:val="18"/>
              <w:framePr w:wrap="notBeside" w:vAnchor="page" w:hAnchor="page" w:x="1372" w:y="568"/>
              <w:tabs>
                <w:tab w:val="clear" w:pos="4153"/>
                <w:tab w:val="clear" w:pos="8306"/>
              </w:tabs>
              <w:spacing w:before="40" w:line="240" w:lineRule="auto"/>
              <w:jc w:val="left"/>
              <w:rPr>
                <w:rFonts w:ascii="黑体" w:hAnsi="黑体" w:eastAsia="黑体"/>
                <w:sz w:val="21"/>
                <w:szCs w:val="21"/>
              </w:rPr>
            </w:pPr>
            <w:r>
              <w:rPr>
                <w:rFonts w:ascii="Times New Roman" w:hAnsi="Times New Roman" w:eastAsia="黑体"/>
                <w:sz w:val="21"/>
                <w:szCs w:val="21"/>
              </w:rPr>
              <w:t xml:space="preserve">CCS </w:t>
            </w:r>
            <w:r>
              <w:rPr>
                <w:rFonts w:ascii="黑体" w:hAnsi="黑体" w:eastAsia="黑体"/>
                <w:sz w:val="21"/>
                <w:szCs w:val="21"/>
              </w:rPr>
              <w:t xml:space="preserve"> </w:t>
            </w:r>
          </w:p>
        </w:tc>
        <w:tc>
          <w:tcPr>
            <w:tcW w:w="8855" w:type="dxa"/>
          </w:tcPr>
          <w:tbl>
            <w:tblPr>
              <w:tblStyle w:val="27"/>
              <w:tblpPr w:vertAnchor="page" w:horzAnchor="margin" w:tblpX="1" w:tblpY="341"/>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0" w:type="dxa"/>
                <w:bottom w:w="0" w:type="dxa"/>
                <w:right w:w="113" w:type="dxa"/>
              </w:tblCellMar>
            </w:tblPr>
            <w:tblGrid>
              <w:gridCol w:w="9242"/>
            </w:tblGrid>
            <w:tr w14:paraId="66478F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113" w:type="dxa"/>
                </w:tblCellMar>
              </w:tblPrEx>
              <w:trPr>
                <w:trHeight w:val="1021" w:hRule="exact"/>
              </w:trPr>
              <w:tc>
                <w:tcPr>
                  <w:tcW w:w="9242" w:type="dxa"/>
                  <w:vAlign w:val="center"/>
                </w:tcPr>
                <w:p w14:paraId="03517023">
                  <w:pPr>
                    <w:pStyle w:val="49"/>
                    <w:framePr w:wrap="notBeside" w:vAnchor="page" w:hAnchor="page" w:x="1372" w:y="568"/>
                    <w:ind w:left="420" w:right="624"/>
                    <w:rPr>
                      <w:rFonts w:ascii="宋体" w:hAnsi="宋体"/>
                      <w:sz w:val="28"/>
                      <w:szCs w:val="28"/>
                    </w:rPr>
                  </w:pPr>
                  <w:r>
                    <w:rPr>
                      <w:sz w:val="21"/>
                      <w:szCs w:val="21"/>
                    </w:rPr>
                    <w:t xml:space="preserve"> </w:t>
                  </w:r>
                </w:p>
              </w:tc>
            </w:tr>
          </w:tbl>
          <w:p w14:paraId="625A43AD">
            <w:pPr>
              <w:pStyle w:val="18"/>
              <w:framePr w:wrap="notBeside" w:vAnchor="page" w:hAnchor="page" w:x="1372" w:y="568"/>
              <w:tabs>
                <w:tab w:val="clear" w:pos="4153"/>
                <w:tab w:val="clear" w:pos="8306"/>
              </w:tabs>
              <w:spacing w:before="40" w:line="240" w:lineRule="auto"/>
              <w:jc w:val="left"/>
              <w:rPr>
                <w:rFonts w:ascii="黑体" w:hAnsi="黑体" w:eastAsia="黑体"/>
                <w:sz w:val="21"/>
                <w:szCs w:val="21"/>
              </w:rPr>
            </w:pPr>
            <w:r>
              <w:rPr>
                <w:rFonts w:ascii="黑体" w:hAnsi="黑体" w:eastAsia="黑体"/>
                <w:sz w:val="21"/>
                <w:szCs w:val="21"/>
              </w:rPr>
              <w:t>D10</w:t>
            </w:r>
            <w:bookmarkStart w:id="1" w:name="CSDN"/>
            <w:bookmarkEnd w:id="1"/>
          </w:p>
        </w:tc>
      </w:tr>
    </w:tbl>
    <w:p w14:paraId="14E5245E">
      <w:pPr>
        <w:pStyle w:val="50"/>
        <w:framePr w:w="9639" w:h="624" w:hRule="exact" w:hSpace="181" w:vSpace="181" w:wrap="around" w:hAnchor="page" w:x="1305" w:y="2269"/>
        <w:rPr>
          <w:rFonts w:ascii="黑体" w:hAnsi="黑体" w:eastAsia="黑体"/>
          <w:b w:val="0"/>
          <w:bCs w:val="0"/>
          <w:w w:val="100"/>
          <w:sz w:val="48"/>
          <w:szCs w:val="48"/>
        </w:rPr>
      </w:pPr>
      <w:bookmarkStart w:id="2" w:name="_Hlk26473981"/>
      <w:r>
        <w:rPr>
          <w:rFonts w:hint="eastAsia" w:ascii="黑体" w:eastAsia="黑体"/>
          <w:b w:val="0"/>
          <w:w w:val="100"/>
          <w:sz w:val="48"/>
        </w:rPr>
        <w:t>团体标准</w:t>
      </w:r>
    </w:p>
    <w:bookmarkEnd w:id="2"/>
    <w:p w14:paraId="35B0F142">
      <w:pPr>
        <w:pStyle w:val="195"/>
        <w:framePr/>
      </w:pPr>
      <w:r>
        <w:t>T/XXXX XXX—XXXX</w:t>
      </w:r>
      <w:bookmarkStart w:id="3" w:name="文字1"/>
      <w:bookmarkEnd w:id="3"/>
      <w:bookmarkStart w:id="4" w:name="NSTD_CODE_F"/>
      <w:bookmarkEnd w:id="4"/>
      <w:bookmarkStart w:id="5" w:name="NSTD_CODE_B"/>
      <w:bookmarkEnd w:id="5"/>
    </w:p>
    <w:p w14:paraId="602432E9">
      <w:pPr>
        <w:pStyle w:val="196"/>
        <w:framePr/>
        <w:rPr>
          <w:rFonts w:hAnsi="黑体"/>
        </w:rPr>
      </w:pPr>
      <w:r>
        <w:rPr>
          <w:rFonts w:hAnsi="黑体"/>
        </w:rPr>
        <w:fldChar w:fldCharType="begin">
          <w:ffData>
            <w:name w:val="OSTD_CODE"/>
            <w:enabled/>
            <w:calcOnExit w:val="0"/>
            <w:textInput/>
          </w:ffData>
        </w:fldChar>
      </w:r>
      <w:bookmarkStart w:id="6" w:name="OSTD_CODE"/>
      <w:r>
        <w:rPr>
          <w:rFonts w:hAnsi="黑体"/>
        </w:rPr>
        <w:instrText xml:space="preserve"> FORMTEXT </w:instrText>
      </w:r>
      <w:r>
        <w:rPr>
          <w:rFonts w:hAnsi="黑体"/>
        </w:rPr>
        <w:fldChar w:fldCharType="separate"/>
      </w:r>
      <w:r>
        <w:rPr>
          <w:rFonts w:hAnsi="黑体"/>
        </w:rPr>
        <w:t>     </w:t>
      </w:r>
      <w:r>
        <w:rPr>
          <w:rFonts w:hAnsi="黑体"/>
        </w:rPr>
        <w:fldChar w:fldCharType="end"/>
      </w:r>
      <w:bookmarkEnd w:id="6"/>
    </w:p>
    <w:p w14:paraId="67C20EDA">
      <w:pPr>
        <w:spacing w:line="240" w:lineRule="auto"/>
        <w:rPr>
          <w:rFonts w:ascii="黑体" w:hAnsi="黑体" w:eastAsia="黑体"/>
          <w:kern w:val="0"/>
          <w:sz w:val="10"/>
          <w:szCs w:val="10"/>
        </w:rPr>
      </w:pPr>
      <w:r>
        <w:rPr>
          <w:rFonts w:ascii="黑体" w:hAnsi="黑体" w:eastAsia="黑体"/>
          <w:kern w:val="0"/>
          <w:sz w:val="10"/>
          <w:szCs w:val="10"/>
        </w:rPr>
        <mc:AlternateContent>
          <mc:Choice Requires="wps">
            <w:drawing>
              <wp:anchor distT="0" distB="0" distL="114300" distR="114300" simplePos="0" relativeHeight="251659264" behindDoc="0" locked="0" layoutInCell="1" allowOverlap="0">
                <wp:simplePos x="0" y="0"/>
                <wp:positionH relativeFrom="page">
                  <wp:posOffset>900430</wp:posOffset>
                </wp:positionH>
                <wp:positionV relativeFrom="page">
                  <wp:posOffset>2700655</wp:posOffset>
                </wp:positionV>
                <wp:extent cx="6120130" cy="0"/>
                <wp:effectExtent l="0" t="0" r="0" b="0"/>
                <wp:wrapNone/>
                <wp:docPr id="73" name="直接连接符 73"/>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9pt;margin-top:212.65pt;height:0pt;width:481.9pt;mso-position-horizontal-relative:page;mso-position-vertical-relative:page;z-index:251659264;mso-width-relative:page;mso-height-relative:page;" filled="f" stroked="t" coordsize="21600,21600" o:allowoverlap="f" o:gfxdata="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ng0mW2AAA&#10;AAwBAAAPAAAAAAAAAAEAIAAAACIAAABkcnMvZG93bnJldi54bWxQSwECFAAUAAAACACHTuJAu+DK&#10;ZuUBAACsAwAADgAAAAAAAAABACAAAAAnAQAAZHJzL2Uyb0RvYy54bWxQSwUGAAAAAAYABgBZAQAA&#10;fgUAAAAA&#10;">
                <v:fill on="f" focussize="0,0"/>
                <v:stroke color="#000000" joinstyle="round"/>
                <v:imagedata o:title=""/>
                <o:lock v:ext="edit" aspectratio="f"/>
              </v:line>
            </w:pict>
          </mc:Fallback>
        </mc:AlternateContent>
      </w:r>
    </w:p>
    <w:p w14:paraId="1AC0A4DA">
      <w:pPr>
        <w:pStyle w:val="50"/>
        <w:framePr w:w="9639" w:h="6976" w:hRule="exact" w:hSpace="0" w:vSpace="0" w:wrap="around" w:hAnchor="page" w:y="6408"/>
        <w:jc w:val="center"/>
        <w:rPr>
          <w:rFonts w:ascii="黑体" w:hAnsi="黑体" w:eastAsia="黑体"/>
          <w:b w:val="0"/>
          <w:bCs w:val="0"/>
          <w:w w:val="100"/>
        </w:rPr>
      </w:pPr>
    </w:p>
    <w:p w14:paraId="6B8108FF">
      <w:pPr>
        <w:pStyle w:val="197"/>
        <w:framePr w:h="6974" w:hRule="exact" w:wrap="around" w:x="1419" w:anchorLock="1"/>
      </w:pPr>
      <w:r>
        <w:t>地热温泉资源开发利用规范</w:t>
      </w:r>
      <w:bookmarkStart w:id="7" w:name="CSTD_NAME"/>
      <w:bookmarkEnd w:id="7"/>
    </w:p>
    <w:p w14:paraId="50431B9E">
      <w:pPr>
        <w:framePr w:w="9639" w:h="6974" w:hRule="exact" w:wrap="around" w:vAnchor="page" w:hAnchor="page" w:x="1419" w:y="6408" w:anchorLock="1"/>
        <w:ind w:left="-1418"/>
      </w:pPr>
    </w:p>
    <w:p w14:paraId="39875557">
      <w:pPr>
        <w:pStyle w:val="125"/>
        <w:framePr w:w="9639" w:h="6974" w:hRule="exact" w:wrap="around" w:vAnchor="page" w:hAnchor="page" w:x="1419" w:y="6408" w:anchorLock="1"/>
        <w:textAlignment w:val="bottom"/>
        <w:rPr>
          <w:rFonts w:eastAsia="黑体"/>
          <w:szCs w:val="28"/>
        </w:rPr>
      </w:pPr>
      <w:r>
        <w:rPr>
          <w:rFonts w:eastAsia="黑体"/>
          <w:szCs w:val="28"/>
        </w:rPr>
        <w:t>Specification for Development and Utilization of Geothermal Hot Spring Resources</w:t>
      </w:r>
      <w:bookmarkStart w:id="8" w:name="ESTD_NAME"/>
      <w:bookmarkEnd w:id="8"/>
    </w:p>
    <w:p w14:paraId="17E1B563">
      <w:pPr>
        <w:framePr w:w="9639" w:h="6974" w:hRule="exact" w:wrap="around" w:vAnchor="page" w:hAnchor="page" w:x="1419" w:y="6408" w:anchorLock="1"/>
        <w:spacing w:line="760" w:lineRule="exact"/>
        <w:ind w:left="-1418"/>
      </w:pPr>
    </w:p>
    <w:p w14:paraId="48F85515">
      <w:pPr>
        <w:pStyle w:val="125"/>
        <w:framePr w:w="9639" w:h="6974" w:hRule="exact" w:wrap="around" w:vAnchor="page" w:hAnchor="page" w:x="1419" w:y="6408" w:anchorLock="1"/>
        <w:textAlignment w:val="bottom"/>
        <w:rPr>
          <w:rFonts w:eastAsia="黑体"/>
          <w:szCs w:val="28"/>
        </w:rPr>
      </w:pPr>
    </w:p>
    <w:p w14:paraId="79E4D05B">
      <w:pPr>
        <w:pStyle w:val="125"/>
        <w:framePr w:w="9639" w:h="6974" w:hRule="exact" w:wrap="around" w:vAnchor="page" w:hAnchor="page" w:x="1419" w:y="6408" w:anchorLock="1"/>
        <w:spacing w:before="440" w:after="160"/>
        <w:textAlignment w:val="bottom"/>
        <w:rPr>
          <w:sz w:val="24"/>
          <w:szCs w:val="28"/>
        </w:rPr>
      </w:pPr>
      <w:r>
        <w:rPr>
          <w:sz w:val="24"/>
          <w:szCs w:val="28"/>
        </w:rPr>
        <w:fldChar w:fldCharType="begin">
          <w:ffData>
            <w:name w:val="下拉1"/>
            <w:enabled/>
            <w:calcOnExit w:val="0"/>
            <w:ddList>
              <w:result w:val="1"/>
              <w:listEntry w:val=" "/>
              <w:listEntry w:val="草案版次选择"/>
              <w:listEntry w:val="（工作组讨论稿）"/>
              <w:listEntry w:val="（征求意见稿）"/>
              <w:listEntry w:val="（送审讨论稿）"/>
              <w:listEntry w:val="（送审稿）"/>
              <w:listEntry w:val="（报批稿）"/>
            </w:ddList>
          </w:ffData>
        </w:fldChar>
      </w:r>
      <w:bookmarkStart w:id="9" w:name="下拉1"/>
      <w:r>
        <w:rPr>
          <w:sz w:val="24"/>
          <w:szCs w:val="28"/>
        </w:rPr>
        <w:instrText xml:space="preserve"> FORMDROPDOWN </w:instrText>
      </w:r>
      <w:r>
        <w:rPr>
          <w:sz w:val="24"/>
          <w:szCs w:val="28"/>
        </w:rPr>
        <w:fldChar w:fldCharType="separate"/>
      </w:r>
      <w:r>
        <w:rPr>
          <w:sz w:val="24"/>
          <w:szCs w:val="28"/>
        </w:rPr>
        <w:fldChar w:fldCharType="end"/>
      </w:r>
      <w:bookmarkEnd w:id="9"/>
    </w:p>
    <w:p w14:paraId="5A1A2912">
      <w:pPr>
        <w:pStyle w:val="125"/>
        <w:framePr w:w="9639" w:h="6974" w:hRule="exact" w:wrap="around" w:vAnchor="page" w:hAnchor="page" w:x="1419" w:y="6408" w:anchorLock="1"/>
        <w:spacing w:before="180" w:line="240" w:lineRule="atLeast"/>
        <w:textAlignment w:val="bottom"/>
        <w:rPr>
          <w:sz w:val="21"/>
          <w:szCs w:val="28"/>
        </w:rPr>
      </w:pPr>
      <w:r>
        <w:rPr>
          <w:sz w:val="21"/>
          <w:szCs w:val="28"/>
        </w:rPr>
        <w:fldChar w:fldCharType="begin">
          <w:ffData>
            <w:name w:val="CMPLSH_DATE"/>
            <w:enabled/>
            <w:calcOnExit w:val="0"/>
            <w:textInput/>
          </w:ffData>
        </w:fldChar>
      </w:r>
      <w:bookmarkStart w:id="10" w:name="CMPLSH_DATE"/>
      <w:r>
        <w:rPr>
          <w:sz w:val="21"/>
          <w:szCs w:val="28"/>
        </w:rPr>
        <w:instrText xml:space="preserve"> FORMTEXT </w:instrText>
      </w:r>
      <w:r>
        <w:rPr>
          <w:sz w:val="21"/>
          <w:szCs w:val="28"/>
        </w:rPr>
        <w:fldChar w:fldCharType="separate"/>
      </w:r>
      <w:r>
        <w:rPr>
          <w:sz w:val="21"/>
          <w:szCs w:val="28"/>
        </w:rPr>
        <w:t>     </w:t>
      </w:r>
      <w:r>
        <w:rPr>
          <w:sz w:val="21"/>
          <w:szCs w:val="28"/>
        </w:rPr>
        <w:fldChar w:fldCharType="end"/>
      </w:r>
      <w:bookmarkEnd w:id="10"/>
    </w:p>
    <w:p w14:paraId="38A674AD">
      <w:pPr>
        <w:pStyle w:val="125"/>
        <w:framePr w:w="9639" w:h="6974" w:hRule="exact" w:wrap="around" w:vAnchor="page" w:hAnchor="page" w:x="1419" w:y="6408" w:anchorLock="1"/>
        <w:spacing w:before="720" w:beforeLines="300" w:after="72" w:afterLines="30" w:line="240" w:lineRule="auto"/>
        <w:textAlignment w:val="bottom"/>
        <w:rPr>
          <w:b/>
          <w:sz w:val="21"/>
          <w:szCs w:val="28"/>
        </w:rPr>
      </w:pPr>
      <w:r>
        <w:rPr>
          <w:b/>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1" w:name="下拉2"/>
      <w:r>
        <w:rPr>
          <w:b/>
          <w:sz w:val="21"/>
          <w:szCs w:val="28"/>
        </w:rPr>
        <w:instrText xml:space="preserve"> FORMDROPDOWN </w:instrText>
      </w:r>
      <w:r>
        <w:rPr>
          <w:b/>
          <w:sz w:val="21"/>
          <w:szCs w:val="28"/>
        </w:rPr>
        <w:fldChar w:fldCharType="separate"/>
      </w:r>
      <w:r>
        <w:rPr>
          <w:b/>
          <w:sz w:val="21"/>
          <w:szCs w:val="28"/>
        </w:rPr>
        <w:fldChar w:fldCharType="end"/>
      </w:r>
      <w:bookmarkEnd w:id="11"/>
    </w:p>
    <w:p w14:paraId="64D6E238">
      <w:pPr>
        <w:pStyle w:val="193"/>
        <w:framePr w:wrap="around" w:y="14176"/>
      </w:pPr>
      <w:r>
        <w:rPr>
          <w:rFonts w:ascii="黑体"/>
        </w:rPr>
      </w:r>
      <w:bookmarkStart w:id="12" w:name="PLSH_DATE_Y"/>
      <w:bookmarkEnd w:id="12"/>
      <w:bookmarkStart w:id="13" w:name="PLSH_DATE_M"/>
      <w:bookmarkEnd w:id="13"/>
      <w:bookmarkStart w:id="14" w:name="PLSH_DATE_D"/>
      <w:bookmarkEnd w:id="14"/>
    </w:p>
    <w:p w14:paraId="22B1623A">
      <w:pPr>
        <w:pStyle w:val="194"/>
        <w:framePr w:wrap="around" w:y="14176"/>
      </w:pPr>
      <w:r>
        <w:rPr>
          <w:rFonts w:ascii="黑体"/>
        </w:rPr>
      </w:r>
      <w:bookmarkStart w:id="15" w:name="CROT_DATE_Y"/>
      <w:bookmarkEnd w:id="15"/>
      <w:bookmarkStart w:id="16" w:name="CROT_DATE_M"/>
      <w:bookmarkEnd w:id="16"/>
      <w:bookmarkStart w:id="17" w:name="CROT_DATE_D"/>
      <w:bookmarkEnd w:id="17"/>
    </w:p>
    <w:p w14:paraId="0A12036C">
      <w:pPr>
        <w:pStyle w:val="151"/>
        <w:framePr w:h="584" w:hRule="exact" w:hSpace="181" w:vSpace="181" w:wrap="around" w:y="14800"/>
        <w:rPr>
          <w:rFonts w:hAnsi="黑体"/>
        </w:rPr>
      </w:pPr>
      <w:r>
        <w:rPr>
          <w:rFonts w:hAnsi="黑体"/>
          <w:w w:val="100"/>
          <w:sz w:val="28"/>
        </w:rPr>
        <w:t>××地热温泉行业协会</w:t>
      </w:r>
      <w:bookmarkStart w:id="18" w:name="fm"/>
      <w:bookmarkEnd w:id="18"/>
    </w:p>
    <w:p w14:paraId="7019EA1F">
      <w:pPr>
        <w:rPr>
          <w:rFonts w:ascii="宋体" w:hAnsi="宋体"/>
          <w:sz w:val="28"/>
          <w:szCs w:val="28"/>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567" w:right="1134" w:bottom="1134" w:left="1134" w:header="1418" w:footer="1134" w:gutter="284"/>
          <w:cols w:space="425" w:num="1"/>
          <w:titlePg/>
          <w:docGrid w:linePitch="312" w:charSpace="0"/>
        </w:sectPr>
      </w:pPr>
      <w:r>
        <w:rPr>
          <w:rFonts w:hint="eastAsia" w:ascii="宋体" w:hAnsi="宋体"/>
          <w:sz w:val="28"/>
          <w:szCs w:val="28"/>
        </w:rPr>
        <mc:AlternateContent>
          <mc:Choice Requires="wps">
            <w:drawing>
              <wp:anchor distT="0" distB="0" distL="114300" distR="114300" simplePos="0" relativeHeight="251660288" behindDoc="0" locked="1" layoutInCell="1" allowOverlap="1">
                <wp:simplePos x="0" y="0"/>
                <wp:positionH relativeFrom="page">
                  <wp:posOffset>899795</wp:posOffset>
                </wp:positionH>
                <wp:positionV relativeFrom="page">
                  <wp:posOffset>9253220</wp:posOffset>
                </wp:positionV>
                <wp:extent cx="6120130" cy="0"/>
                <wp:effectExtent l="0" t="0" r="0" b="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85pt;margin-top:728.6pt;height:0pt;width:481.9pt;mso-position-horizontal-relative:page;mso-position-vertical-relative:page;z-index:251660288;mso-width-relative:page;mso-height-relative:page;" filled="f" stroked="t" coordsize="21600,21600" o:gfxdata="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rMxz71wAAAA4B&#10;AAAPAAAAAAAAAAEAIAAAACIAAABkcnMvZG93bnJldi54bWxQSwECFAAUAAAACACHTuJAWS4lmOMB&#10;AACqAwAADgAAAAAAAAABACAAAAAmAQAAZHJzL2Uyb0RvYy54bWxQSwUGAAAAAAYABgBZAQAAewUA&#10;AAAA&#10;">
                <v:fill on="f" focussize="0,0"/>
                <v:stroke color="#000000" joinstyle="round"/>
                <v:imagedata o:title=""/>
                <o:lock v:ext="edit" aspectratio="f"/>
                <w10:anchorlock/>
              </v:line>
            </w:pict>
          </mc:Fallback>
        </mc:AlternateContent>
      </w:r>
    </w:p>
    <w:p>
      <w:pPr>
        <w:pStyle w:val="91"/>
      </w:pPr>
      <w:r>
        <w:t>目次</w:t>
      </w:r>
    </w:p>
    <w:p>
      <w:pPr/>
      <w:fldSimple w:instr=" TOC \o &quot;1-3&quot; \h \z \u ">
        <w:r>
          <w:t>右键此处选择"更新域"以生成目次。</w:t>
        </w:r>
      </w:fldSimple>
    </w:p>
    <w:p>
      <w:pPr>
        <w:sectPr>
          <w:type w:val="nextPage"/>
          <w:pgSz w:w="11906" w:h="16838"/>
          <w:pgMar w:top="1928" w:right="1134" w:bottom="1134" w:left="1134" w:header="1418" w:footer="1134" w:gutter="284"/>
          <w:cols w:space="425" w:num="1"/>
          <w:formProt w:val="0"/>
          <w:docGrid w:linePitch="312" w:charSpace="0"/>
        </w:sectPr>
      </w:pPr>
    </w:p>
    <w:p>
      <w:pPr>
        <w:pStyle w:val="89"/>
      </w:pPr>
      <w:r>
        <w:t>前言</w:t>
      </w:r>
    </w:p>
    <w:p>
      <w:pPr>
        <w:pStyle w:val="56"/>
      </w:pPr>
      <w:r>
        <w:t>本文件按照GB/T 1.1—2020《标准化工作导则　第1部分：标准化文件的结构和起草规则》的规定起草。</w:t>
      </w:r>
    </w:p>
    <w:p>
      <w:pPr>
        <w:pStyle w:val="56"/>
      </w:pPr>
      <w:r>
        <w:t>本文件由××地热温泉行业协会提出并归口。</w:t>
      </w:r>
    </w:p>
    <w:p>
      <w:pPr>
        <w:pStyle w:val="56"/>
      </w:pPr>
      <w:r>
        <w:t>本文件起草单位：××地热研究院、××省地质调查院、××大学地球科学学院、××温泉开发有限公司。</w:t>
      </w:r>
    </w:p>
    <w:p>
      <w:pPr>
        <w:pStyle w:val="56"/>
      </w:pPr>
      <w:r>
        <w:t>本文件主要起草人：王瀚锋、谯晨、罗文宇、李鹏辉、袁耀天、薛宇皓、牟俊霖、段君豪。</w:t>
      </w:r>
    </w:p>
    <w:p>
      <w:pPr>
        <w:pStyle w:val="56"/>
      </w:pPr>
      <w:r>
        <w:t>本文件为首次发布。</w:t>
      </w:r>
    </w:p>
    <w:p>
      <w:pPr>
        <w:sectPr>
          <w:type w:val="nextPage"/>
          <w:pgSz w:w="11906" w:h="16838"/>
          <w:pgMar w:top="1928" w:right="1134" w:bottom="1134" w:left="1134" w:header="1418" w:footer="1134" w:gutter="284"/>
          <w:cols w:space="425" w:num="1"/>
          <w:formProt w:val="0"/>
          <w:docGrid w:linePitch="312" w:charSpace="0"/>
        </w:sectPr>
      </w:pPr>
    </w:p>
    <w:p>
      <w:pPr>
        <w:pStyle w:val="89"/>
      </w:pPr>
      <w:r>
        <w:t>引言</w:t>
      </w:r>
    </w:p>
    <w:p>
      <w:pPr>
        <w:pStyle w:val="56"/>
      </w:pPr>
      <w:r>
        <w:t>地热温泉资源是地球内部热能在地表的直接体现，兼具能源、矿产和生态旅游等多重价值。我国地热资源储量丰富，尤以浅中层水热型地热（温泉）分布广泛，在医疗保健、旅游休闲、供暖制冷、农业养殖及工业利用等领域具有广阔的开发前景。</w:t>
      </w:r>
    </w:p>
    <w:p>
      <w:pPr>
        <w:pStyle w:val="56"/>
      </w:pPr>
      <w:r>
        <w:t>当前，国内地热温泉资源开发利用存在评价体系不统一、过度开采导致资源衰减、尾水无序排放污染环境、安全管理缺失等突出问题，迫切需要建立规范化的技术标准体系，统一勘查评价方法、开采技术要求和环境保护措施，推动行业高质量可持续发展。</w:t>
      </w:r>
    </w:p>
    <w:p>
      <w:pPr>
        <w:pStyle w:val="56"/>
      </w:pPr>
      <w:r>
        <w:t>本文件的编制参考了NB/T 11966—2025《浅层地热能规模化开发利用勘查评价规范》、DZ/T 0481—2024《水热型地热资源回灌技术要求》、DZ/T 0482—2024《水热型地热资源开发与保护监测规范》、DZ/T 0225—2024《浅层地热能勘查评价规范》等现行有效标准，吸纳了国内外地热流体化学、同位素示踪及资源评价等领域最新研究成果，力求科学性、实用性与可操作性的统一。</w:t>
      </w:r>
    </w:p>
    <w:p>
      <w:pPr>
        <w:sectPr>
          <w:type w:val="nextPage"/>
          <w:pgSz w:w="11906" w:h="16838"/>
          <w:pgMar w:top="1928" w:right="1134" w:bottom="1134" w:left="1134" w:header="1418" w:footer="1134" w:gutter="284"/>
          <w:cols w:space="425" w:num="1"/>
          <w:formProt w:val="0"/>
          <w:docGrid w:linePitch="312" w:charSpace="0"/>
        </w:sectPr>
      </w:pPr>
    </w:p>
    <w:p>
      <w:pPr>
        <w:pStyle w:val="177"/>
        <w:jc w:val="center"/>
      </w:pPr>
      <w:r>
        <w:rPr>
          <w:b/>
        </w:rPr>
        <w:t>地热温泉资源开发利用规范</w:t>
      </w:r>
    </w:p>
    <w:p>
      <w:pPr>
        <w:pStyle w:val="104"/>
      </w:pPr>
      <w:r>
        <w:t>范围</w:t>
      </w:r>
    </w:p>
    <w:p>
      <w:pPr>
        <w:pStyle w:val="56"/>
      </w:pPr>
      <w:r>
        <w:t>本文件规定了地热温泉资源开发利用的基本原则、资源勘查与评价、开采技术要求、温泉利用分类与要求、回灌与尾水处理、环境保护与监测以及安全管理等内容。</w:t>
      </w:r>
    </w:p>
    <w:p>
      <w:pPr>
        <w:pStyle w:val="56"/>
      </w:pPr>
      <w:r>
        <w:t>本文件适用于出水温度不低于25 ℃的天然或人工揭露的地热温泉资源的勘查评价、开发建设与运营管理。火山地热区、高温地热发电系统及干热岩（EGS）系统可参照本文件相关条款执行。</w:t>
      </w:r>
    </w:p>
    <w:p>
      <w:pPr>
        <w:pStyle w:val="104"/>
      </w:pPr>
      <w:r>
        <w:t>规范性引用文件</w:t>
      </w:r>
    </w:p>
    <w:p>
      <w:pPr>
        <w:pStyle w:val="56"/>
      </w:pPr>
      <w:r>
        <w:t>下列文件中的内容通过文中的规范性引用而构成本文件必不可少的条款。其中，注日期的引用文件，仅该日期对应的版本适用于本文件；不注日期的引用文件，其最新版本（包括所有的修改单）适用于本文件。</w:t>
      </w:r>
    </w:p>
    <w:p>
      <w:pPr>
        <w:pStyle w:val="56"/>
      </w:pPr>
      <w:bookmarkStart w:id="1000" w:name="Ref_GB5749"/>
      <w:r>
        <w:t>GB 5749</w:t>
      </w:r>
      <w:bookmarkEnd w:id="1000"/>
      <w:r>
        <w:t xml:space="preserve">  生活饮用水卫生标准</w:t>
      </w:r>
    </w:p>
    <w:p>
      <w:pPr>
        <w:pStyle w:val="56"/>
      </w:pPr>
      <w:bookmarkStart w:id="1001" w:name="Ref_GB_T11615"/>
      <w:r>
        <w:t>GB/T 11615</w:t>
      </w:r>
      <w:bookmarkEnd w:id="1001"/>
      <w:r>
        <w:t xml:space="preserve">  地热资源地质勘查规范</w:t>
      </w:r>
    </w:p>
    <w:p>
      <w:pPr>
        <w:pStyle w:val="56"/>
      </w:pPr>
      <w:bookmarkStart w:id="1002" w:name="Ref_GB_T14848"/>
      <w:r>
        <w:t>GB/T 14848</w:t>
      </w:r>
      <w:bookmarkEnd w:id="1002"/>
      <w:r>
        <w:t xml:space="preserve">  地下水质量标准</w:t>
      </w:r>
    </w:p>
    <w:p>
      <w:pPr>
        <w:pStyle w:val="56"/>
      </w:pPr>
      <w:bookmarkStart w:id="1003" w:name="Ref_GB_T19231"/>
      <w:r>
        <w:t>GB/T 19231</w:t>
      </w:r>
      <w:bookmarkEnd w:id="1003"/>
      <w:r>
        <w:t xml:space="preserve">  土地基本术语</w:t>
      </w:r>
    </w:p>
    <w:p>
      <w:pPr>
        <w:pStyle w:val="56"/>
      </w:pPr>
      <w:bookmarkStart w:id="1004" w:name="Ref_GB_T17942"/>
      <w:r>
        <w:t>GB/T 17942</w:t>
      </w:r>
      <w:bookmarkEnd w:id="1004"/>
      <w:r>
        <w:t xml:space="preserve">  国家三角测量规范</w:t>
      </w:r>
    </w:p>
    <w:p>
      <w:pPr>
        <w:pStyle w:val="56"/>
      </w:pPr>
      <w:bookmarkStart w:id="1005" w:name="Ref_GB_T5750_3"/>
      <w:r>
        <w:t>GB/T 5750.3</w:t>
      </w:r>
      <w:bookmarkEnd w:id="1005"/>
      <w:r>
        <w:t xml:space="preserve">  生活饮用水标准检验方法 第3部分：水质分析质量控制</w:t>
      </w:r>
    </w:p>
    <w:p>
      <w:pPr>
        <w:pStyle w:val="56"/>
      </w:pPr>
      <w:bookmarkStart w:id="1006" w:name="Ref_GB_T5750_6"/>
      <w:r>
        <w:t>GB/T 5750.6</w:t>
      </w:r>
      <w:bookmarkEnd w:id="1006"/>
      <w:r>
        <w:t xml:space="preserve">  生活饮用水标准检验方法 第6部分：金属和类金属指标</w:t>
      </w:r>
    </w:p>
    <w:p>
      <w:pPr>
        <w:pStyle w:val="56"/>
      </w:pPr>
      <w:bookmarkStart w:id="1007" w:name="Ref_GB_T5750_12"/>
      <w:r>
        <w:t>GB/T 5750.12</w:t>
      </w:r>
      <w:bookmarkEnd w:id="1007"/>
      <w:r>
        <w:t xml:space="preserve">  生活饮用水标准检验方法 第12部分：微生物指标</w:t>
      </w:r>
    </w:p>
    <w:p>
      <w:pPr>
        <w:pStyle w:val="56"/>
      </w:pPr>
      <w:bookmarkStart w:id="1008" w:name="Ref_DZ_T0225"/>
      <w:r>
        <w:t>DZ/T 0225</w:t>
      </w:r>
      <w:bookmarkEnd w:id="1008"/>
      <w:r>
        <w:t xml:space="preserve">  浅层地热能勘查评价规范</w:t>
      </w:r>
    </w:p>
    <w:p>
      <w:pPr>
        <w:pStyle w:val="56"/>
      </w:pPr>
      <w:bookmarkStart w:id="1009" w:name="Ref_DZ_T0481"/>
      <w:r>
        <w:t>DZ/T 0481</w:t>
      </w:r>
      <w:bookmarkEnd w:id="1009"/>
      <w:r>
        <w:t xml:space="preserve">  水热型地热资源回灌技术要求</w:t>
      </w:r>
    </w:p>
    <w:p>
      <w:pPr>
        <w:pStyle w:val="56"/>
      </w:pPr>
      <w:bookmarkStart w:id="1010" w:name="Ref_DZ_T0482"/>
      <w:r>
        <w:t>DZ/T 0482</w:t>
      </w:r>
      <w:bookmarkEnd w:id="1010"/>
      <w:r>
        <w:t xml:space="preserve">  水热型地热资源开发与保护监测规范</w:t>
      </w:r>
    </w:p>
    <w:p>
      <w:pPr>
        <w:pStyle w:val="56"/>
      </w:pPr>
      <w:bookmarkStart w:id="1011" w:name="Ref_NB_T11966"/>
      <w:r>
        <w:t>NB/T 11966</w:t>
      </w:r>
      <w:bookmarkEnd w:id="1011"/>
      <w:r>
        <w:t xml:space="preserve">  浅层地热能规模化开发利用勘查评价规范</w:t>
      </w:r>
    </w:p>
    <w:p>
      <w:pPr>
        <w:pStyle w:val="104"/>
      </w:pPr>
      <w:r>
        <w:t>术语和定义</w:t>
      </w:r>
    </w:p>
    <w:p>
      <w:pPr>
        <w:pStyle w:val="56"/>
      </w:pPr>
      <w:r>
        <w:t>下列术语和定义适用于本文件。</w:t>
      </w:r>
    </w:p>
    <w:p>
      <w:pPr>
        <w:pStyle w:val="223"/>
        <w:numPr>
          <w:ilvl w:val="2"/>
          <w:numId w:val="2"/>
        </w:numPr>
      </w:pPr>
      <w:r>
        <w:br/>
      </w:r>
      <w:r>
        <w:rPr>
          <w:b/>
        </w:rPr>
        <w:t>地热温泉</w:t>
      </w:r>
      <w:r>
        <w:t xml:space="preserve">　geothermal hot spring</w:t>
      </w:r>
    </w:p>
    <w:p>
      <w:pPr>
        <w:pStyle w:val="56"/>
      </w:pPr>
      <w:r>
        <w:t>由地球内部热源加热，自然出露于地表或经人工钻井揭露，出水温度不低于25 ℃的地下热水，简称“温泉”。</w:t>
      </w:r>
    </w:p>
    <w:p>
      <w:pPr>
        <w:pStyle w:val="223"/>
        <w:numPr>
          <w:ilvl w:val="2"/>
          <w:numId w:val="2"/>
        </w:numPr>
      </w:pPr>
      <w:r>
        <w:br/>
      </w:r>
      <w:r>
        <w:rPr>
          <w:b/>
        </w:rPr>
        <w:t>热储</w:t>
      </w:r>
      <w:r>
        <w:t xml:space="preserve">　geothermal reservoir</w:t>
      </w:r>
    </w:p>
    <w:p>
      <w:pPr>
        <w:pStyle w:val="56"/>
      </w:pPr>
      <w:r>
        <w:t>能够储存和传导地热流体，具有一定孔隙度和渗透率，允许地热流体在其中运移的地层或构造带。</w:t>
      </w:r>
    </w:p>
    <w:p>
      <w:pPr>
        <w:pStyle w:val="223"/>
        <w:numPr>
          <w:ilvl w:val="2"/>
          <w:numId w:val="2"/>
        </w:numPr>
      </w:pPr>
      <w:r>
        <w:br/>
      </w:r>
      <w:r>
        <w:rPr>
          <w:b/>
        </w:rPr>
        <w:t>地热流体</w:t>
      </w:r>
      <w:r>
        <w:t xml:space="preserve">　geothermal fluid</w:t>
      </w:r>
    </w:p>
    <w:p>
      <w:pPr>
        <w:pStyle w:val="56"/>
      </w:pPr>
      <w:r>
        <w:t>赋存于热储层中，携带地热能量并参与水岩相互作用的液相（含汽液混合相）介质，主要成分为热水，可含溶解气体和特殊化学组分。</w:t>
      </w:r>
    </w:p>
    <w:p>
      <w:pPr>
        <w:pStyle w:val="223"/>
        <w:numPr>
          <w:ilvl w:val="2"/>
          <w:numId w:val="2"/>
        </w:numPr>
      </w:pPr>
      <w:r>
        <w:br/>
      </w:r>
      <w:r>
        <w:rPr>
          <w:b/>
        </w:rPr>
        <w:t>温泉水温</w:t>
      </w:r>
      <w:r>
        <w:t xml:space="preserve">　spring water temperature</w:t>
      </w:r>
    </w:p>
    <w:p>
      <w:pPr>
        <w:pStyle w:val="56"/>
      </w:pPr>
      <w:r>
        <w:t>温泉出水口处实测的水体温度，单位为摄氏度（℃）。依据出水温度可划分为：低温温泉（25 ℃≤T&lt;40 ℃）、中温温泉（40 ℃≤T&lt;60 ℃）、高温温泉（T≥60 ℃）。</w:t>
      </w:r>
    </w:p>
    <w:p>
      <w:pPr>
        <w:pStyle w:val="223"/>
        <w:numPr>
          <w:ilvl w:val="2"/>
          <w:numId w:val="2"/>
        </w:numPr>
      </w:pPr>
      <w:r>
        <w:br/>
      </w:r>
      <w:r>
        <w:rPr>
          <w:b/>
        </w:rPr>
        <w:t>允许开采量</w:t>
      </w:r>
      <w:r>
        <w:t xml:space="preserve">　permissible exploitation amount</w:t>
      </w:r>
    </w:p>
    <w:p>
      <w:pPr>
        <w:pStyle w:val="56"/>
      </w:pPr>
      <w:r>
        <w:t>在经济合理、技术可行且不破坏地热储层可持续开采能力的前提下，单位时间内可从热储层采出的最大地热流体量，通常以m³/d表示。</w:t>
      </w:r>
    </w:p>
    <w:p>
      <w:pPr>
        <w:pStyle w:val="223"/>
        <w:numPr>
          <w:ilvl w:val="2"/>
          <w:numId w:val="2"/>
        </w:numPr>
      </w:pPr>
      <w:r>
        <w:br/>
      </w:r>
      <w:r>
        <w:rPr>
          <w:b/>
        </w:rPr>
        <w:t>热储温度</w:t>
      </w:r>
      <w:r>
        <w:t xml:space="preserve">　reservoir temperature</w:t>
      </w:r>
    </w:p>
    <w:p>
      <w:pPr>
        <w:pStyle w:val="56"/>
      </w:pPr>
      <w:r>
        <w:t>热储层中地热流体的原始温度，常采用化学地温计或同位素地温计方法估算。</w:t>
      </w:r>
    </w:p>
    <w:p>
      <w:pPr>
        <w:pStyle w:val="223"/>
        <w:numPr>
          <w:ilvl w:val="2"/>
          <w:numId w:val="2"/>
        </w:numPr>
      </w:pPr>
      <w:r>
        <w:br/>
      </w:r>
      <w:r>
        <w:rPr>
          <w:b/>
        </w:rPr>
        <w:t>地热回灌</w:t>
      </w:r>
      <w:r>
        <w:t xml:space="preserve">　geothermal reinjection</w:t>
      </w:r>
    </w:p>
    <w:p>
      <w:pPr>
        <w:pStyle w:val="56"/>
      </w:pPr>
      <w:r>
        <w:t>将开采后的尾水或外来水经处理后，通过回灌井重新注入地热热储，以维持热储压力、延长资源寿命的技术措施。</w:t>
      </w:r>
    </w:p>
    <w:p>
      <w:pPr>
        <w:pStyle w:val="223"/>
        <w:numPr>
          <w:ilvl w:val="2"/>
          <w:numId w:val="2"/>
        </w:numPr>
      </w:pPr>
      <w:r>
        <w:br/>
      </w:r>
      <w:r>
        <w:rPr>
          <w:b/>
        </w:rPr>
        <w:t>尾水</w:t>
      </w:r>
      <w:r>
        <w:t xml:space="preserve">　spent water</w:t>
      </w:r>
    </w:p>
    <w:p>
      <w:pPr>
        <w:pStyle w:val="56"/>
      </w:pPr>
      <w:r>
        <w:t>地热流体经利用换热或直接使用后排放的废水，温度通常低于原采出水温度。</w:t>
      </w:r>
    </w:p>
    <w:p>
      <w:pPr>
        <w:pStyle w:val="223"/>
        <w:numPr>
          <w:ilvl w:val="2"/>
          <w:numId w:val="2"/>
        </w:numPr>
      </w:pPr>
      <w:r>
        <w:br/>
      </w:r>
      <w:r>
        <w:rPr>
          <w:b/>
        </w:rPr>
        <w:t>水化学类型</w:t>
      </w:r>
      <w:r>
        <w:t xml:space="preserve">　hydrochemical type</w:t>
      </w:r>
    </w:p>
    <w:p>
      <w:pPr>
        <w:pStyle w:val="56"/>
      </w:pPr>
      <w:r>
        <w:t>依据地热流体中主要阴阳离子组成，按Piper图解或Schoeller图解划定的水化学分类，常见类型包括HCO₃-Na型、Cl-Na型、SO₄-Ca型等。</w:t>
      </w:r>
    </w:p>
    <w:p>
      <w:pPr>
        <w:pStyle w:val="223"/>
        <w:numPr>
          <w:ilvl w:val="2"/>
          <w:numId w:val="2"/>
        </w:numPr>
      </w:pPr>
      <w:r>
        <w:br/>
      </w:r>
      <w:r>
        <w:rPr>
          <w:b/>
        </w:rPr>
        <w:t>同位素示踪</w:t>
      </w:r>
      <w:r>
        <w:t xml:space="preserve">　isotope tracing</w:t>
      </w:r>
    </w:p>
    <w:p>
      <w:pPr>
        <w:pStyle w:val="56"/>
      </w:pPr>
      <w:r>
        <w:t>利用稳定同位素（δ²H、δ¹⁸O等）或放射性同位素（³H、¹⁴C等）分析地热流体的补给来源、循环路径及停留时间的方法。</w:t>
      </w:r>
    </w:p>
    <w:p>
      <w:pPr>
        <w:pStyle w:val="104"/>
      </w:pPr>
      <w:r>
        <w:t>基本规定</w:t>
      </w:r>
    </w:p>
    <w:p>
      <w:pPr>
        <w:pStyle w:val="105"/>
      </w:pPr>
      <w:r>
        <w:t>开发利用原则</w:t>
      </w:r>
    </w:p>
    <w:p>
      <w:pPr>
        <w:pStyle w:val="56"/>
      </w:pPr>
      <w:r>
        <w:t>地热温泉资源的开发利用应遵循以下原则：</w:t>
      </w:r>
    </w:p>
    <w:p>
      <w:pPr>
        <w:pStyle w:val="92"/>
      </w:pPr>
      <w:r>
        <w:t>保护优先、适度开发原则：以维持热储可持续开采能力为前提，严格控制年开采量不超过允许开采量；</w:t>
      </w:r>
    </w:p>
    <w:p>
      <w:pPr>
        <w:pStyle w:val="92"/>
      </w:pPr>
      <w:r>
        <w:t>梯级利用原则：根据温泉水温从高到低，依次用于发电或工业加热、供暖、医疗洗浴、农业养殖等，实现能量的梯级利用；</w:t>
      </w:r>
    </w:p>
    <w:p>
      <w:pPr>
        <w:pStyle w:val="92"/>
      </w:pPr>
      <w:r>
        <w:t>回灌补源原则：鼓励同层回灌，回灌量宜不低于开采量的80%，水热型地热田应强制执行回灌；</w:t>
      </w:r>
    </w:p>
    <w:p>
      <w:pPr>
        <w:pStyle w:val="92"/>
      </w:pPr>
      <w:r>
        <w:t>环境保护原则：尾水处理达标后方可排放，防止地面沉降和地下水污染；</w:t>
      </w:r>
    </w:p>
    <w:p>
      <w:pPr>
        <w:pStyle w:val="92"/>
      </w:pPr>
      <w:r>
        <w:t>资源共享原则：统筹规划同一热储的开采井间距和开采强度，避免相互干扰导致资源衰竭。</w:t>
      </w:r>
    </w:p>
    <w:p>
      <w:pPr>
        <w:pStyle w:val="105"/>
      </w:pPr>
      <w:r>
        <w:t>一般规定</w:t>
      </w:r>
    </w:p>
    <w:p>
      <w:pPr>
        <w:pStyle w:val="165"/>
        <w:numPr>
          <w:ilvl w:val="3"/>
          <w:numId w:val="2"/>
        </w:numPr>
      </w:pPr>
      <w:r>
        <w:t>开发地热温泉资源前，应完成地热资源地质勘查，查明热储类型、分布范围、储量及水质特征，并编制资源评价报告。</w:t>
      </w:r>
    </w:p>
    <w:p>
      <w:pPr>
        <w:pStyle w:val="165"/>
        <w:numPr>
          <w:ilvl w:val="3"/>
          <w:numId w:val="2"/>
        </w:numPr>
      </w:pPr>
      <w:r>
        <w:t>地热温泉开采工程应取得相应地热资源开采许可证，严禁无证开采。</w:t>
      </w:r>
    </w:p>
    <w:p>
      <w:pPr>
        <w:pStyle w:val="165"/>
        <w:numPr>
          <w:ilvl w:val="3"/>
          <w:numId w:val="2"/>
        </w:numPr>
      </w:pPr>
      <w:r>
        <w:t>在已划定的地热资源保护区内，禁止新建与地热开发无关的地下工程，限制化学品的地面储存。</w:t>
      </w:r>
    </w:p>
    <w:p>
      <w:pPr>
        <w:pStyle w:val="165"/>
        <w:numPr>
          <w:ilvl w:val="3"/>
          <w:numId w:val="2"/>
        </w:numPr>
      </w:pPr>
      <w:r>
        <w:t>地热温泉开采企业应建立地热流体动态监测制度，监测频率不低于本文件第9章的规定。</w:t>
      </w:r>
    </w:p>
    <w:p>
      <w:pPr>
        <w:pStyle w:val="165"/>
        <w:numPr>
          <w:ilvl w:val="3"/>
          <w:numId w:val="2"/>
        </w:numPr>
      </w:pPr>
      <w:r>
        <w:t>地热资源开发涉及多个相邻开采主体时，应由主管部门统一编制开采区划方案，协调各方权益。</w:t>
      </w:r>
    </w:p>
    <w:p>
      <w:pPr>
        <w:pStyle w:val="105"/>
      </w:pPr>
      <w:r>
        <w:t>开发利用方式</w:t>
      </w:r>
    </w:p>
    <w:p>
      <w:pPr>
        <w:pStyle w:val="56"/>
      </w:pPr>
      <w:r>
        <w:t>地热温泉资源的利用方式宜根据热储温度、水量及水质条件综合确定，主要包括：</w:t>
      </w:r>
    </w:p>
    <w:p>
      <w:pPr>
        <w:pStyle w:val="92"/>
      </w:pPr>
      <w:r>
        <w:t>直接热利用：温泉洗浴、医疗保健、供暖（供冷）、农业养殖及温室种植等；</w:t>
      </w:r>
    </w:p>
    <w:p>
      <w:pPr>
        <w:pStyle w:val="92"/>
      </w:pPr>
      <w:r>
        <w:t>工业利用：干燥、蒸发浓缩、提取特种化学元素（锂、碘、溴等）；</w:t>
      </w:r>
    </w:p>
    <w:p>
      <w:pPr>
        <w:pStyle w:val="92"/>
      </w:pPr>
      <w:r>
        <w:t>地热发电：适用于热储温度高于150 ℃的高温地热田；</w:t>
      </w:r>
    </w:p>
    <w:p>
      <w:pPr>
        <w:pStyle w:val="92"/>
      </w:pPr>
      <w:r>
        <w:t>综合梯级利用：多种利用方式有机结合，提高能源综合利用效率。</w:t>
      </w:r>
    </w:p>
    <w:p>
      <w:pPr>
        <w:pStyle w:val="104"/>
      </w:pPr>
      <w:r>
        <w:t>资源勘查与评价</w:t>
      </w:r>
    </w:p>
    <w:p>
      <w:pPr>
        <w:pStyle w:val="105"/>
      </w:pPr>
      <w:r>
        <w:t>勘查阶段</w:t>
      </w:r>
    </w:p>
    <w:p>
      <w:pPr>
        <w:pStyle w:val="165"/>
        <w:numPr>
          <w:ilvl w:val="3"/>
          <w:numId w:val="2"/>
        </w:numPr>
      </w:pPr>
      <w:r>
        <w:t>地热温泉勘查应按普查、详查、勘探三个阶段依次开展，各阶段工作应符合</w:t>
      </w:r>
      <w:r>
        <w:fldChar w:fldCharType="begin"/>
      </w:r>
      <w:r>
        <w:instrText xml:space="preserve"> REF Ref_GB_T11615 \h </w:instrText>
      </w:r>
      <w:r>
        <w:fldChar w:fldCharType="separate"/>
      </w:r>
      <w:r>
        <w:t>?</w:t>
      </w:r>
      <w:r>
        <w:fldChar w:fldCharType="end"/>
      </w:r>
      <w:r>
        <w:t>的规定。</w:t>
      </w:r>
    </w:p>
    <w:p>
      <w:pPr>
        <w:pStyle w:val="165"/>
        <w:numPr>
          <w:ilvl w:val="3"/>
          <w:numId w:val="2"/>
        </w:numPr>
      </w:pPr>
      <w:r>
        <w:t>普查阶段的主要任务是初步查明区域地热地质背景，圈定地热资源远景区，估算推断资源量。</w:t>
      </w:r>
    </w:p>
    <w:p>
      <w:pPr>
        <w:pStyle w:val="165"/>
        <w:numPr>
          <w:ilvl w:val="3"/>
          <w:numId w:val="2"/>
        </w:numPr>
      </w:pPr>
      <w:r>
        <w:t>详查阶段的主要任务是查明热储的空间分布及物理性质，估算控制资源量，提出勘探开采方案建议。</w:t>
      </w:r>
    </w:p>
    <w:p>
      <w:pPr>
        <w:pStyle w:val="165"/>
        <w:numPr>
          <w:ilvl w:val="3"/>
          <w:numId w:val="2"/>
        </w:numPr>
      </w:pPr>
      <w:r>
        <w:t>勘探阶段的主要任务是详细查明热储特征及其动态变化规律，精确计算探明资源量，为开采设计提供依据。</w:t>
      </w:r>
    </w:p>
    <w:p>
      <w:pPr>
        <w:pStyle w:val="105"/>
      </w:pPr>
      <w:r>
        <w:t>勘查内容</w:t>
      </w:r>
    </w:p>
    <w:p>
      <w:pPr>
        <w:pStyle w:val="56"/>
      </w:pPr>
      <w:r>
        <w:t>勘查工作应重点查明以下内容：</w:t>
      </w:r>
    </w:p>
    <w:p>
      <w:pPr>
        <w:pStyle w:val="92"/>
      </w:pPr>
      <w:r>
        <w:t>热储层的埋深、厚度、岩性组合、孔隙度和渗透率；</w:t>
      </w:r>
    </w:p>
    <w:p>
      <w:pPr>
        <w:pStyle w:val="92"/>
      </w:pPr>
      <w:r>
        <w:t>热储温度和压力特征，以及地温梯度；</w:t>
      </w:r>
    </w:p>
    <w:p>
      <w:pPr>
        <w:pStyle w:val="92"/>
      </w:pPr>
      <w:r>
        <w:t>地热流体水量（自然出露量或单井涌水量）、温度、压力及其随季节的动态变化；</w:t>
      </w:r>
    </w:p>
    <w:p>
      <w:pPr>
        <w:pStyle w:val="92"/>
      </w:pPr>
      <w:r>
        <w:t>地热流体水化学类型及主要离子组成；</w:t>
      </w:r>
    </w:p>
    <w:p>
      <w:pPr>
        <w:pStyle w:val="92"/>
      </w:pPr>
      <w:r>
        <w:t>控热断裂的产状、规模及导热导水性能；</w:t>
      </w:r>
    </w:p>
    <w:p>
      <w:pPr>
        <w:pStyle w:val="92"/>
      </w:pPr>
      <w:r>
        <w:t>地热流体补给来源、补给区范围及补给量。</w:t>
      </w:r>
    </w:p>
    <w:p>
      <w:pPr>
        <w:pStyle w:val="105"/>
      </w:pPr>
      <w:r>
        <w:t>水化学与同位素分析</w:t>
      </w:r>
    </w:p>
    <w:p>
      <w:pPr>
        <w:pStyle w:val="165"/>
        <w:numPr>
          <w:ilvl w:val="3"/>
          <w:numId w:val="2"/>
        </w:numPr>
      </w:pPr>
      <w:r>
        <w:t>地热流体水样的采集、保存、运输及分析应符合DZ/T 0225—2024的相关规定，每个热储勘查点应至少完成一次全分析，检测项目不少于35项。</w:t>
      </w:r>
    </w:p>
    <w:p>
      <w:pPr>
        <w:pStyle w:val="165"/>
        <w:numPr>
          <w:ilvl w:val="3"/>
          <w:numId w:val="2"/>
        </w:numPr>
      </w:pPr>
      <w:r>
        <w:t>应开展δ²H和δ¹⁸O稳定同位素分析，判断地热流体的补给来源（大气降水或深部岩浆水），估算补给高程。</w:t>
      </w:r>
    </w:p>
    <w:p>
      <w:pPr>
        <w:pStyle w:val="165"/>
        <w:numPr>
          <w:ilvl w:val="3"/>
          <w:numId w:val="2"/>
        </w:numPr>
      </w:pPr>
      <w:r>
        <w:t>有条件时应开展氚（³H）、碳-14（¹⁴C）同位素测试，判断地热流体的年龄及更新速率；对可能存在深部幔源或壳源热贡献的地热田，应开展³He/⁴He比值测定。</w:t>
      </w:r>
    </w:p>
    <w:p>
      <w:pPr>
        <w:pStyle w:val="165"/>
        <w:numPr>
          <w:ilvl w:val="3"/>
          <w:numId w:val="2"/>
        </w:numPr>
      </w:pPr>
      <w:r>
        <w:t>宜采用Na-K、Na-K-Ca、K-Mg、SiO₂等多种化学地温计及矿物-溶液平衡图解（M-H图）交叉验证热储温度，估算循环深度时应充分考虑地温梯度的空间变化。</w:t>
      </w:r>
    </w:p>
    <w:p>
      <w:pPr>
        <w:pStyle w:val="105"/>
      </w:pPr>
      <w:r>
        <w:t>热储温度与循环深度估算</w:t>
      </w:r>
    </w:p>
    <w:p>
      <w:pPr>
        <w:pStyle w:val="165"/>
        <w:numPr>
          <w:ilvl w:val="3"/>
          <w:numId w:val="2"/>
        </w:numPr>
      </w:pPr>
      <w:r>
        <w:t>热储温度估算应综合利用化学地温计和同位素地温计，并与实测热储温度或深井测温资料进行校核，误差不应超过±15 ℃。</w:t>
      </w:r>
    </w:p>
    <w:p>
      <w:pPr>
        <w:pStyle w:val="165"/>
        <w:numPr>
          <w:ilvl w:val="3"/>
          <w:numId w:val="2"/>
        </w:numPr>
      </w:pPr>
      <w:r>
        <w:t>热流体循环深度估算宜采用以下公式，按</w:t>
      </w:r>
      <w:hyperlink w:anchor="_Ref772889687" w:history="1">
        <w:r>
          <w:t>式（</w:t>
        </w:r>
        <w:r>
          <w:fldChar w:fldCharType="begin"/>
        </w:r>
        <w:r>
          <w:instrText xml:space="preserve"> REF _Ref670351857 \h </w:instrText>
        </w:r>
        <w:r>
          <w:fldChar w:fldCharType="separate"/>
        </w:r>
        <w:r>
          <w:t>?</w:t>
        </w:r>
        <w:r>
          <w:fldChar w:fldCharType="end"/>
        </w:r>
        <w:r>
          <w:t>）</w:t>
        </w:r>
      </w:hyperlink>
      <w:r>
        <w:t>计算：</w:t>
      </w:r>
    </w:p>
    <w:p>
      <w:pPr>
        <w:rPr>
          <w:vanish/>
        </w:rPr>
      </w:pPr>
      <w:bookmarkStart w:id="1012" w:name="_Ref772889687"/>
      <w:r>
        <w:rPr>
          <w:vanish/>
        </w:rPr>
        <w:t>公式</w:t>
      </w:r>
      <w:r>
        <w:rPr>
          <w:vanish/>
        </w:rPr>
        <w:t xml:space="preserve"> </w:t>
      </w:r>
      <w:r>
        <w:rPr>
          <w:vanish/>
        </w:rPr>
        <w:fldChar w:fldCharType="begin"/>
      </w:r>
      <w:r>
        <w:rPr>
          <w:vanish/>
        </w:rPr>
        <w:instrText xml:space="preserve"> SEQ 公式 \* ARABIC \r 1 </w:instrText>
      </w:r>
      <w:r>
        <w:rPr>
          <w:vanish/>
        </w:rPr>
        <w:fldChar w:fldCharType="separate"/>
      </w:r>
      <w:bookmarkStart w:id="1013" w:name="_Ref670351857"/>
      <w:r>
        <w:rPr>
          <w:vanish/>
        </w:rPr>
        <w:t>1</w:t>
      </w:r>
      <w:r>
        <w:rPr>
          <w:vanish/>
        </w:rPr>
        <w:fldChar w:fldCharType="end"/>
      </w:r>
      <w:bookmarkEnd w:id="1013"/>
      <w:bookmarkEnd w:id="1012"/>
    </w:p>
    <w:p>
      <w:pPr>
        <w:pStyle w:val="113"/>
      </w:pPr>
      <w:r>
        <w:tab/>
      </w:r>
      <m:oMath>
        <m:r>
          <m:t>H=</m:t>
        </m:r>
        <m:f>
          <m:fPr>
            <m:type m:val="bar"/>
          </m:fPr>
          <m:num>
            <m:sSub>
              <m:e>
                <m:r>
                  <m:t>T</m:t>
                </m:r>
              </m:e>
              <m:sub>
                <m:r>
                  <m:t>r</m:t>
                </m:r>
              </m:sub>
            </m:sSub>
            <m:r>
              <m:t>−</m:t>
            </m:r>
            <m:sSub>
              <m:e>
                <m:r>
                  <m:t>T</m:t>
                </m:r>
              </m:e>
              <m:sub>
                <m:r>
                  <m:t>0</m:t>
                </m:r>
              </m:sub>
            </m:sSub>
          </m:num>
          <m:den>
            <m:r>
              <m:t>G</m:t>
            </m:r>
          </m:den>
        </m:f>
        <m:r>
          <m:t>+h</m:t>
        </m:r>
      </m:oMath>
      <w:r>
        <w:tab/>
      </w:r>
      <w:r>
        <w:t>（</w:t>
      </w:r>
      <w:r>
        <w:fldChar w:fldCharType="begin"/>
      </w:r>
      <w:r>
        <w:instrText xml:space="preserve"> REF _Ref670351857 \h </w:instrText>
      </w:r>
      <w:r>
        <w:fldChar w:fldCharType="separate"/>
      </w:r>
      <w:r>
        <w:t>1</w:t>
      </w:r>
      <w:r>
        <w:fldChar w:fldCharType="end"/>
      </w:r>
      <w:r>
        <w:t>）</w:t>
      </w:r>
    </w:p>
    <w:p>
      <w:pPr>
        <w:pStyle w:val="56"/>
      </w:pPr>
      <w:r>
        <w:t>式中：</w:t>
      </w:r>
    </w:p>
    <w:p>
      <w:pPr>
        <w:pStyle w:val="56"/>
      </w:pPr>
      <w:r>
        <w:t>H ——循环深度（m）；</w:t>
      </w:r>
    </w:p>
    <w:p>
      <w:pPr>
        <w:pStyle w:val="56"/>
      </w:pPr>
      <w:r>
        <w:t>Tr ——热储温度（℃）；</w:t>
      </w:r>
    </w:p>
    <w:p>
      <w:pPr>
        <w:pStyle w:val="56"/>
      </w:pPr>
      <w:r>
        <w:t>T0 ——年均地表温度（℃）；</w:t>
      </w:r>
    </w:p>
    <w:p>
      <w:pPr>
        <w:pStyle w:val="56"/>
      </w:pPr>
      <w:r>
        <w:t>G ——地温梯度（℃/100m）；</w:t>
      </w:r>
    </w:p>
    <w:p>
      <w:pPr>
        <w:pStyle w:val="56"/>
      </w:pPr>
      <w:r>
        <w:t>h ——地下水位埋深（m）。</w:t>
      </w:r>
    </w:p>
    <w:p>
      <w:pPr>
        <w:pStyle w:val="165"/>
        <w:numPr>
          <w:ilvl w:val="3"/>
          <w:numId w:val="2"/>
        </w:numPr>
      </w:pPr>
      <w:r>
        <w:t>循环深度估算结果应与地质剖面、钻孔资料相互印证，并评估深部热源类型（地壳放射性热、地幔热流等）对热储温度的贡献。</w:t>
      </w:r>
    </w:p>
    <w:p>
      <w:pPr>
        <w:pStyle w:val="105"/>
      </w:pPr>
      <w:r>
        <w:t>资源量评价</w:t>
      </w:r>
    </w:p>
    <w:p>
      <w:pPr>
        <w:pStyle w:val="165"/>
        <w:numPr>
          <w:ilvl w:val="3"/>
          <w:numId w:val="2"/>
        </w:numPr>
      </w:pPr>
      <w:r>
        <w:t>地热流体允许开采量应采用地下水动力学法、热储法或开采试验法综合确定。</w:t>
      </w:r>
    </w:p>
    <w:p>
      <w:pPr>
        <w:pStyle w:val="165"/>
        <w:numPr>
          <w:ilvl w:val="3"/>
          <w:numId w:val="2"/>
        </w:numPr>
      </w:pPr>
      <w:r>
        <w:t>热量资源量计算应同时给出热储热量（kJ）和地热流体可开采量（m³/d、m³/a），并说明开采年限。</w:t>
      </w:r>
    </w:p>
    <w:p>
      <w:pPr>
        <w:pStyle w:val="165"/>
        <w:numPr>
          <w:ilvl w:val="3"/>
          <w:numId w:val="2"/>
        </w:numPr>
      </w:pPr>
      <w:r>
        <w:t>资源评价报告应明确资源量级别（探明、控制、推断）及对应置信水平，并提出合理开采规模建议。</w:t>
      </w:r>
    </w:p>
    <w:p>
      <w:pPr>
        <w:pStyle w:val="104"/>
      </w:pPr>
      <w:r>
        <w:t>开采技术要求</w:t>
      </w:r>
    </w:p>
    <w:p>
      <w:pPr>
        <w:pStyle w:val="105"/>
      </w:pPr>
      <w:r>
        <w:t>钻井设计</w:t>
      </w:r>
    </w:p>
    <w:p>
      <w:pPr>
        <w:pStyle w:val="165"/>
        <w:numPr>
          <w:ilvl w:val="3"/>
          <w:numId w:val="2"/>
        </w:numPr>
      </w:pPr>
      <w:r>
        <w:t>地热开采井的设计应根据目的热储层的埋深、温度、压力和岩性特征，选择合适的钻井工艺（正循环、反循环或空气潜孔锤钻进）。</w:t>
      </w:r>
    </w:p>
    <w:p>
      <w:pPr>
        <w:pStyle w:val="165"/>
        <w:numPr>
          <w:ilvl w:val="3"/>
          <w:numId w:val="2"/>
        </w:numPr>
      </w:pPr>
      <w:r>
        <w:t>开采井的井径应满足泵管下入、洗井及测井的需要；对自流温泉，井径不宜小于200 mm。</w:t>
      </w:r>
    </w:p>
    <w:p>
      <w:pPr>
        <w:pStyle w:val="165"/>
        <w:numPr>
          <w:ilvl w:val="3"/>
          <w:numId w:val="2"/>
        </w:numPr>
      </w:pPr>
      <w:r>
        <w:t>井管应采用耐高温、耐腐蚀材质，钢级不低于N80，焊接质量应通过超声波探伤检验。</w:t>
      </w:r>
    </w:p>
    <w:p>
      <w:pPr>
        <w:pStyle w:val="165"/>
        <w:numPr>
          <w:ilvl w:val="3"/>
          <w:numId w:val="2"/>
        </w:numPr>
      </w:pPr>
      <w:r>
        <w:t>隔水段固井应采用防腐水泥，固井质量应通过声幅测井验证，不合格者须补充固井。</w:t>
      </w:r>
    </w:p>
    <w:p>
      <w:pPr>
        <w:pStyle w:val="105"/>
      </w:pPr>
      <w:r>
        <w:t>抽采与流量控制</w:t>
      </w:r>
    </w:p>
    <w:p>
      <w:pPr>
        <w:pStyle w:val="165"/>
        <w:numPr>
          <w:ilvl w:val="3"/>
          <w:numId w:val="2"/>
        </w:numPr>
      </w:pPr>
      <w:r>
        <w:t>开采井投产前应进行单井抽水试验，确定单井最大涌水量、允许水位降深（压力降）及水质动态变化规律。</w:t>
      </w:r>
    </w:p>
    <w:p>
      <w:pPr>
        <w:pStyle w:val="165"/>
        <w:numPr>
          <w:ilvl w:val="3"/>
          <w:numId w:val="2"/>
        </w:numPr>
      </w:pPr>
      <w:r>
        <w:t>年度开采量不应超过经评价确认的允许开采量。当实测水位（压力）连续下降超过初始值5%时，应启动限采或停采程序。</w:t>
      </w:r>
    </w:p>
    <w:p>
      <w:pPr>
        <w:pStyle w:val="165"/>
        <w:numPr>
          <w:ilvl w:val="3"/>
          <w:numId w:val="2"/>
        </w:numPr>
      </w:pPr>
      <w:r>
        <w:t>多井联采场景下，相邻开采井间距应根据井间干扰试验确定，原则上不应小于500 m（裂隙型热储）或300 m（孔隙型热储）。</w:t>
      </w:r>
    </w:p>
    <w:p>
      <w:pPr>
        <w:pStyle w:val="165"/>
        <w:numPr>
          <w:ilvl w:val="3"/>
          <w:numId w:val="2"/>
        </w:numPr>
      </w:pPr>
      <w:r>
        <w:t>开采井口应安装流量计（误差≤±2%）和温度计，计量数据应实时传输至监测平台，留存不少于5年。</w:t>
      </w:r>
    </w:p>
    <w:p>
      <w:pPr>
        <w:pStyle w:val="105"/>
      </w:pPr>
      <w:r>
        <w:t>井口安全防护</w:t>
      </w:r>
    </w:p>
    <w:p>
      <w:pPr>
        <w:pStyle w:val="165"/>
        <w:numPr>
          <w:ilvl w:val="3"/>
          <w:numId w:val="2"/>
        </w:numPr>
      </w:pPr>
      <w:r>
        <w:t>自流温泉开采井井口应安装截止阀和压力表，防止因热储压力突变引发管涌或井喷。</w:t>
      </w:r>
    </w:p>
    <w:p>
      <w:pPr>
        <w:pStyle w:val="165"/>
        <w:numPr>
          <w:ilvl w:val="3"/>
          <w:numId w:val="2"/>
        </w:numPr>
      </w:pPr>
      <w:r>
        <w:t>开采井周边50 m范围内设置安全防护区，禁止存放易燃易爆物品；高温温泉（T≥60 ℃）井口区域应设置烫伤警示标志。</w:t>
      </w:r>
    </w:p>
    <w:p>
      <w:pPr>
        <w:pStyle w:val="165"/>
        <w:numPr>
          <w:ilvl w:val="3"/>
          <w:numId w:val="2"/>
        </w:numPr>
      </w:pPr>
      <w:r>
        <w:t>开采设施应按不低于当地抗震设防烈度要求设计，关键阀门、仪表和管道应采取防腐蚀处理措施。</w:t>
      </w:r>
    </w:p>
    <w:p>
      <w:pPr>
        <w:pStyle w:val="105"/>
      </w:pPr>
      <w:r>
        <w:t>热能梯级利用设施</w:t>
      </w:r>
    </w:p>
    <w:p>
      <w:pPr>
        <w:pStyle w:val="165"/>
        <w:numPr>
          <w:ilvl w:val="3"/>
          <w:numId w:val="2"/>
        </w:numPr>
      </w:pPr>
      <w:r>
        <w:t>换热站的设计热效率不应低于75%，对梯级利用系统，各级换热装置出水温度应根据下一级利用需求合理设定。</w:t>
      </w:r>
    </w:p>
    <w:p>
      <w:pPr>
        <w:pStyle w:val="165"/>
        <w:numPr>
          <w:ilvl w:val="3"/>
          <w:numId w:val="2"/>
        </w:numPr>
      </w:pPr>
      <w:r>
        <w:t>供暖系统中的地热水宜采用间接换热方式（板式换热器），避免开路循环直接排放。</w:t>
      </w:r>
    </w:p>
    <w:p>
      <w:pPr>
        <w:pStyle w:val="165"/>
        <w:numPr>
          <w:ilvl w:val="3"/>
          <w:numId w:val="2"/>
        </w:numPr>
      </w:pPr>
      <w:r>
        <w:t>高含腐蚀性组分（如高氯根、高硫化氢）的地热水，应采用防腐蚀换热器材料（如钛合金、双相不锈钢）。</w:t>
      </w:r>
    </w:p>
    <w:p>
      <w:pPr>
        <w:pStyle w:val="104"/>
      </w:pPr>
      <w:r>
        <w:t>温泉利用分类与要求</w:t>
      </w:r>
    </w:p>
    <w:p>
      <w:pPr>
        <w:pStyle w:val="105"/>
      </w:pPr>
      <w:r>
        <w:t>温泉利用分类</w:t>
      </w:r>
    </w:p>
    <w:p>
      <w:pPr>
        <w:pStyle w:val="56"/>
      </w:pPr>
      <w:r>
        <w:t>依据水温和水质特征，地热温泉利用可分为以下类别（见</w:t>
      </w:r>
      <w:r>
        <w:fldChar w:fldCharType="begin"/>
      </w:r>
      <w:r>
        <w:instrText xml:space="preserve"> REF _Ref415158344 \h </w:instrText>
      </w:r>
      <w:r>
        <w:fldChar w:fldCharType="separate"/>
      </w:r>
      <w:r>
        <w:t>?</w:t>
      </w:r>
      <w:r>
        <w:fldChar w:fldCharType="end"/>
      </w:r>
      <w:r>
        <w:t>）：</w:t>
      </w:r>
    </w:p>
    <w:p>
      <w:pPr>
        <w:pStyle w:val="112"/>
        <w:numPr>
          <w:ilvl w:val="0"/>
          <w:numId w:val="0"/>
        </w:numPr>
      </w:pPr>
      <w:bookmarkStart w:id="1014" w:name="_Ref160139901"/>
      <w:bookmarkStart w:id="1015" w:name="_Ref415158344"/>
      <w:r>
        <w:t>表</w:t>
      </w:r>
      <w:r>
        <w:fldChar w:fldCharType="begin"/>
      </w:r>
      <w:r>
        <w:instrText xml:space="preserve"> SEQ 表 \* ARABIC \r 1 </w:instrText>
      </w:r>
      <w:r>
        <w:fldChar w:fldCharType="separate"/>
      </w:r>
      <w:bookmarkStart w:id="1016" w:name="_Ref256635210"/>
      <w:r>
        <w:t>1</w:t>
      </w:r>
      <w:r>
        <w:fldChar w:fldCharType="end"/>
      </w:r>
      <w:bookmarkEnd w:id="1016"/>
      <w:bookmarkEnd w:id="1015"/>
      <w:r>
        <w:t xml:space="preserve">　</w:t>
      </w:r>
      <w:bookmarkStart w:id="1017" w:name="_Ref686588639"/>
      <w:r>
        <w:t>温泉利用分类</w:t>
      </w:r>
      <w:bookmarkEnd w:id="1014"/>
      <w:bookmarkEnd w:id="1017"/>
    </w:p>
    <w:tbl>
      <w:tblPr>
        <w:tblStyle w:val="27"/>
        <w:tblW w:type="auto" w:w="0"/>
        <w:tblLook w:firstColumn="1" w:firstRow="1" w:lastColumn="0" w:lastRow="0" w:noHBand="0" w:noVBand="1" w:val="04A0"/>
      </w:tblPr>
      <w:tblGrid>
        <w:gridCol w:w="2409"/>
        <w:gridCol w:w="2409"/>
        <w:gridCol w:w="2409"/>
        <w:gridCol w:w="2409"/>
      </w:tblGrid>
      <w:tr>
        <w:trPr>
          <w:tblHeader w:val="true"/>
        </w:trPr>
        <w:tc>
          <w:tcPr>
            <w:tcW w:type="dxa" w:w="2409"/>
            <w:vAlign w:val="center"/>
          </w:tcPr>
          <w:p>
            <w:pPr>
              <w:pStyle w:val="178"/>
              <w:jc w:val="center"/>
            </w:pPr>
            <w:r>
              <w:t>利用类别</w:t>
            </w:r>
          </w:p>
        </w:tc>
        <w:tc>
          <w:tcPr>
            <w:tcW w:type="dxa" w:w="2409"/>
            <w:vAlign w:val="center"/>
          </w:tcPr>
          <w:p>
            <w:pPr>
              <w:pStyle w:val="178"/>
              <w:jc w:val="center"/>
            </w:pPr>
            <w:r>
              <w:t>适宜水温（℃）</w:t>
            </w:r>
          </w:p>
        </w:tc>
        <w:tc>
          <w:tcPr>
            <w:tcW w:type="dxa" w:w="2409"/>
            <w:vAlign w:val="center"/>
          </w:tcPr>
          <w:p>
            <w:pPr>
              <w:pStyle w:val="178"/>
              <w:jc w:val="center"/>
            </w:pPr>
            <w:r>
              <w:t>主要用途</w:t>
            </w:r>
          </w:p>
        </w:tc>
        <w:tc>
          <w:tcPr>
            <w:tcW w:type="dxa" w:w="2409"/>
            <w:vAlign w:val="center"/>
          </w:tcPr>
          <w:p>
            <w:pPr>
              <w:pStyle w:val="178"/>
              <w:jc w:val="center"/>
            </w:pPr>
            <w:r>
              <w:t>水质要求参考标准</w:t>
            </w:r>
          </w:p>
        </w:tc>
      </w:tr>
      <w:tr>
        <w:tc>
          <w:tcPr>
            <w:tcW w:type="dxa" w:w="2409"/>
            <w:vAlign w:val="center"/>
          </w:tcPr>
          <w:p>
            <w:pPr>
              <w:pStyle w:val="178"/>
              <w:jc w:val="center"/>
            </w:pPr>
            <w:r>
              <w:t>医疗保健洗浴</w:t>
            </w:r>
          </w:p>
        </w:tc>
        <w:tc>
          <w:tcPr>
            <w:tcW w:type="dxa" w:w="2409"/>
            <w:vAlign w:val="center"/>
          </w:tcPr>
          <w:p>
            <w:pPr>
              <w:pStyle w:val="178"/>
              <w:jc w:val="center"/>
            </w:pPr>
            <w:r>
              <w:t>36～45</w:t>
            </w:r>
          </w:p>
        </w:tc>
        <w:tc>
          <w:tcPr>
            <w:tcW w:type="dxa" w:w="2409"/>
            <w:vAlign w:val="center"/>
          </w:tcPr>
          <w:p>
            <w:pPr>
              <w:pStyle w:val="178"/>
              <w:jc w:val="center"/>
            </w:pPr>
            <w:r>
              <w:t>疗养、理疗、美容</w:t>
            </w:r>
          </w:p>
        </w:tc>
        <w:tc>
          <w:tcPr>
            <w:tcW w:type="dxa" w:w="2409"/>
            <w:vAlign w:val="center"/>
          </w:tcPr>
          <w:p>
            <w:pPr>
              <w:pStyle w:val="178"/>
              <w:jc w:val="center"/>
            </w:pPr>
            <w:r>
              <w:t>本文件附录A及GB 5749</w:t>
            </w:r>
          </w:p>
        </w:tc>
      </w:tr>
      <w:tr>
        <w:tc>
          <w:tcPr>
            <w:tcW w:type="dxa" w:w="2409"/>
            <w:vAlign w:val="center"/>
          </w:tcPr>
          <w:p>
            <w:pPr>
              <w:pStyle w:val="178"/>
              <w:jc w:val="center"/>
            </w:pPr>
            <w:r>
              <w:t>旅游休闲洗浴</w:t>
            </w:r>
          </w:p>
        </w:tc>
        <w:tc>
          <w:tcPr>
            <w:tcW w:type="dxa" w:w="2409"/>
            <w:vAlign w:val="center"/>
          </w:tcPr>
          <w:p>
            <w:pPr>
              <w:pStyle w:val="178"/>
              <w:jc w:val="center"/>
            </w:pPr>
            <w:r>
              <w:t>36～42</w:t>
            </w:r>
          </w:p>
        </w:tc>
        <w:tc>
          <w:tcPr>
            <w:tcW w:type="dxa" w:w="2409"/>
            <w:vAlign w:val="center"/>
          </w:tcPr>
          <w:p>
            <w:pPr>
              <w:pStyle w:val="178"/>
              <w:jc w:val="center"/>
            </w:pPr>
            <w:r>
              <w:t>温泉度假、娱乐</w:t>
            </w:r>
          </w:p>
        </w:tc>
        <w:tc>
          <w:tcPr>
            <w:tcW w:type="dxa" w:w="2409"/>
            <w:vAlign w:val="center"/>
          </w:tcPr>
          <w:p>
            <w:pPr>
              <w:pStyle w:val="178"/>
              <w:jc w:val="center"/>
            </w:pPr>
            <w:r>
              <w:t>本文件附录A</w:t>
            </w:r>
          </w:p>
        </w:tc>
      </w:tr>
      <w:tr>
        <w:tc>
          <w:tcPr>
            <w:tcW w:type="dxa" w:w="2409"/>
            <w:vAlign w:val="center"/>
          </w:tcPr>
          <w:p>
            <w:pPr>
              <w:pStyle w:val="178"/>
              <w:jc w:val="center"/>
            </w:pPr>
            <w:r>
              <w:t>供暖供冷</w:t>
            </w:r>
          </w:p>
        </w:tc>
        <w:tc>
          <w:tcPr>
            <w:tcW w:type="dxa" w:w="2409"/>
            <w:vAlign w:val="center"/>
          </w:tcPr>
          <w:p>
            <w:pPr>
              <w:pStyle w:val="178"/>
              <w:jc w:val="center"/>
            </w:pPr>
            <w:r>
              <w:t>40～90</w:t>
            </w:r>
          </w:p>
        </w:tc>
        <w:tc>
          <w:tcPr>
            <w:tcW w:type="dxa" w:w="2409"/>
            <w:vAlign w:val="center"/>
          </w:tcPr>
          <w:p>
            <w:pPr>
              <w:pStyle w:val="178"/>
              <w:jc w:val="center"/>
            </w:pPr>
            <w:r>
              <w:t>建筑供暖、地暖</w:t>
            </w:r>
          </w:p>
        </w:tc>
        <w:tc>
          <w:tcPr>
            <w:tcW w:type="dxa" w:w="2409"/>
            <w:vAlign w:val="center"/>
          </w:tcPr>
          <w:p>
            <w:pPr>
              <w:pStyle w:val="178"/>
              <w:jc w:val="center"/>
            </w:pPr>
            <w:r>
              <w:t>DZ/T 0482—2024</w:t>
            </w:r>
          </w:p>
        </w:tc>
      </w:tr>
      <w:tr>
        <w:tc>
          <w:tcPr>
            <w:tcW w:type="dxa" w:w="2409"/>
            <w:vAlign w:val="center"/>
          </w:tcPr>
          <w:p>
            <w:pPr>
              <w:pStyle w:val="178"/>
              <w:jc w:val="center"/>
            </w:pPr>
            <w:r>
              <w:t>农业养殖</w:t>
            </w:r>
          </w:p>
        </w:tc>
        <w:tc>
          <w:tcPr>
            <w:tcW w:type="dxa" w:w="2409"/>
            <w:vAlign w:val="center"/>
          </w:tcPr>
          <w:p>
            <w:pPr>
              <w:pStyle w:val="178"/>
              <w:jc w:val="center"/>
            </w:pPr>
            <w:r>
              <w:t>25～38</w:t>
            </w:r>
          </w:p>
        </w:tc>
        <w:tc>
          <w:tcPr>
            <w:tcW w:type="dxa" w:w="2409"/>
            <w:vAlign w:val="center"/>
          </w:tcPr>
          <w:p>
            <w:pPr>
              <w:pStyle w:val="178"/>
              <w:jc w:val="center"/>
            </w:pPr>
            <w:r>
              <w:t>水产温室、花卉种植</w:t>
            </w:r>
          </w:p>
        </w:tc>
        <w:tc>
          <w:tcPr>
            <w:tcW w:type="dxa" w:w="2409"/>
            <w:vAlign w:val="center"/>
          </w:tcPr>
          <w:p>
            <w:pPr>
              <w:pStyle w:val="178"/>
              <w:jc w:val="center"/>
            </w:pPr>
            <w:r>
              <w:t>GB/T 14848 III类</w:t>
            </w:r>
          </w:p>
        </w:tc>
      </w:tr>
      <w:tr>
        <w:tc>
          <w:tcPr>
            <w:tcW w:type="dxa" w:w="2409"/>
            <w:vAlign w:val="center"/>
          </w:tcPr>
          <w:p>
            <w:pPr>
              <w:pStyle w:val="178"/>
              <w:jc w:val="center"/>
            </w:pPr>
            <w:r>
              <w:t>食品加工</w:t>
            </w:r>
          </w:p>
        </w:tc>
        <w:tc>
          <w:tcPr>
            <w:tcW w:type="dxa" w:w="2409"/>
            <w:vAlign w:val="center"/>
          </w:tcPr>
          <w:p>
            <w:pPr>
              <w:pStyle w:val="178"/>
              <w:jc w:val="center"/>
            </w:pPr>
            <w:r>
              <w:t>50～100</w:t>
            </w:r>
          </w:p>
        </w:tc>
        <w:tc>
          <w:tcPr>
            <w:tcW w:type="dxa" w:w="2409"/>
            <w:vAlign w:val="center"/>
          </w:tcPr>
          <w:p>
            <w:pPr>
              <w:pStyle w:val="178"/>
              <w:jc w:val="center"/>
            </w:pPr>
            <w:r>
              <w:t>烘干、消毒</w:t>
            </w:r>
          </w:p>
        </w:tc>
        <w:tc>
          <w:tcPr>
            <w:tcW w:type="dxa" w:w="2409"/>
            <w:vAlign w:val="center"/>
          </w:tcPr>
          <w:p>
            <w:pPr>
              <w:pStyle w:val="178"/>
              <w:jc w:val="center"/>
            </w:pPr>
            <w:r>
              <w:t>GB 5749</w:t>
            </w:r>
          </w:p>
        </w:tc>
      </w:tr>
    </w:tbl>
    <w:p>
      <w:pPr>
        <w:pStyle w:val="112"/>
        <w:numPr>
          <w:ilvl w:val="0"/>
          <w:numId w:val="0"/>
        </w:numPr>
      </w:pPr>
      <w:r>
        <w:fldChar w:fldCharType="begin"/>
      </w:r>
      <w:r>
        <w:instrText xml:space="preserve"> REF _Ref415158344 \h </w:instrText>
      </w:r>
      <w:r>
        <w:fldChar w:fldCharType="separate"/>
      </w:r>
      <w:r>
        <w:t>表?</w:t>
      </w:r>
      <w:r>
        <w:fldChar w:fldCharType="end"/>
      </w:r>
      <w:r>
        <w:t>（续）</w:t>
      </w:r>
    </w:p>
    <w:tbl>
      <w:tblPr>
        <w:tblStyle w:val="27"/>
        <w:tblW w:type="auto" w:w="0"/>
        <w:tblLook w:firstColumn="1" w:firstRow="1" w:lastColumn="0" w:lastRow="0" w:noHBand="0" w:noVBand="1" w:val="04A0"/>
      </w:tblPr>
      <w:tblGrid>
        <w:gridCol w:w="2409"/>
        <w:gridCol w:w="2409"/>
        <w:gridCol w:w="2409"/>
        <w:gridCol w:w="2409"/>
      </w:tblGrid>
      <w:tr>
        <w:trPr>
          <w:tblHeader w:val="true"/>
        </w:trPr>
        <w:tc>
          <w:tcPr>
            <w:tcW w:type="dxa" w:w="2409"/>
            <w:vAlign w:val="center"/>
          </w:tcPr>
          <w:p>
            <w:pPr>
              <w:pStyle w:val="178"/>
              <w:jc w:val="center"/>
            </w:pPr>
            <w:r>
              <w:t>利用类别</w:t>
            </w:r>
          </w:p>
        </w:tc>
        <w:tc>
          <w:tcPr>
            <w:tcW w:type="dxa" w:w="2409"/>
            <w:vAlign w:val="center"/>
          </w:tcPr>
          <w:p>
            <w:pPr>
              <w:pStyle w:val="178"/>
              <w:jc w:val="center"/>
            </w:pPr>
            <w:r>
              <w:t>适宜水温（℃）</w:t>
            </w:r>
          </w:p>
        </w:tc>
        <w:tc>
          <w:tcPr>
            <w:tcW w:type="dxa" w:w="2409"/>
            <w:vAlign w:val="center"/>
          </w:tcPr>
          <w:p>
            <w:pPr>
              <w:pStyle w:val="178"/>
              <w:jc w:val="center"/>
            </w:pPr>
            <w:r>
              <w:t>主要用途</w:t>
            </w:r>
          </w:p>
        </w:tc>
        <w:tc>
          <w:tcPr>
            <w:tcW w:type="dxa" w:w="2409"/>
            <w:vAlign w:val="center"/>
          </w:tcPr>
          <w:p>
            <w:pPr>
              <w:pStyle w:val="178"/>
              <w:jc w:val="center"/>
            </w:pPr>
            <w:r>
              <w:t>水质要求参考标准</w:t>
            </w:r>
          </w:p>
        </w:tc>
      </w:tr>
      <w:tr>
        <w:tc>
          <w:tcPr>
            <w:tcW w:type="dxa" w:w="2409"/>
            <w:vAlign w:val="center"/>
          </w:tcPr>
          <w:p>
            <w:pPr>
              <w:pStyle w:val="178"/>
              <w:jc w:val="center"/>
            </w:pPr>
            <w:r>
              <w:t>矿物提取</w:t>
            </w:r>
          </w:p>
        </w:tc>
        <w:tc>
          <w:tcPr>
            <w:tcW w:type="dxa" w:w="2409"/>
            <w:vAlign w:val="center"/>
          </w:tcPr>
          <w:p>
            <w:pPr>
              <w:pStyle w:val="178"/>
              <w:jc w:val="center"/>
            </w:pPr>
            <w:r>
              <w:t>≥60</w:t>
            </w:r>
          </w:p>
        </w:tc>
        <w:tc>
          <w:tcPr>
            <w:tcW w:type="dxa" w:w="2409"/>
            <w:vAlign w:val="center"/>
          </w:tcPr>
          <w:p>
            <w:pPr>
              <w:pStyle w:val="178"/>
              <w:jc w:val="center"/>
            </w:pPr>
            <w:r>
              <w:t>锂、碘、溴提取</w:t>
            </w:r>
          </w:p>
        </w:tc>
        <w:tc>
          <w:tcPr>
            <w:tcW w:type="dxa" w:w="2409"/>
            <w:vAlign w:val="center"/>
          </w:tcPr>
          <w:p>
            <w:pPr>
              <w:pStyle w:val="178"/>
              <w:jc w:val="center"/>
            </w:pPr>
            <w:r>
              <w:t>无特殊限制</w:t>
            </w:r>
          </w:p>
        </w:tc>
      </w:tr>
      <w:tr>
        <w:tc>
          <w:tcPr>
            <w:tcW w:type="dxa" w:w="2409"/>
            <w:vAlign w:val="center"/>
          </w:tcPr>
          <w:p>
            <w:pPr>
              <w:pStyle w:val="178"/>
              <w:jc w:val="center"/>
            </w:pPr>
            <w:r>
              <w:t>地热发电</w:t>
            </w:r>
          </w:p>
        </w:tc>
        <w:tc>
          <w:tcPr>
            <w:tcW w:type="dxa" w:w="2409"/>
            <w:vAlign w:val="center"/>
          </w:tcPr>
          <w:p>
            <w:pPr>
              <w:pStyle w:val="178"/>
              <w:jc w:val="center"/>
            </w:pPr>
            <w:r>
              <w:t>≥150</w:t>
            </w:r>
          </w:p>
        </w:tc>
        <w:tc>
          <w:tcPr>
            <w:tcW w:type="dxa" w:w="2409"/>
            <w:vAlign w:val="center"/>
          </w:tcPr>
          <w:p>
            <w:pPr>
              <w:pStyle w:val="178"/>
              <w:jc w:val="center"/>
            </w:pPr>
            <w:r>
              <w:t>单/双循环发电</w:t>
            </w:r>
          </w:p>
        </w:tc>
        <w:tc>
          <w:tcPr>
            <w:tcW w:type="dxa" w:w="2409"/>
            <w:vAlign w:val="center"/>
          </w:tcPr>
          <w:p>
            <w:pPr>
              <w:pStyle w:val="178"/>
              <w:jc w:val="center"/>
            </w:pPr>
            <w:r>
              <w:t>无特殊限制</w:t>
            </w:r>
          </w:p>
        </w:tc>
      </w:tr>
    </w:tbl>
    <w:p>
      <w:pPr>
        <w:pStyle w:val="105"/>
      </w:pPr>
      <w:r>
        <w:t>医疗保健利用要求</w:t>
      </w:r>
    </w:p>
    <w:p>
      <w:pPr>
        <w:pStyle w:val="165"/>
        <w:numPr>
          <w:ilvl w:val="3"/>
          <w:numId w:val="2"/>
        </w:numPr>
      </w:pPr>
      <w:r>
        <w:t>用于医疗保健的温泉水，检测指标应符合本文件附录A的规定，并取得卫生行政主管部门的许可。</w:t>
      </w:r>
    </w:p>
    <w:p>
      <w:pPr>
        <w:pStyle w:val="165"/>
        <w:numPr>
          <w:ilvl w:val="3"/>
          <w:numId w:val="2"/>
        </w:numPr>
      </w:pPr>
      <w:r>
        <w:t>医疗温泉应设置专业医护人员，对高血压、心脑血管疾病等特殊人群做好健康告知和风险评估。</w:t>
      </w:r>
    </w:p>
    <w:p>
      <w:pPr>
        <w:pStyle w:val="165"/>
        <w:numPr>
          <w:ilvl w:val="3"/>
          <w:numId w:val="2"/>
        </w:numPr>
      </w:pPr>
      <w:r>
        <w:t>温泉洗浴设施应符合CJ 244的规定，每季度应对浴池水质进行微生物指标检测，嗜肺军团菌应低于10³ CFU/L。</w:t>
      </w:r>
    </w:p>
    <w:p>
      <w:pPr>
        <w:pStyle w:val="105"/>
      </w:pPr>
      <w:r>
        <w:t>供暖与供冷利用要求</w:t>
      </w:r>
    </w:p>
    <w:p>
      <w:pPr>
        <w:pStyle w:val="165"/>
        <w:numPr>
          <w:ilvl w:val="3"/>
          <w:numId w:val="2"/>
        </w:numPr>
      </w:pPr>
      <w:r>
        <w:t>利用地热温泉进行集中供暖，供热能力设计应基于逐时热负荷计算，并留有不低于20%的调峰余量。</w:t>
      </w:r>
    </w:p>
    <w:p>
      <w:pPr>
        <w:pStyle w:val="165"/>
        <w:numPr>
          <w:ilvl w:val="3"/>
          <w:numId w:val="2"/>
        </w:numPr>
      </w:pPr>
      <w:r>
        <w:t>采用地热直接供暖时，热网回水温度不应高于40 ℃，以保障回灌水温满足回灌热储要求；采用热泵辅助系统时，综合性能系数（COP）不应低于3.5。</w:t>
      </w:r>
    </w:p>
    <w:p>
      <w:pPr>
        <w:pStyle w:val="165"/>
        <w:numPr>
          <w:ilvl w:val="3"/>
          <w:numId w:val="2"/>
        </w:numPr>
      </w:pPr>
      <w:r>
        <w:t>地热供暖系统应安装余热回收装置，尾水温度不宜高于25 ℃排放或回灌。</w:t>
      </w:r>
    </w:p>
    <w:p>
      <w:pPr>
        <w:pStyle w:val="105"/>
      </w:pPr>
      <w:r>
        <w:t>农业及水产养殖利用要求</w:t>
      </w:r>
    </w:p>
    <w:p>
      <w:pPr>
        <w:pStyle w:val="165"/>
        <w:numPr>
          <w:ilvl w:val="3"/>
          <w:numId w:val="2"/>
        </w:numPr>
      </w:pPr>
      <w:r>
        <w:t>温泉水用于水产养殖前，应根据养殖品种对水温、pH、溶解氧及特殊化学成分的耐受性，制定水质预处理方案。</w:t>
      </w:r>
    </w:p>
    <w:p>
      <w:pPr>
        <w:pStyle w:val="165"/>
        <w:numPr>
          <w:ilvl w:val="3"/>
          <w:numId w:val="2"/>
        </w:numPr>
      </w:pPr>
      <w:r>
        <w:t>高氟、高砷温泉水不宜直接用于农业灌溉，确需利用时应经除氟、除砷处理达标。</w:t>
      </w:r>
    </w:p>
    <w:p>
      <w:pPr>
        <w:pStyle w:val="165"/>
        <w:numPr>
          <w:ilvl w:val="3"/>
          <w:numId w:val="2"/>
        </w:numPr>
      </w:pPr>
      <w:r>
        <w:t>温室农业利用的温泉水余热，优先采用间接加热方式（地暖管道或散热器），防止高矿化度水直接接触土壤造成盐碱化。</w:t>
      </w:r>
    </w:p>
    <w:p>
      <w:pPr>
        <w:pStyle w:val="104"/>
      </w:pPr>
      <w:r>
        <w:t>回灌与尾水处理</w:t>
      </w:r>
    </w:p>
    <w:p>
      <w:pPr>
        <w:pStyle w:val="105"/>
      </w:pPr>
      <w:r>
        <w:t>回灌技术要求</w:t>
      </w:r>
    </w:p>
    <w:p>
      <w:pPr>
        <w:pStyle w:val="165"/>
        <w:numPr>
          <w:ilvl w:val="3"/>
          <w:numId w:val="2"/>
        </w:numPr>
      </w:pPr>
      <w:r>
        <w:t>回灌工程设计应符合DZ/T 0481—2024的规定，回灌层位宜与开采层位相同（同层回灌）。</w:t>
      </w:r>
    </w:p>
    <w:p>
      <w:pPr>
        <w:pStyle w:val="165"/>
        <w:numPr>
          <w:ilvl w:val="3"/>
          <w:numId w:val="2"/>
        </w:numPr>
      </w:pPr>
      <w:r>
        <w:t>回灌量与开采量之比（回灌率）应根据热储类型确定：裂隙型热储回灌率不低于70%，孔隙型热储回灌率不低于80%。</w:t>
      </w:r>
    </w:p>
    <w:p>
      <w:pPr>
        <w:pStyle w:val="165"/>
        <w:numPr>
          <w:ilvl w:val="3"/>
          <w:numId w:val="2"/>
        </w:numPr>
      </w:pPr>
      <w:r>
        <w:t>回灌井设计应防止短路回流（即回灌水在未充分加热前即抵达开采井），开采井与回灌井之间的热突破时间不应小于30年。</w:t>
      </w:r>
    </w:p>
    <w:p>
      <w:pPr>
        <w:pStyle w:val="165"/>
        <w:numPr>
          <w:ilvl w:val="3"/>
          <w:numId w:val="2"/>
        </w:numPr>
      </w:pPr>
      <w:r>
        <w:t>回灌水水质应满足以下条件：</w:t>
      </w:r>
    </w:p>
    <w:p>
      <w:pPr>
        <w:pStyle w:val="92"/>
      </w:pPr>
      <w:r>
        <w:t>悬浮固体含量≤5 mg/L，防止热储堵塞；</w:t>
      </w:r>
    </w:p>
    <w:p>
      <w:pPr>
        <w:pStyle w:val="92"/>
      </w:pPr>
      <w:r>
        <w:t>pH值控制在6.5～9.0之间；</w:t>
      </w:r>
    </w:p>
    <w:p>
      <w:pPr>
        <w:pStyle w:val="92"/>
      </w:pPr>
      <w:r>
        <w:t>腐蚀性指数（Ryznar指数）应在6～7之间，必要时加药调节；</w:t>
      </w:r>
    </w:p>
    <w:p>
      <w:pPr>
        <w:pStyle w:val="92"/>
      </w:pPr>
      <w:r>
        <w:t>不得含有对地下水造成污染的有害物质。</w:t>
      </w:r>
    </w:p>
    <w:p>
      <w:pPr>
        <w:pStyle w:val="165"/>
        <w:numPr>
          <w:ilvl w:val="3"/>
          <w:numId w:val="2"/>
        </w:numPr>
      </w:pPr>
      <w:r>
        <w:t>回灌系统应定期进行化学堵塞和生物堵塞检测，回灌量下降超过初始值20%时，应及时实施洗井措施。</w:t>
      </w:r>
    </w:p>
    <w:p>
      <w:pPr>
        <w:pStyle w:val="105"/>
      </w:pPr>
      <w:r>
        <w:t>尾水处理与排放</w:t>
      </w:r>
    </w:p>
    <w:p>
      <w:pPr>
        <w:pStyle w:val="165"/>
        <w:numPr>
          <w:ilvl w:val="3"/>
          <w:numId w:val="2"/>
        </w:numPr>
      </w:pPr>
      <w:r>
        <w:t>不能回灌的尾水应经处理达标后方可排放，排放标准不低于GB/T 14848 III类水标准。</w:t>
      </w:r>
    </w:p>
    <w:p>
      <w:pPr>
        <w:pStyle w:val="165"/>
        <w:numPr>
          <w:ilvl w:val="3"/>
          <w:numId w:val="2"/>
        </w:numPr>
      </w:pPr>
      <w:r>
        <w:t>高矿化度（TDS&gt;2000 mg/L）尾水不得直接排入地表水体，应采取蒸发浓缩、深井回注或专用管道排海等措施处置。</w:t>
      </w:r>
    </w:p>
    <w:p>
      <w:pPr>
        <w:pStyle w:val="165"/>
        <w:numPr>
          <w:ilvl w:val="3"/>
          <w:numId w:val="2"/>
        </w:numPr>
      </w:pPr>
      <w:r>
        <w:t>含H₂S的温泉尾水应经氧化处理（如曝气、加氯、臭氧）脱硫后排放，排气口H₂S浓度应符合GBZ 2.1的职业接触限值规定。</w:t>
      </w:r>
    </w:p>
    <w:p>
      <w:pPr>
        <w:pStyle w:val="165"/>
        <w:numPr>
          <w:ilvl w:val="3"/>
          <w:numId w:val="2"/>
        </w:numPr>
      </w:pPr>
      <w:r>
        <w:t>尾水热排放的热污染影响应经模拟评估，受纳水体温升不应超过1 ℃（季节性峰值不超过3 ℃）。</w:t>
      </w:r>
    </w:p>
    <w:p>
      <w:pPr>
        <w:pStyle w:val="104"/>
      </w:pPr>
      <w:r>
        <w:t>环境保护与监测</w:t>
      </w:r>
    </w:p>
    <w:p>
      <w:pPr>
        <w:pStyle w:val="105"/>
      </w:pPr>
      <w:r>
        <w:t>环境保护要求</w:t>
      </w:r>
    </w:p>
    <w:p>
      <w:pPr>
        <w:pStyle w:val="165"/>
        <w:numPr>
          <w:ilvl w:val="3"/>
          <w:numId w:val="2"/>
        </w:numPr>
      </w:pPr>
      <w:r>
        <w:t>地热温泉开发项目应依法开展环境影响评价，重点分析对浅层地下水、地表水、地表沉降及自然景观的影响。</w:t>
      </w:r>
    </w:p>
    <w:p>
      <w:pPr>
        <w:pStyle w:val="165"/>
        <w:numPr>
          <w:ilvl w:val="3"/>
          <w:numId w:val="2"/>
        </w:numPr>
      </w:pPr>
      <w:r>
        <w:t>钻井废浆、岩屑应集中收集处置，禁止就地掩埋或就地排放；钻井液中使用的化学添加剂应优先选用环保型产品。</w:t>
      </w:r>
    </w:p>
    <w:p>
      <w:pPr>
        <w:pStyle w:val="165"/>
        <w:numPr>
          <w:ilvl w:val="3"/>
          <w:numId w:val="2"/>
        </w:numPr>
      </w:pPr>
      <w:r>
        <w:t>天然温泉露头及其周边100 m范围应划定保护区，禁止开垦、取土、建设污染源设施。</w:t>
      </w:r>
    </w:p>
    <w:p>
      <w:pPr>
        <w:pStyle w:val="105"/>
      </w:pPr>
      <w:r>
        <w:t>监测内容与频率</w:t>
      </w:r>
    </w:p>
    <w:p>
      <w:pPr>
        <w:pStyle w:val="56"/>
      </w:pPr>
      <w:r>
        <w:t>地热温泉开采项目应建立系统的动态监测体系，监测内容及频率应符合</w:t>
      </w:r>
      <w:r>
        <w:fldChar w:fldCharType="begin"/>
      </w:r>
      <w:r>
        <w:instrText xml:space="preserve"> REF _Ref805559701 \h </w:instrText>
      </w:r>
      <w:r>
        <w:fldChar w:fldCharType="separate"/>
      </w:r>
      <w:r>
        <w:t>?</w:t>
      </w:r>
      <w:r>
        <w:fldChar w:fldCharType="end"/>
      </w:r>
      <w:r>
        <w:t>的规定。</w:t>
      </w:r>
    </w:p>
    <w:p>
      <w:pPr>
        <w:pStyle w:val="112"/>
        <w:numPr>
          <w:ilvl w:val="0"/>
          <w:numId w:val="0"/>
        </w:numPr>
      </w:pPr>
      <w:bookmarkStart w:id="1018" w:name="_Ref458522357"/>
      <w:bookmarkStart w:id="1019" w:name="_Ref805559701"/>
      <w:r>
        <w:t>表</w:t>
      </w:r>
      <w:r>
        <w:fldChar w:fldCharType="begin"/>
      </w:r>
      <w:r>
        <w:instrText xml:space="preserve"> SEQ 表 \* ARABIC </w:instrText>
      </w:r>
      <w:r>
        <w:fldChar w:fldCharType="separate"/>
      </w:r>
      <w:bookmarkStart w:id="1020" w:name="_Ref273808485"/>
      <w:r>
        <w:t>1</w:t>
      </w:r>
      <w:r>
        <w:fldChar w:fldCharType="end"/>
      </w:r>
      <w:bookmarkEnd w:id="1020"/>
      <w:bookmarkEnd w:id="1019"/>
      <w:r>
        <w:t xml:space="preserve">　</w:t>
      </w:r>
      <w:bookmarkStart w:id="1021" w:name="_Ref888137198"/>
      <w:r>
        <w:t>地热温泉动态监测要求</w:t>
      </w:r>
      <w:bookmarkEnd w:id="1018"/>
      <w:bookmarkEnd w:id="1021"/>
    </w:p>
    <w:tbl>
      <w:tblPr>
        <w:tblStyle w:val="27"/>
        <w:tblW w:type="auto" w:w="0"/>
        <w:tblLook w:firstColumn="1" w:firstRow="1" w:lastColumn="0" w:lastRow="0" w:noHBand="0" w:noVBand="1" w:val="04A0"/>
      </w:tblPr>
      <w:tblGrid>
        <w:gridCol w:w="2409"/>
        <w:gridCol w:w="2409"/>
        <w:gridCol w:w="2409"/>
        <w:gridCol w:w="2409"/>
      </w:tblGrid>
      <w:tr>
        <w:trPr>
          <w:tblHeader w:val="true"/>
        </w:trPr>
        <w:tc>
          <w:tcPr>
            <w:tcW w:type="dxa" w:w="2409"/>
            <w:vAlign w:val="center"/>
          </w:tcPr>
          <w:p>
            <w:pPr>
              <w:pStyle w:val="178"/>
              <w:jc w:val="center"/>
            </w:pPr>
            <w:r>
              <w:t>监测类别</w:t>
            </w:r>
          </w:p>
        </w:tc>
        <w:tc>
          <w:tcPr>
            <w:tcW w:type="dxa" w:w="2409"/>
            <w:vAlign w:val="center"/>
          </w:tcPr>
          <w:p>
            <w:pPr>
              <w:pStyle w:val="178"/>
              <w:jc w:val="center"/>
            </w:pPr>
            <w:r>
              <w:t>监测项目</w:t>
            </w:r>
          </w:p>
        </w:tc>
        <w:tc>
          <w:tcPr>
            <w:tcW w:type="dxa" w:w="2409"/>
            <w:vAlign w:val="center"/>
          </w:tcPr>
          <w:p>
            <w:pPr>
              <w:pStyle w:val="178"/>
              <w:jc w:val="center"/>
            </w:pPr>
            <w:r>
              <w:t>监测频率</w:t>
            </w:r>
          </w:p>
        </w:tc>
        <w:tc>
          <w:tcPr>
            <w:tcW w:type="dxa" w:w="2409"/>
            <w:vAlign w:val="center"/>
          </w:tcPr>
          <w:p>
            <w:pPr>
              <w:pStyle w:val="178"/>
              <w:jc w:val="center"/>
            </w:pPr>
            <w:r>
              <w:t>执行标准</w:t>
            </w:r>
          </w:p>
        </w:tc>
      </w:tr>
      <w:tr>
        <w:tc>
          <w:tcPr>
            <w:tcW w:type="dxa" w:w="2409"/>
            <w:vAlign w:val="center"/>
          </w:tcPr>
          <w:p>
            <w:pPr>
              <w:pStyle w:val="178"/>
              <w:jc w:val="center"/>
            </w:pPr>
            <w:r>
              <w:t>水量监测</w:t>
            </w:r>
          </w:p>
        </w:tc>
        <w:tc>
          <w:tcPr>
            <w:tcW w:type="dxa" w:w="2409"/>
            <w:vAlign w:val="center"/>
          </w:tcPr>
          <w:p>
            <w:pPr>
              <w:pStyle w:val="178"/>
              <w:jc w:val="center"/>
            </w:pPr>
            <w:r>
              <w:t>开采量、回灌量、水位/压力</w:t>
            </w:r>
          </w:p>
        </w:tc>
        <w:tc>
          <w:tcPr>
            <w:tcW w:type="dxa" w:w="2409"/>
            <w:vAlign w:val="center"/>
          </w:tcPr>
          <w:p>
            <w:pPr>
              <w:pStyle w:val="178"/>
              <w:jc w:val="center"/>
            </w:pPr>
            <w:r>
              <w:t>连续实时（每小时记录）</w:t>
            </w:r>
          </w:p>
        </w:tc>
        <w:tc>
          <w:tcPr>
            <w:tcW w:type="dxa" w:w="2409"/>
            <w:vAlign w:val="center"/>
          </w:tcPr>
          <w:p>
            <w:pPr>
              <w:pStyle w:val="178"/>
              <w:jc w:val="center"/>
            </w:pPr>
            <w:r>
              <w:t>DZ/T 0482—2024</w:t>
            </w:r>
          </w:p>
        </w:tc>
      </w:tr>
      <w:tr>
        <w:tc>
          <w:tcPr>
            <w:tcW w:type="dxa" w:w="2409"/>
            <w:vAlign w:val="center"/>
          </w:tcPr>
          <w:p>
            <w:pPr>
              <w:pStyle w:val="178"/>
              <w:jc w:val="center"/>
            </w:pPr>
            <w:r>
              <w:t>水温监测</w:t>
            </w:r>
          </w:p>
        </w:tc>
        <w:tc>
          <w:tcPr>
            <w:tcW w:type="dxa" w:w="2409"/>
            <w:vAlign w:val="center"/>
          </w:tcPr>
          <w:p>
            <w:pPr>
              <w:pStyle w:val="178"/>
              <w:jc w:val="center"/>
            </w:pPr>
            <w:r>
              <w:t>开采温度、回灌温度、地面温度</w:t>
            </w:r>
          </w:p>
        </w:tc>
        <w:tc>
          <w:tcPr>
            <w:tcW w:type="dxa" w:w="2409"/>
            <w:vAlign w:val="center"/>
          </w:tcPr>
          <w:p>
            <w:pPr>
              <w:pStyle w:val="178"/>
              <w:jc w:val="center"/>
            </w:pPr>
            <w:r>
              <w:t>连续实时（每小时记录）</w:t>
            </w:r>
          </w:p>
        </w:tc>
        <w:tc>
          <w:tcPr>
            <w:tcW w:type="dxa" w:w="2409"/>
            <w:vAlign w:val="center"/>
          </w:tcPr>
          <w:p>
            <w:pPr>
              <w:pStyle w:val="178"/>
              <w:jc w:val="center"/>
            </w:pPr>
            <w:r>
              <w:t>DZ/T 0482—2024</w:t>
            </w:r>
          </w:p>
        </w:tc>
      </w:tr>
      <w:tr>
        <w:tc>
          <w:tcPr>
            <w:tcW w:type="dxa" w:w="2409"/>
            <w:vAlign w:val="center"/>
          </w:tcPr>
          <w:p>
            <w:pPr>
              <w:pStyle w:val="178"/>
              <w:jc w:val="center"/>
            </w:pPr>
            <w:r>
              <w:t>水质监测</w:t>
            </w:r>
          </w:p>
        </w:tc>
        <w:tc>
          <w:tcPr>
            <w:tcW w:type="dxa" w:w="2409"/>
            <w:vAlign w:val="center"/>
          </w:tcPr>
          <w:p>
            <w:pPr>
              <w:pStyle w:val="178"/>
              <w:jc w:val="center"/>
            </w:pPr>
            <w:r>
              <w:t>pH、TDS、主要离子、特征组分</w:t>
            </w:r>
          </w:p>
        </w:tc>
        <w:tc>
          <w:tcPr>
            <w:tcW w:type="dxa" w:w="2409"/>
            <w:vAlign w:val="center"/>
          </w:tcPr>
          <w:p>
            <w:pPr>
              <w:pStyle w:val="178"/>
              <w:jc w:val="center"/>
            </w:pPr>
            <w:r>
              <w:t>每季度一次（全分析每年一次）</w:t>
            </w:r>
          </w:p>
        </w:tc>
        <w:tc>
          <w:tcPr>
            <w:tcW w:type="dxa" w:w="2409"/>
            <w:vAlign w:val="center"/>
          </w:tcPr>
          <w:p>
            <w:pPr>
              <w:pStyle w:val="178"/>
              <w:jc w:val="center"/>
            </w:pPr>
            <w:r>
              <w:t>GB/T 14848</w:t>
            </w:r>
          </w:p>
        </w:tc>
      </w:tr>
      <w:tr>
        <w:tc>
          <w:tcPr>
            <w:tcW w:type="dxa" w:w="2409"/>
            <w:vAlign w:val="center"/>
          </w:tcPr>
          <w:p>
            <w:pPr>
              <w:pStyle w:val="178"/>
              <w:jc w:val="center"/>
            </w:pPr>
            <w:r>
              <w:t>气体监测</w:t>
            </w:r>
          </w:p>
        </w:tc>
        <w:tc>
          <w:tcPr>
            <w:tcW w:type="dxa" w:w="2409"/>
            <w:vAlign w:val="center"/>
          </w:tcPr>
          <w:p>
            <w:pPr>
              <w:pStyle w:val="178"/>
              <w:jc w:val="center"/>
            </w:pPr>
            <w:r>
              <w:t>H₂S、CO₂、氡（Rn）</w:t>
            </w:r>
          </w:p>
        </w:tc>
        <w:tc>
          <w:tcPr>
            <w:tcW w:type="dxa" w:w="2409"/>
            <w:vAlign w:val="center"/>
          </w:tcPr>
          <w:p>
            <w:pPr>
              <w:pStyle w:val="178"/>
              <w:jc w:val="center"/>
            </w:pPr>
            <w:r>
              <w:t>每半年一次</w:t>
            </w:r>
          </w:p>
        </w:tc>
        <w:tc>
          <w:tcPr>
            <w:tcW w:type="dxa" w:w="2409"/>
            <w:vAlign w:val="center"/>
          </w:tcPr>
          <w:p>
            <w:pPr>
              <w:pStyle w:val="178"/>
              <w:jc w:val="center"/>
            </w:pPr>
            <w:r>
              <w:t>GBZ 2.1</w:t>
            </w:r>
          </w:p>
        </w:tc>
      </w:tr>
      <w:tr>
        <w:tc>
          <w:tcPr>
            <w:tcW w:type="dxa" w:w="2409"/>
            <w:vAlign w:val="center"/>
          </w:tcPr>
          <w:p>
            <w:pPr>
              <w:pStyle w:val="178"/>
              <w:jc w:val="center"/>
            </w:pPr>
            <w:r>
              <w:t>地面沉降监测</w:t>
            </w:r>
          </w:p>
        </w:tc>
        <w:tc>
          <w:tcPr>
            <w:tcW w:type="dxa" w:w="2409"/>
            <w:vAlign w:val="center"/>
          </w:tcPr>
          <w:p>
            <w:pPr>
              <w:pStyle w:val="178"/>
              <w:jc w:val="center"/>
            </w:pPr>
            <w:r>
              <w:t>水准测量或InSAR</w:t>
            </w:r>
          </w:p>
        </w:tc>
        <w:tc>
          <w:tcPr>
            <w:tcW w:type="dxa" w:w="2409"/>
            <w:vAlign w:val="center"/>
          </w:tcPr>
          <w:p>
            <w:pPr>
              <w:pStyle w:val="178"/>
              <w:jc w:val="center"/>
            </w:pPr>
            <w:r>
              <w:t>每季度一次</w:t>
            </w:r>
          </w:p>
        </w:tc>
        <w:tc>
          <w:tcPr>
            <w:tcW w:type="dxa" w:w="2409"/>
            <w:vAlign w:val="center"/>
          </w:tcPr>
          <w:p>
            <w:pPr>
              <w:pStyle w:val="178"/>
              <w:jc w:val="center"/>
            </w:pPr>
            <w:r>
              <w:t>GB/T 17942</w:t>
            </w:r>
          </w:p>
        </w:tc>
      </w:tr>
      <w:tr>
        <w:tc>
          <w:tcPr>
            <w:tcW w:type="dxa" w:w="2409"/>
            <w:vAlign w:val="center"/>
          </w:tcPr>
          <w:p>
            <w:pPr>
              <w:pStyle w:val="178"/>
              <w:jc w:val="center"/>
            </w:pPr>
            <w:r>
              <w:t>生态环境监测</w:t>
            </w:r>
          </w:p>
        </w:tc>
        <w:tc>
          <w:tcPr>
            <w:tcW w:type="dxa" w:w="2409"/>
            <w:vAlign w:val="center"/>
          </w:tcPr>
          <w:p>
            <w:pPr>
              <w:pStyle w:val="178"/>
              <w:jc w:val="center"/>
            </w:pPr>
            <w:r>
              <w:t>地表植被、浅层地下水位</w:t>
            </w:r>
          </w:p>
        </w:tc>
        <w:tc>
          <w:tcPr>
            <w:tcW w:type="dxa" w:w="2409"/>
            <w:vAlign w:val="center"/>
          </w:tcPr>
          <w:p>
            <w:pPr>
              <w:pStyle w:val="178"/>
              <w:jc w:val="center"/>
            </w:pPr>
            <w:r>
              <w:t>每半年一次</w:t>
            </w:r>
          </w:p>
        </w:tc>
        <w:tc>
          <w:tcPr>
            <w:tcW w:type="dxa" w:w="2409"/>
            <w:vAlign w:val="center"/>
          </w:tcPr>
          <w:p>
            <w:pPr>
              <w:pStyle w:val="178"/>
              <w:jc w:val="center"/>
            </w:pPr>
            <w:r>
              <w:t>地方规范</w:t>
            </w:r>
          </w:p>
        </w:tc>
      </w:tr>
    </w:tbl>
    <w:p>
      <w:pPr>
        <w:pStyle w:val="105"/>
      </w:pPr>
      <w:r>
        <w:t>监测数据管理</w:t>
      </w:r>
    </w:p>
    <w:p>
      <w:pPr>
        <w:pStyle w:val="165"/>
        <w:numPr>
          <w:ilvl w:val="3"/>
          <w:numId w:val="2"/>
        </w:numPr>
      </w:pPr>
      <w:r>
        <w:t>监测数据应实时上传至地热资源管理信息平台，保存年限不少于开采年限加10年。</w:t>
      </w:r>
    </w:p>
    <w:p>
      <w:pPr>
        <w:pStyle w:val="165"/>
        <w:numPr>
          <w:ilvl w:val="3"/>
          <w:numId w:val="2"/>
        </w:numPr>
      </w:pPr>
      <w:r>
        <w:t>监测数据分析应与热储数值模型相结合，每3年更新一次热储模型，预测未来10年的资源变化趋势。</w:t>
      </w:r>
    </w:p>
    <w:p>
      <w:pPr>
        <w:pStyle w:val="165"/>
        <w:numPr>
          <w:ilvl w:val="3"/>
          <w:numId w:val="2"/>
        </w:numPr>
      </w:pPr>
      <w:r>
        <w:t>发现水位持续下降、水质明显恶化或地面沉降超标时，应立即向主管部门报告，并采取减采或停采措施。</w:t>
      </w:r>
    </w:p>
    <w:p>
      <w:pPr>
        <w:pStyle w:val="104"/>
      </w:pPr>
      <w:r>
        <w:t>安全管理</w:t>
      </w:r>
    </w:p>
    <w:p>
      <w:pPr>
        <w:pStyle w:val="105"/>
      </w:pPr>
      <w:r>
        <w:t>人员安全</w:t>
      </w:r>
    </w:p>
    <w:p>
      <w:pPr>
        <w:pStyle w:val="165"/>
        <w:numPr>
          <w:ilvl w:val="3"/>
          <w:numId w:val="2"/>
        </w:numPr>
      </w:pPr>
      <w:r>
        <w:t>地热温泉开采与运营单位应建立健全安全生产责任制，配备专职或兼职安全管理人员。</w:t>
      </w:r>
    </w:p>
    <w:p>
      <w:pPr>
        <w:pStyle w:val="165"/>
        <w:numPr>
          <w:ilvl w:val="3"/>
          <w:numId w:val="2"/>
        </w:numPr>
      </w:pPr>
      <w:r>
        <w:t>从事高温温泉（T≥60 ℃）作业的人员应配备隔热防护手套、面罩及防烫伤工作服，并经培训持证上岗。</w:t>
      </w:r>
    </w:p>
    <w:p>
      <w:pPr>
        <w:pStyle w:val="165"/>
        <w:numPr>
          <w:ilvl w:val="3"/>
          <w:numId w:val="2"/>
        </w:numPr>
      </w:pPr>
      <w:r>
        <w:t>温泉浴区应设置水温显示装置，浴池水温宜控制在38～42 ℃，≥43 ℃需标注高温警示。</w:t>
      </w:r>
    </w:p>
    <w:p>
      <w:pPr>
        <w:pStyle w:val="105"/>
      </w:pPr>
      <w:r>
        <w:t>设备安全</w:t>
      </w:r>
    </w:p>
    <w:p>
      <w:pPr>
        <w:pStyle w:val="165"/>
        <w:numPr>
          <w:ilvl w:val="3"/>
          <w:numId w:val="2"/>
        </w:numPr>
      </w:pPr>
      <w:r>
        <w:t>开采井泵、换热设备、管道阀门等关键设施应建立定期巡检和维护制度，检查周期不超过每月一次。</w:t>
      </w:r>
    </w:p>
    <w:p>
      <w:pPr>
        <w:pStyle w:val="165"/>
        <w:numPr>
          <w:ilvl w:val="3"/>
          <w:numId w:val="2"/>
        </w:numPr>
      </w:pPr>
      <w:r>
        <w:t>井口压力安全阀的定压值应基于热储压力动态数据合理设定，每年校验一次。</w:t>
      </w:r>
    </w:p>
    <w:p>
      <w:pPr>
        <w:pStyle w:val="165"/>
        <w:numPr>
          <w:ilvl w:val="3"/>
          <w:numId w:val="2"/>
        </w:numPr>
      </w:pPr>
      <w:r>
        <w:t>高压蒸汽管线应安装泄压阀和隔热保温层，管线设计压力应留有不低于1.5倍安全系数。</w:t>
      </w:r>
    </w:p>
    <w:p>
      <w:pPr>
        <w:pStyle w:val="105"/>
      </w:pPr>
      <w:r>
        <w:t>应急管理</w:t>
      </w:r>
    </w:p>
    <w:p>
      <w:pPr>
        <w:pStyle w:val="165"/>
        <w:numPr>
          <w:ilvl w:val="3"/>
          <w:numId w:val="2"/>
        </w:numPr>
      </w:pPr>
      <w:r>
        <w:t>企业应制定地热温泉突发事故应急预案，涵盖井喷、管线泄漏、地面沉降超标及水质污染等情形，预案应每年演练一次。</w:t>
      </w:r>
    </w:p>
    <w:p>
      <w:pPr>
        <w:pStyle w:val="165"/>
        <w:numPr>
          <w:ilvl w:val="3"/>
          <w:numId w:val="2"/>
        </w:numPr>
      </w:pPr>
      <w:r>
        <w:t>发生井喷事故时，应立即关闭井口截止阀，疏散人员，向应急管理部门报告，并启动专业抢险队伍处置。</w:t>
      </w:r>
    </w:p>
    <w:p>
      <w:pPr>
        <w:pStyle w:val="165"/>
        <w:numPr>
          <w:ilvl w:val="3"/>
          <w:numId w:val="2"/>
        </w:numPr>
      </w:pPr>
      <w:r>
        <w:t>温泉浴区应配备急救设备和经培训的急救人员，溺水、烫伤急救设施应符合国家相关标准。</w:t>
      </w:r>
    </w:p>
    <w:p>
      <w:pPr>
        <w:sectPr>
          <w:type w:val="nextPage"/>
          <w:pgSz w:w="11906" w:h="16838"/>
          <w:pgMar w:top="1928" w:right="1134" w:bottom="1134" w:left="1134" w:header="1418" w:footer="1134" w:gutter="284"/>
          <w:cols w:space="425" w:num="1"/>
          <w:formProt w:val="0"/>
          <w:docGrid w:linePitch="312" w:charSpace="0"/>
        </w:sectPr>
      </w:pPr>
    </w:p>
    <w:p>
      <w:pPr>
        <w:pStyle w:val="76"/>
        <w:pageBreakBefore w:val="0"/>
      </w:pPr>
      <w:r>
        <w:br/>
      </w:r>
      <w:r>
        <w:rPr>
          <w:rFonts w:ascii="黑体" w:eastAsia="黑体"/>
        </w:rPr>
        <w:t>（规范性）</w:t>
      </w:r>
      <w:r>
        <w:br/>
      </w:r>
      <w:r>
        <w:rPr>
          <w:rFonts w:ascii="黑体" w:hAnsi="Times New Roman" w:eastAsia="黑体" w:cs="Times New Roman"/>
          <w:kern w:val="21"/>
          <w:sz w:val="21"/>
          <w:lang w:val="en-US" w:eastAsia="zh-CN" w:bidi="ar-SA"/>
        </w:rPr>
        <w:t>温泉水质分类标准</w:t>
      </w:r>
    </w:p>
    <w:p>
      <w:pPr>
        <w:pStyle w:val="78"/>
      </w:pPr>
      <w:r>
        <w:t>适用范围</w:t>
      </w:r>
    </w:p>
    <w:p>
      <w:pPr>
        <w:pStyle w:val="56"/>
      </w:pPr>
      <w:r>
        <w:t>本附录规定了用于洗浴（含医疗保健和旅游休闲）的地热温泉水质分类指标，供开发单位参照执行。</w:t>
      </w:r>
    </w:p>
    <w:p>
      <w:pPr>
        <w:pStyle w:val="78"/>
      </w:pPr>
      <w:r>
        <w:t>水质分类</w:t>
      </w:r>
    </w:p>
    <w:p>
      <w:pPr>
        <w:pStyle w:val="56"/>
      </w:pPr>
      <w:r>
        <w:t>地热温泉洗浴用水按水质特征分为I类（优质）、II类（良好）、III类（达标）三个等级，具体指标见</w:t>
      </w:r>
      <w:r>
        <w:fldChar w:fldCharType="begin"/>
      </w:r>
      <w:r>
        <w:instrText xml:space="preserve"> REF _Ref353266313 \h </w:instrText>
      </w:r>
      <w:r>
        <w:fldChar w:fldCharType="separate"/>
      </w:r>
      <w:r>
        <w:t>?</w:t>
      </w:r>
      <w:r>
        <w:fldChar w:fldCharType="end"/>
      </w:r>
      <w:r>
        <w:t>。</w:t>
      </w:r>
    </w:p>
    <w:p>
      <w:pPr>
        <w:pStyle w:val="77"/>
        <w:numPr>
          <w:ilvl w:val="0"/>
          <w:numId w:val="0"/>
        </w:numPr>
      </w:pPr>
      <w:bookmarkStart w:id="1022" w:name="_Ref262632552"/>
      <w:bookmarkStart w:id="1023" w:name="_Ref353266313"/>
      <w:r>
        <w:t>表</w:t>
      </w:r>
      <w:bookmarkStart w:id="1024" w:name="_Ref459433507"/>
      <w:r>
        <w:t>A.</w:t>
      </w:r>
      <w:r>
        <w:fldChar w:fldCharType="begin"/>
      </w:r>
      <w:r>
        <w:instrText xml:space="preserve"> SEQ 表 \* ARABIC \r 1 </w:instrText>
      </w:r>
      <w:r>
        <w:fldChar w:fldCharType="separate"/>
      </w:r>
      <w:r>
        <w:t>1</w:t>
      </w:r>
      <w:r>
        <w:fldChar w:fldCharType="end"/>
      </w:r>
      <w:bookmarkEnd w:id="1024"/>
      <w:bookmarkEnd w:id="1023"/>
      <w:r>
        <w:t xml:space="preserve">　</w:t>
      </w:r>
      <w:bookmarkStart w:id="1025" w:name="_Ref651792467"/>
      <w:r>
        <w:t>温泉洗浴用水水质分类指标</w:t>
      </w:r>
      <w:bookmarkEnd w:id="1022"/>
      <w:bookmarkEnd w:id="1025"/>
    </w:p>
    <w:tbl>
      <w:tblPr>
        <w:tblStyle w:val="27"/>
        <w:tblW w:type="auto" w:w="0"/>
        <w:tblLook w:firstColumn="1" w:firstRow="1" w:lastColumn="0" w:lastRow="0" w:noHBand="0" w:noVBand="1" w:val="04A0"/>
      </w:tblPr>
      <w:tblGrid>
        <w:gridCol w:w="1928"/>
        <w:gridCol w:w="1928"/>
        <w:gridCol w:w="1928"/>
        <w:gridCol w:w="1928"/>
        <w:gridCol w:w="1928"/>
      </w:tblGrid>
      <w:tr>
        <w:trPr>
          <w:tblHeader w:val="true"/>
        </w:trPr>
        <w:tc>
          <w:tcPr>
            <w:tcW w:type="dxa" w:w="1928"/>
            <w:vAlign w:val="center"/>
          </w:tcPr>
          <w:p>
            <w:pPr>
              <w:pStyle w:val="178"/>
              <w:jc w:val="center"/>
            </w:pPr>
            <w:r>
              <w:t>检测项目</w:t>
            </w:r>
          </w:p>
        </w:tc>
        <w:tc>
          <w:tcPr>
            <w:tcW w:type="dxa" w:w="1928"/>
            <w:vAlign w:val="center"/>
          </w:tcPr>
          <w:p>
            <w:pPr>
              <w:pStyle w:val="178"/>
              <w:jc w:val="center"/>
            </w:pPr>
            <w:r>
              <w:t>I类（优质）</w:t>
            </w:r>
          </w:p>
        </w:tc>
        <w:tc>
          <w:tcPr>
            <w:tcW w:type="dxa" w:w="1928"/>
            <w:vAlign w:val="center"/>
          </w:tcPr>
          <w:p>
            <w:pPr>
              <w:pStyle w:val="178"/>
              <w:jc w:val="center"/>
            </w:pPr>
            <w:r>
              <w:t>II类（良好）</w:t>
            </w:r>
          </w:p>
        </w:tc>
        <w:tc>
          <w:tcPr>
            <w:tcW w:type="dxa" w:w="1928"/>
            <w:vAlign w:val="center"/>
          </w:tcPr>
          <w:p>
            <w:pPr>
              <w:pStyle w:val="178"/>
              <w:jc w:val="center"/>
            </w:pPr>
            <w:r>
              <w:t>III类（达标）</w:t>
            </w:r>
          </w:p>
        </w:tc>
        <w:tc>
          <w:tcPr>
            <w:tcW w:type="dxa" w:w="1928"/>
            <w:vAlign w:val="center"/>
          </w:tcPr>
          <w:p>
            <w:pPr>
              <w:pStyle w:val="178"/>
              <w:jc w:val="center"/>
            </w:pPr>
            <w:r>
              <w:t>检测方法</w:t>
            </w:r>
          </w:p>
        </w:tc>
      </w:tr>
      <w:tr>
        <w:tc>
          <w:tcPr>
            <w:tcW w:type="dxa" w:w="1928"/>
            <w:vAlign w:val="center"/>
          </w:tcPr>
          <w:p>
            <w:pPr>
              <w:pStyle w:val="178"/>
              <w:jc w:val="center"/>
            </w:pPr>
            <w:r>
              <w:t>pH（无量纲）</w:t>
            </w:r>
          </w:p>
        </w:tc>
        <w:tc>
          <w:tcPr>
            <w:tcW w:type="dxa" w:w="1928"/>
            <w:vAlign w:val="center"/>
          </w:tcPr>
          <w:p>
            <w:pPr>
              <w:pStyle w:val="178"/>
              <w:jc w:val="center"/>
            </w:pPr>
            <w:r>
              <w:t>6.5～8.5</w:t>
            </w:r>
          </w:p>
        </w:tc>
        <w:tc>
          <w:tcPr>
            <w:tcW w:type="dxa" w:w="1928"/>
            <w:vAlign w:val="center"/>
          </w:tcPr>
          <w:p>
            <w:pPr>
              <w:pStyle w:val="178"/>
              <w:jc w:val="center"/>
            </w:pPr>
            <w:r>
              <w:t>6.0～9.0</w:t>
            </w:r>
          </w:p>
        </w:tc>
        <w:tc>
          <w:tcPr>
            <w:tcW w:type="dxa" w:w="1928"/>
            <w:vAlign w:val="center"/>
          </w:tcPr>
          <w:p>
            <w:pPr>
              <w:pStyle w:val="178"/>
              <w:jc w:val="center"/>
            </w:pPr>
            <w:r>
              <w:t>5.5～9.5</w:t>
            </w:r>
          </w:p>
        </w:tc>
        <w:tc>
          <w:tcPr>
            <w:tcW w:type="dxa" w:w="1928"/>
            <w:vAlign w:val="center"/>
          </w:tcPr>
          <w:p>
            <w:pPr>
              <w:pStyle w:val="178"/>
              <w:jc w:val="center"/>
            </w:pPr>
            <w:r>
              <w:t>GB/T 5750</w:t>
            </w:r>
          </w:p>
        </w:tc>
      </w:tr>
      <w:tr>
        <w:tc>
          <w:tcPr>
            <w:tcW w:type="dxa" w:w="1928"/>
            <w:vAlign w:val="center"/>
          </w:tcPr>
          <w:p>
            <w:pPr>
              <w:pStyle w:val="178"/>
              <w:jc w:val="center"/>
            </w:pPr>
            <w:r>
              <w:t>TDS（mg/L）</w:t>
            </w:r>
          </w:p>
        </w:tc>
        <w:tc>
          <w:tcPr>
            <w:tcW w:type="dxa" w:w="1928"/>
            <w:vAlign w:val="center"/>
          </w:tcPr>
          <w:p>
            <w:pPr>
              <w:pStyle w:val="178"/>
              <w:jc w:val="center"/>
            </w:pPr>
            <w:r>
              <w:t>≤500</w:t>
            </w:r>
          </w:p>
        </w:tc>
        <w:tc>
          <w:tcPr>
            <w:tcW w:type="dxa" w:w="1928"/>
            <w:vAlign w:val="center"/>
          </w:tcPr>
          <w:p>
            <w:pPr>
              <w:pStyle w:val="178"/>
              <w:jc w:val="center"/>
            </w:pPr>
            <w:r>
              <w:t>≤1000</w:t>
            </w:r>
          </w:p>
        </w:tc>
        <w:tc>
          <w:tcPr>
            <w:tcW w:type="dxa" w:w="1928"/>
            <w:vAlign w:val="center"/>
          </w:tcPr>
          <w:p>
            <w:pPr>
              <w:pStyle w:val="178"/>
              <w:jc w:val="center"/>
            </w:pPr>
            <w:r>
              <w:t>≤2000</w:t>
            </w:r>
          </w:p>
        </w:tc>
        <w:tc>
          <w:tcPr>
            <w:tcW w:type="dxa" w:w="1928"/>
            <w:vAlign w:val="center"/>
          </w:tcPr>
          <w:p>
            <w:pPr>
              <w:pStyle w:val="178"/>
              <w:jc w:val="center"/>
            </w:pPr>
            <w:r>
              <w:t>重量法</w:t>
            </w:r>
          </w:p>
        </w:tc>
      </w:tr>
      <w:tr>
        <w:tc>
          <w:tcPr>
            <w:tcW w:type="dxa" w:w="1928"/>
            <w:vAlign w:val="center"/>
          </w:tcPr>
          <w:p>
            <w:pPr>
              <w:pStyle w:val="178"/>
              <w:jc w:val="center"/>
            </w:pPr>
            <w:r>
              <w:t>氟化物（mg/L）</w:t>
            </w:r>
          </w:p>
        </w:tc>
        <w:tc>
          <w:tcPr>
            <w:tcW w:type="dxa" w:w="1928"/>
            <w:vAlign w:val="center"/>
          </w:tcPr>
          <w:p>
            <w:pPr>
              <w:pStyle w:val="178"/>
              <w:jc w:val="center"/>
            </w:pPr>
            <w:r>
              <w:t>≤0.5</w:t>
            </w:r>
          </w:p>
        </w:tc>
        <w:tc>
          <w:tcPr>
            <w:tcW w:type="dxa" w:w="1928"/>
            <w:vAlign w:val="center"/>
          </w:tcPr>
          <w:p>
            <w:pPr>
              <w:pStyle w:val="178"/>
              <w:jc w:val="center"/>
            </w:pPr>
            <w:r>
              <w:t>≤1.0</w:t>
            </w:r>
          </w:p>
        </w:tc>
        <w:tc>
          <w:tcPr>
            <w:tcW w:type="dxa" w:w="1928"/>
            <w:vAlign w:val="center"/>
          </w:tcPr>
          <w:p>
            <w:pPr>
              <w:pStyle w:val="178"/>
              <w:jc w:val="center"/>
            </w:pPr>
            <w:r>
              <w:t>≤2.0</w:t>
            </w:r>
          </w:p>
        </w:tc>
        <w:tc>
          <w:tcPr>
            <w:tcW w:type="dxa" w:w="1928"/>
            <w:vAlign w:val="center"/>
          </w:tcPr>
          <w:p>
            <w:pPr>
              <w:pStyle w:val="178"/>
              <w:jc w:val="center"/>
            </w:pPr>
            <w:r>
              <w:t>GB/T 5750</w:t>
            </w:r>
          </w:p>
        </w:tc>
      </w:tr>
      <w:tr>
        <w:tc>
          <w:tcPr>
            <w:tcW w:type="dxa" w:w="1928"/>
            <w:vAlign w:val="center"/>
          </w:tcPr>
          <w:p>
            <w:pPr>
              <w:pStyle w:val="178"/>
              <w:jc w:val="center"/>
            </w:pPr>
            <w:r>
              <w:t>砷（μg/L）</w:t>
            </w:r>
          </w:p>
        </w:tc>
        <w:tc>
          <w:tcPr>
            <w:tcW w:type="dxa" w:w="1928"/>
            <w:vAlign w:val="center"/>
          </w:tcPr>
          <w:p>
            <w:pPr>
              <w:pStyle w:val="178"/>
              <w:jc w:val="center"/>
            </w:pPr>
            <w:r>
              <w:t>≤10</w:t>
            </w:r>
          </w:p>
        </w:tc>
        <w:tc>
          <w:tcPr>
            <w:tcW w:type="dxa" w:w="1928"/>
            <w:vAlign w:val="center"/>
          </w:tcPr>
          <w:p>
            <w:pPr>
              <w:pStyle w:val="178"/>
              <w:jc w:val="center"/>
            </w:pPr>
            <w:r>
              <w:t>≤25</w:t>
            </w:r>
          </w:p>
        </w:tc>
        <w:tc>
          <w:tcPr>
            <w:tcW w:type="dxa" w:w="1928"/>
            <w:vAlign w:val="center"/>
          </w:tcPr>
          <w:p>
            <w:pPr>
              <w:pStyle w:val="178"/>
              <w:jc w:val="center"/>
            </w:pPr>
            <w:r>
              <w:t>≤50</w:t>
            </w:r>
          </w:p>
        </w:tc>
        <w:tc>
          <w:tcPr>
            <w:tcW w:type="dxa" w:w="1928"/>
            <w:vAlign w:val="center"/>
          </w:tcPr>
          <w:p>
            <w:pPr>
              <w:pStyle w:val="178"/>
              <w:jc w:val="center"/>
            </w:pPr>
            <w:r>
              <w:t>GB/T 5750</w:t>
            </w:r>
          </w:p>
        </w:tc>
      </w:tr>
      <w:tr>
        <w:tc>
          <w:tcPr>
            <w:tcW w:type="dxa" w:w="1928"/>
            <w:vAlign w:val="center"/>
          </w:tcPr>
          <w:p>
            <w:pPr>
              <w:pStyle w:val="178"/>
              <w:jc w:val="center"/>
            </w:pPr>
            <w:r>
              <w:t>硫化氢（mg/L）</w:t>
            </w:r>
          </w:p>
        </w:tc>
        <w:tc>
          <w:tcPr>
            <w:tcW w:type="dxa" w:w="1928"/>
            <w:vAlign w:val="center"/>
          </w:tcPr>
          <w:p>
            <w:pPr>
              <w:pStyle w:val="178"/>
              <w:jc w:val="center"/>
            </w:pPr>
            <w:r>
              <w:t>≤0.05</w:t>
            </w:r>
          </w:p>
        </w:tc>
        <w:tc>
          <w:tcPr>
            <w:tcW w:type="dxa" w:w="1928"/>
            <w:vAlign w:val="center"/>
          </w:tcPr>
          <w:p>
            <w:pPr>
              <w:pStyle w:val="178"/>
              <w:jc w:val="center"/>
            </w:pPr>
            <w:r>
              <w:t>≤0.1</w:t>
            </w:r>
          </w:p>
        </w:tc>
        <w:tc>
          <w:tcPr>
            <w:tcW w:type="dxa" w:w="1928"/>
            <w:vAlign w:val="center"/>
          </w:tcPr>
          <w:p>
            <w:pPr>
              <w:pStyle w:val="178"/>
              <w:jc w:val="center"/>
            </w:pPr>
            <w:r>
              <w:t>≤0.2</w:t>
            </w:r>
          </w:p>
        </w:tc>
        <w:tc>
          <w:tcPr>
            <w:tcW w:type="dxa" w:w="1928"/>
            <w:vAlign w:val="center"/>
          </w:tcPr>
          <w:p>
            <w:pPr>
              <w:pStyle w:val="178"/>
              <w:jc w:val="center"/>
            </w:pPr>
            <w:r>
              <w:t>碘量法</w:t>
            </w:r>
          </w:p>
        </w:tc>
      </w:tr>
    </w:tbl>
    <w:p>
      <w:pPr>
        <w:pStyle w:val="77"/>
        <w:numPr>
          <w:ilvl w:val="0"/>
          <w:numId w:val="0"/>
        </w:numPr>
      </w:pPr>
      <w:r>
        <w:fldChar w:fldCharType="begin"/>
      </w:r>
      <w:r>
        <w:instrText xml:space="preserve"> REF _Ref353266313 \h </w:instrText>
      </w:r>
      <w:r>
        <w:fldChar w:fldCharType="separate"/>
      </w:r>
      <w:r>
        <w:t>表?</w:t>
      </w:r>
      <w:r>
        <w:fldChar w:fldCharType="end"/>
      </w:r>
      <w:r>
        <w:t>（续）</w:t>
      </w:r>
    </w:p>
    <w:tbl>
      <w:tblPr>
        <w:tblStyle w:val="27"/>
        <w:tblW w:type="auto" w:w="0"/>
        <w:tblLook w:firstColumn="1" w:firstRow="1" w:lastColumn="0" w:lastRow="0" w:noHBand="0" w:noVBand="1" w:val="04A0"/>
      </w:tblPr>
      <w:tblGrid>
        <w:gridCol w:w="1928"/>
        <w:gridCol w:w="1928"/>
        <w:gridCol w:w="1928"/>
        <w:gridCol w:w="1928"/>
        <w:gridCol w:w="1928"/>
      </w:tblGrid>
      <w:tr>
        <w:trPr>
          <w:tblHeader w:val="true"/>
        </w:trPr>
        <w:tc>
          <w:tcPr>
            <w:tcW w:type="dxa" w:w="1928"/>
            <w:vAlign w:val="center"/>
          </w:tcPr>
          <w:p>
            <w:pPr>
              <w:pStyle w:val="178"/>
              <w:jc w:val="center"/>
            </w:pPr>
            <w:r>
              <w:t>检测项目</w:t>
            </w:r>
          </w:p>
        </w:tc>
        <w:tc>
          <w:tcPr>
            <w:tcW w:type="dxa" w:w="1928"/>
            <w:vAlign w:val="center"/>
          </w:tcPr>
          <w:p>
            <w:pPr>
              <w:pStyle w:val="178"/>
              <w:jc w:val="center"/>
            </w:pPr>
            <w:r>
              <w:t>I类（优质）</w:t>
            </w:r>
          </w:p>
        </w:tc>
        <w:tc>
          <w:tcPr>
            <w:tcW w:type="dxa" w:w="1928"/>
            <w:vAlign w:val="center"/>
          </w:tcPr>
          <w:p>
            <w:pPr>
              <w:pStyle w:val="178"/>
              <w:jc w:val="center"/>
            </w:pPr>
            <w:r>
              <w:t>II类（良好）</w:t>
            </w:r>
          </w:p>
        </w:tc>
        <w:tc>
          <w:tcPr>
            <w:tcW w:type="dxa" w:w="1928"/>
            <w:vAlign w:val="center"/>
          </w:tcPr>
          <w:p>
            <w:pPr>
              <w:pStyle w:val="178"/>
              <w:jc w:val="center"/>
            </w:pPr>
            <w:r>
              <w:t>III类（达标）</w:t>
            </w:r>
          </w:p>
        </w:tc>
        <w:tc>
          <w:tcPr>
            <w:tcW w:type="dxa" w:w="1928"/>
            <w:vAlign w:val="center"/>
          </w:tcPr>
          <w:p>
            <w:pPr>
              <w:pStyle w:val="178"/>
              <w:jc w:val="center"/>
            </w:pPr>
            <w:r>
              <w:t>检测方法</w:t>
            </w:r>
          </w:p>
        </w:tc>
      </w:tr>
      <w:tr>
        <w:tc>
          <w:tcPr>
            <w:tcW w:type="dxa" w:w="1928"/>
            <w:vAlign w:val="center"/>
          </w:tcPr>
          <w:p>
            <w:pPr>
              <w:pStyle w:val="178"/>
              <w:jc w:val="center"/>
            </w:pPr>
            <w:r>
              <w:t>菌落总数（CFU/mL）</w:t>
            </w:r>
          </w:p>
        </w:tc>
        <w:tc>
          <w:tcPr>
            <w:tcW w:type="dxa" w:w="1928"/>
            <w:vAlign w:val="center"/>
          </w:tcPr>
          <w:p>
            <w:pPr>
              <w:pStyle w:val="178"/>
              <w:jc w:val="center"/>
            </w:pPr>
            <w:r>
              <w:t>≤50</w:t>
            </w:r>
          </w:p>
        </w:tc>
        <w:tc>
          <w:tcPr>
            <w:tcW w:type="dxa" w:w="1928"/>
            <w:vAlign w:val="center"/>
          </w:tcPr>
          <w:p>
            <w:pPr>
              <w:pStyle w:val="178"/>
              <w:jc w:val="center"/>
            </w:pPr>
            <w:r>
              <w:t>≤100</w:t>
            </w:r>
          </w:p>
        </w:tc>
        <w:tc>
          <w:tcPr>
            <w:tcW w:type="dxa" w:w="1928"/>
            <w:vAlign w:val="center"/>
          </w:tcPr>
          <w:p>
            <w:pPr>
              <w:pStyle w:val="178"/>
              <w:jc w:val="center"/>
            </w:pPr>
            <w:r>
              <w:t>≤200</w:t>
            </w:r>
          </w:p>
        </w:tc>
        <w:tc>
          <w:tcPr>
            <w:tcW w:type="dxa" w:w="1928"/>
            <w:vAlign w:val="center"/>
          </w:tcPr>
          <w:p>
            <w:pPr>
              <w:pStyle w:val="178"/>
              <w:jc w:val="center"/>
            </w:pPr>
            <w:r>
              <w:t>GB/T 5750</w:t>
            </w:r>
          </w:p>
        </w:tc>
      </w:tr>
      <w:tr>
        <w:tc>
          <w:tcPr>
            <w:tcW w:type="dxa" w:w="1928"/>
            <w:vAlign w:val="center"/>
          </w:tcPr>
          <w:p>
            <w:pPr>
              <w:pStyle w:val="178"/>
              <w:jc w:val="center"/>
            </w:pPr>
            <w:r>
              <w:t>大肠菌群（MPN/100mL）</w:t>
            </w:r>
          </w:p>
        </w:tc>
        <w:tc>
          <w:tcPr>
            <w:tcW w:type="dxa" w:w="1928"/>
            <w:vAlign w:val="center"/>
          </w:tcPr>
          <w:p>
            <w:pPr>
              <w:pStyle w:val="178"/>
              <w:jc w:val="center"/>
            </w:pPr>
            <w:r>
              <w:t>不得检出</w:t>
            </w:r>
          </w:p>
        </w:tc>
        <w:tc>
          <w:tcPr>
            <w:tcW w:type="dxa" w:w="1928"/>
            <w:vAlign w:val="center"/>
          </w:tcPr>
          <w:p>
            <w:pPr>
              <w:pStyle w:val="178"/>
              <w:jc w:val="center"/>
            </w:pPr>
            <w:r>
              <w:t>不得检出</w:t>
            </w:r>
          </w:p>
        </w:tc>
        <w:tc>
          <w:tcPr>
            <w:tcW w:type="dxa" w:w="1928"/>
            <w:vAlign w:val="center"/>
          </w:tcPr>
          <w:p>
            <w:pPr>
              <w:pStyle w:val="178"/>
              <w:jc w:val="center"/>
            </w:pPr>
            <w:r>
              <w:t>≤3</w:t>
            </w:r>
          </w:p>
        </w:tc>
        <w:tc>
          <w:tcPr>
            <w:tcW w:type="dxa" w:w="1928"/>
            <w:vAlign w:val="center"/>
          </w:tcPr>
          <w:p>
            <w:pPr>
              <w:pStyle w:val="178"/>
              <w:jc w:val="center"/>
            </w:pPr>
            <w:r>
              <w:t>GB/T 5750</w:t>
            </w:r>
          </w:p>
        </w:tc>
      </w:tr>
      <w:tr>
        <w:tc>
          <w:tcPr>
            <w:tcW w:type="dxa" w:w="1928"/>
            <w:vAlign w:val="center"/>
          </w:tcPr>
          <w:p>
            <w:pPr>
              <w:pStyle w:val="178"/>
              <w:jc w:val="center"/>
            </w:pPr>
            <w:r>
              <w:t>嗜肺军团菌（CFU/L）</w:t>
            </w:r>
          </w:p>
        </w:tc>
        <w:tc>
          <w:tcPr>
            <w:tcW w:type="dxa" w:w="1928"/>
            <w:vAlign w:val="center"/>
          </w:tcPr>
          <w:p>
            <w:pPr>
              <w:pStyle w:val="178"/>
              <w:jc w:val="center"/>
            </w:pPr>
            <w:r>
              <w:t>≤100</w:t>
            </w:r>
          </w:p>
        </w:tc>
        <w:tc>
          <w:tcPr>
            <w:tcW w:type="dxa" w:w="1928"/>
            <w:vAlign w:val="center"/>
          </w:tcPr>
          <w:p>
            <w:pPr>
              <w:pStyle w:val="178"/>
              <w:jc w:val="center"/>
            </w:pPr>
            <w:r>
              <w:t>≤500</w:t>
            </w:r>
          </w:p>
        </w:tc>
        <w:tc>
          <w:tcPr>
            <w:tcW w:type="dxa" w:w="1928"/>
            <w:vAlign w:val="center"/>
          </w:tcPr>
          <w:p>
            <w:pPr>
              <w:pStyle w:val="178"/>
              <w:jc w:val="center"/>
            </w:pPr>
            <w:r>
              <w:t>≤1000</w:t>
            </w:r>
          </w:p>
        </w:tc>
        <w:tc>
          <w:tcPr>
            <w:tcW w:type="dxa" w:w="1928"/>
            <w:vAlign w:val="center"/>
          </w:tcPr>
          <w:p>
            <w:pPr>
              <w:pStyle w:val="178"/>
              <w:jc w:val="center"/>
            </w:pPr>
            <w:r>
              <w:t>WS/T 397</w:t>
            </w:r>
          </w:p>
        </w:tc>
      </w:tr>
    </w:tbl>
    <w:p>
      <w:pPr>
        <w:pStyle w:val="78"/>
      </w:pPr>
      <w:r>
        <w:t>特殊医疗温泉</w:t>
      </w:r>
    </w:p>
    <w:p>
      <w:pPr>
        <w:pStyle w:val="56"/>
      </w:pPr>
      <w:r>
        <w:t>含特殊医疗成分（如氡温泉、硫磺温泉、碳酸温泉、偏硅酸温泉等）的温泉水，其特征组分浓度应符合相关医疗行业标准的规定，并经卫生主管部门评估后方可标注相应医疗功能。</w:t>
      </w:r>
    </w:p>
    <w:p>
      <w:pPr>
        <w:sectPr>
          <w:type w:val="nextPage"/>
          <w:pgSz w:w="11906" w:h="16838"/>
          <w:pgMar w:top="1928" w:right="1134" w:bottom="1134" w:left="1134" w:header="1418" w:footer="1134" w:gutter="284"/>
          <w:cols w:space="425" w:num="1"/>
          <w:formProt w:val="0"/>
          <w:docGrid w:linePitch="312" w:charSpace="0"/>
        </w:sectPr>
      </w:pPr>
    </w:p>
    <w:p>
      <w:pPr>
        <w:pStyle w:val="76"/>
        <w:pageBreakBefore w:val="0"/>
      </w:pPr>
      <w:r>
        <w:br/>
      </w:r>
      <w:r>
        <w:rPr>
          <w:rFonts w:ascii="黑体" w:eastAsia="黑体"/>
        </w:rPr>
        <w:t>（资料性）</w:t>
      </w:r>
      <w:r>
        <w:br/>
      </w:r>
      <w:r>
        <w:rPr>
          <w:rFonts w:ascii="黑体" w:hAnsi="Times New Roman" w:eastAsia="黑体" w:cs="Times New Roman"/>
          <w:kern w:val="21"/>
          <w:sz w:val="21"/>
          <w:lang w:val="en-US" w:eastAsia="zh-CN" w:bidi="ar-SA"/>
        </w:rPr>
        <w:t>地热温泉开发利用评价指标体系</w:t>
      </w:r>
    </w:p>
    <w:p>
      <w:pPr>
        <w:pStyle w:val="78"/>
      </w:pPr>
      <w:r>
        <w:t>说明</w:t>
      </w:r>
    </w:p>
    <w:p>
      <w:pPr>
        <w:pStyle w:val="56"/>
      </w:pPr>
      <w:r>
        <w:t>本附录提供地热温泉资源综合开发利用评价的参考指标体系，适用于地热温泉开发项目的可行性研究、绩效评估及行政审查，不作为强制性要求。</w:t>
      </w:r>
    </w:p>
    <w:p>
      <w:pPr>
        <w:pStyle w:val="78"/>
      </w:pPr>
      <w:r>
        <w:t>评价指标</w:t>
      </w:r>
    </w:p>
    <w:p>
      <w:pPr>
        <w:pStyle w:val="56"/>
      </w:pPr>
      <w:r>
        <w:t>评价指标体系分为资源禀赋、开发合理性、环境影响、经济效益四个维度，见</w:t>
      </w:r>
      <w:r>
        <w:fldChar w:fldCharType="begin"/>
      </w:r>
      <w:r>
        <w:instrText xml:space="preserve"> REF _Ref183023001 \h </w:instrText>
      </w:r>
      <w:r>
        <w:fldChar w:fldCharType="separate"/>
      </w:r>
      <w:r>
        <w:t>?</w:t>
      </w:r>
      <w:r>
        <w:fldChar w:fldCharType="end"/>
      </w:r>
      <w:r>
        <w:t>。</w:t>
      </w:r>
    </w:p>
    <w:p>
      <w:pPr>
        <w:pStyle w:val="77"/>
        <w:numPr>
          <w:ilvl w:val="0"/>
          <w:numId w:val="0"/>
        </w:numPr>
      </w:pPr>
      <w:bookmarkStart w:id="1026" w:name="_Ref860728553"/>
      <w:bookmarkStart w:id="1027" w:name="_Ref183023001"/>
      <w:r>
        <w:t>表</w:t>
      </w:r>
      <w:bookmarkStart w:id="1028" w:name="_Ref606515305"/>
      <w:r>
        <w:t>B.</w:t>
      </w:r>
      <w:r>
        <w:fldChar w:fldCharType="begin"/>
      </w:r>
      <w:r>
        <w:instrText xml:space="preserve"> SEQ 表 \* ARABIC \r 1 </w:instrText>
      </w:r>
      <w:r>
        <w:fldChar w:fldCharType="separate"/>
      </w:r>
      <w:r>
        <w:t>1</w:t>
      </w:r>
      <w:r>
        <w:fldChar w:fldCharType="end"/>
      </w:r>
      <w:bookmarkEnd w:id="1028"/>
      <w:bookmarkEnd w:id="1027"/>
      <w:r>
        <w:t xml:space="preserve">　</w:t>
      </w:r>
      <w:bookmarkStart w:id="1029" w:name="_Ref776576162"/>
      <w:r>
        <w:t>地热温泉开发利用综合评价指标</w:t>
      </w:r>
      <w:bookmarkEnd w:id="1026"/>
      <w:bookmarkEnd w:id="1029"/>
    </w:p>
    <w:tbl>
      <w:tblPr>
        <w:tblStyle w:val="27"/>
        <w:tblW w:type="auto" w:w="0"/>
        <w:tblLook w:firstColumn="1" w:firstRow="1" w:lastColumn="0" w:lastRow="0" w:noHBand="0" w:noVBand="1" w:val="04A0"/>
      </w:tblPr>
      <w:tblGrid>
        <w:gridCol w:w="1928"/>
        <w:gridCol w:w="1928"/>
        <w:gridCol w:w="1928"/>
        <w:gridCol w:w="1928"/>
        <w:gridCol w:w="1928"/>
      </w:tblGrid>
      <w:tr>
        <w:trPr>
          <w:tblHeader w:val="true"/>
        </w:trPr>
        <w:tc>
          <w:tcPr>
            <w:tcW w:type="dxa" w:w="1928"/>
            <w:vAlign w:val="center"/>
          </w:tcPr>
          <w:p>
            <w:pPr>
              <w:pStyle w:val="178"/>
              <w:jc w:val="center"/>
            </w:pPr>
            <w:r>
              <w:t>评价维度</w:t>
            </w:r>
          </w:p>
        </w:tc>
        <w:tc>
          <w:tcPr>
            <w:tcW w:type="dxa" w:w="1928"/>
            <w:vAlign w:val="center"/>
          </w:tcPr>
          <w:p>
            <w:pPr>
              <w:pStyle w:val="178"/>
              <w:jc w:val="center"/>
            </w:pPr>
            <w:r>
              <w:t>评价指标</w:t>
            </w:r>
          </w:p>
        </w:tc>
        <w:tc>
          <w:tcPr>
            <w:tcW w:type="dxa" w:w="1928"/>
            <w:vAlign w:val="center"/>
          </w:tcPr>
          <w:p>
            <w:pPr>
              <w:pStyle w:val="178"/>
              <w:jc w:val="center"/>
            </w:pPr>
            <w:r>
              <w:t>优良</w:t>
            </w:r>
          </w:p>
        </w:tc>
        <w:tc>
          <w:tcPr>
            <w:tcW w:type="dxa" w:w="1928"/>
            <w:vAlign w:val="center"/>
          </w:tcPr>
          <w:p>
            <w:pPr>
              <w:pStyle w:val="178"/>
              <w:jc w:val="center"/>
            </w:pPr>
            <w:r>
              <w:t>一般</w:t>
            </w:r>
          </w:p>
        </w:tc>
        <w:tc>
          <w:tcPr>
            <w:tcW w:type="dxa" w:w="1928"/>
            <w:vAlign w:val="center"/>
          </w:tcPr>
          <w:p>
            <w:pPr>
              <w:pStyle w:val="178"/>
              <w:jc w:val="center"/>
            </w:pPr>
            <w:r>
              <w:t>较差</w:t>
            </w:r>
          </w:p>
        </w:tc>
      </w:tr>
      <w:tr>
        <w:tc>
          <w:tcPr>
            <w:tcW w:type="dxa" w:w="1928"/>
            <w:vAlign w:val="center"/>
          </w:tcPr>
          <w:p>
            <w:pPr>
              <w:pStyle w:val="178"/>
              <w:jc w:val="center"/>
            </w:pPr>
            <w:r>
              <w:t>资源禀赋</w:t>
            </w:r>
          </w:p>
        </w:tc>
        <w:tc>
          <w:tcPr>
            <w:tcW w:type="dxa" w:w="1928"/>
            <w:vAlign w:val="center"/>
          </w:tcPr>
          <w:p>
            <w:pPr>
              <w:pStyle w:val="178"/>
              <w:jc w:val="center"/>
            </w:pPr>
            <w:r>
              <w:t>热储温度（℃）</w:t>
            </w:r>
          </w:p>
        </w:tc>
        <w:tc>
          <w:tcPr>
            <w:tcW w:type="dxa" w:w="1928"/>
            <w:vAlign w:val="center"/>
          </w:tcPr>
          <w:p>
            <w:pPr>
              <w:pStyle w:val="178"/>
              <w:jc w:val="center"/>
            </w:pPr>
            <w:r>
              <w:t>≥60</w:t>
            </w:r>
          </w:p>
        </w:tc>
        <w:tc>
          <w:tcPr>
            <w:tcW w:type="dxa" w:w="1928"/>
            <w:vAlign w:val="center"/>
          </w:tcPr>
          <w:p>
            <w:pPr>
              <w:pStyle w:val="178"/>
              <w:jc w:val="center"/>
            </w:pPr>
            <w:r>
              <w:t>40～60</w:t>
            </w:r>
          </w:p>
        </w:tc>
        <w:tc>
          <w:tcPr>
            <w:tcW w:type="dxa" w:w="1928"/>
            <w:vAlign w:val="center"/>
          </w:tcPr>
          <w:p>
            <w:pPr>
              <w:pStyle w:val="178"/>
              <w:jc w:val="center"/>
            </w:pPr>
            <w:r>
              <w:t>&lt;40</w:t>
            </w:r>
          </w:p>
        </w:tc>
      </w:tr>
      <w:tr>
        <w:tc>
          <w:tcPr>
            <w:tcW w:type="dxa" w:w="1928"/>
            <w:vAlign w:val="center"/>
          </w:tcPr>
          <w:p>
            <w:pPr>
              <w:pStyle w:val="178"/>
              <w:jc w:val="center"/>
            </w:pPr>
            <w:r>
              <w:t>资源禀赋</w:t>
            </w:r>
          </w:p>
        </w:tc>
        <w:tc>
          <w:tcPr>
            <w:tcW w:type="dxa" w:w="1928"/>
            <w:vAlign w:val="center"/>
          </w:tcPr>
          <w:p>
            <w:pPr>
              <w:pStyle w:val="178"/>
              <w:jc w:val="center"/>
            </w:pPr>
            <w:r>
              <w:t>单井涌水量（m³/d）</w:t>
            </w:r>
          </w:p>
        </w:tc>
        <w:tc>
          <w:tcPr>
            <w:tcW w:type="dxa" w:w="1928"/>
            <w:vAlign w:val="center"/>
          </w:tcPr>
          <w:p>
            <w:pPr>
              <w:pStyle w:val="178"/>
              <w:jc w:val="center"/>
            </w:pPr>
            <w:r>
              <w:t>≥500</w:t>
            </w:r>
          </w:p>
        </w:tc>
        <w:tc>
          <w:tcPr>
            <w:tcW w:type="dxa" w:w="1928"/>
            <w:vAlign w:val="center"/>
          </w:tcPr>
          <w:p>
            <w:pPr>
              <w:pStyle w:val="178"/>
              <w:jc w:val="center"/>
            </w:pPr>
            <w:r>
              <w:t>200～500</w:t>
            </w:r>
          </w:p>
        </w:tc>
        <w:tc>
          <w:tcPr>
            <w:tcW w:type="dxa" w:w="1928"/>
            <w:vAlign w:val="center"/>
          </w:tcPr>
          <w:p>
            <w:pPr>
              <w:pStyle w:val="178"/>
              <w:jc w:val="center"/>
            </w:pPr>
            <w:r>
              <w:t>&lt;200</w:t>
            </w:r>
          </w:p>
        </w:tc>
      </w:tr>
      <w:tr>
        <w:tc>
          <w:tcPr>
            <w:tcW w:type="dxa" w:w="1928"/>
            <w:vAlign w:val="center"/>
          </w:tcPr>
          <w:p>
            <w:pPr>
              <w:pStyle w:val="178"/>
              <w:jc w:val="center"/>
            </w:pPr>
            <w:r>
              <w:t>资源禀赋</w:t>
            </w:r>
          </w:p>
        </w:tc>
        <w:tc>
          <w:tcPr>
            <w:tcW w:type="dxa" w:w="1928"/>
            <w:vAlign w:val="center"/>
          </w:tcPr>
          <w:p>
            <w:pPr>
              <w:pStyle w:val="178"/>
              <w:jc w:val="center"/>
            </w:pPr>
            <w:r>
              <w:t>水质综合评价</w:t>
            </w:r>
          </w:p>
        </w:tc>
        <w:tc>
          <w:tcPr>
            <w:tcW w:type="dxa" w:w="1928"/>
            <w:vAlign w:val="center"/>
          </w:tcPr>
          <w:p>
            <w:pPr>
              <w:pStyle w:val="178"/>
              <w:jc w:val="center"/>
            </w:pPr>
            <w:r>
              <w:t>I类</w:t>
            </w:r>
          </w:p>
        </w:tc>
        <w:tc>
          <w:tcPr>
            <w:tcW w:type="dxa" w:w="1928"/>
            <w:vAlign w:val="center"/>
          </w:tcPr>
          <w:p>
            <w:pPr>
              <w:pStyle w:val="178"/>
              <w:jc w:val="center"/>
            </w:pPr>
            <w:r>
              <w:t>II类</w:t>
            </w:r>
          </w:p>
        </w:tc>
        <w:tc>
          <w:tcPr>
            <w:tcW w:type="dxa" w:w="1928"/>
            <w:vAlign w:val="center"/>
          </w:tcPr>
          <w:p>
            <w:pPr>
              <w:pStyle w:val="178"/>
              <w:jc w:val="center"/>
            </w:pPr>
            <w:r>
              <w:t>III类</w:t>
            </w:r>
          </w:p>
        </w:tc>
      </w:tr>
      <w:tr>
        <w:tc>
          <w:tcPr>
            <w:tcW w:type="dxa" w:w="1928"/>
            <w:vAlign w:val="center"/>
          </w:tcPr>
          <w:p>
            <w:pPr>
              <w:pStyle w:val="178"/>
              <w:jc w:val="center"/>
            </w:pPr>
            <w:r>
              <w:t>开发合理性</w:t>
            </w:r>
          </w:p>
        </w:tc>
        <w:tc>
          <w:tcPr>
            <w:tcW w:type="dxa" w:w="1928"/>
            <w:vAlign w:val="center"/>
          </w:tcPr>
          <w:p>
            <w:pPr>
              <w:pStyle w:val="178"/>
              <w:jc w:val="center"/>
            </w:pPr>
            <w:r>
              <w:t>回灌率（%）</w:t>
            </w:r>
          </w:p>
        </w:tc>
        <w:tc>
          <w:tcPr>
            <w:tcW w:type="dxa" w:w="1928"/>
            <w:vAlign w:val="center"/>
          </w:tcPr>
          <w:p>
            <w:pPr>
              <w:pStyle w:val="178"/>
              <w:jc w:val="center"/>
            </w:pPr>
            <w:r>
              <w:t>≥90</w:t>
            </w:r>
          </w:p>
        </w:tc>
        <w:tc>
          <w:tcPr>
            <w:tcW w:type="dxa" w:w="1928"/>
            <w:vAlign w:val="center"/>
          </w:tcPr>
          <w:p>
            <w:pPr>
              <w:pStyle w:val="178"/>
              <w:jc w:val="center"/>
            </w:pPr>
            <w:r>
              <w:t>70～90</w:t>
            </w:r>
          </w:p>
        </w:tc>
        <w:tc>
          <w:tcPr>
            <w:tcW w:type="dxa" w:w="1928"/>
            <w:vAlign w:val="center"/>
          </w:tcPr>
          <w:p>
            <w:pPr>
              <w:pStyle w:val="178"/>
              <w:jc w:val="center"/>
            </w:pPr>
            <w:r>
              <w:t>&lt;70</w:t>
            </w:r>
          </w:p>
        </w:tc>
      </w:tr>
      <w:tr>
        <w:tc>
          <w:tcPr>
            <w:tcW w:type="dxa" w:w="1928"/>
            <w:vAlign w:val="center"/>
          </w:tcPr>
          <w:p>
            <w:pPr>
              <w:pStyle w:val="178"/>
              <w:jc w:val="center"/>
            </w:pPr>
            <w:r>
              <w:t>开发合理性</w:t>
            </w:r>
          </w:p>
        </w:tc>
        <w:tc>
          <w:tcPr>
            <w:tcW w:type="dxa" w:w="1928"/>
            <w:vAlign w:val="center"/>
          </w:tcPr>
          <w:p>
            <w:pPr>
              <w:pStyle w:val="178"/>
              <w:jc w:val="center"/>
            </w:pPr>
            <w:r>
              <w:t>能源梯级利用率（%）</w:t>
            </w:r>
          </w:p>
        </w:tc>
        <w:tc>
          <w:tcPr>
            <w:tcW w:type="dxa" w:w="1928"/>
            <w:vAlign w:val="center"/>
          </w:tcPr>
          <w:p>
            <w:pPr>
              <w:pStyle w:val="178"/>
              <w:jc w:val="center"/>
            </w:pPr>
            <w:r>
              <w:t>≥80</w:t>
            </w:r>
          </w:p>
        </w:tc>
        <w:tc>
          <w:tcPr>
            <w:tcW w:type="dxa" w:w="1928"/>
            <w:vAlign w:val="center"/>
          </w:tcPr>
          <w:p>
            <w:pPr>
              <w:pStyle w:val="178"/>
              <w:jc w:val="center"/>
            </w:pPr>
            <w:r>
              <w:t>60～80</w:t>
            </w:r>
          </w:p>
        </w:tc>
        <w:tc>
          <w:tcPr>
            <w:tcW w:type="dxa" w:w="1928"/>
            <w:vAlign w:val="center"/>
          </w:tcPr>
          <w:p>
            <w:pPr>
              <w:pStyle w:val="178"/>
              <w:jc w:val="center"/>
            </w:pPr>
            <w:r>
              <w:t>&lt;60</w:t>
            </w:r>
          </w:p>
        </w:tc>
      </w:tr>
    </w:tbl>
    <w:p>
      <w:pPr>
        <w:pStyle w:val="77"/>
        <w:numPr>
          <w:ilvl w:val="0"/>
          <w:numId w:val="0"/>
        </w:numPr>
      </w:pPr>
      <w:r>
        <w:fldChar w:fldCharType="begin"/>
      </w:r>
      <w:r>
        <w:instrText xml:space="preserve"> REF _Ref183023001 \h </w:instrText>
      </w:r>
      <w:r>
        <w:fldChar w:fldCharType="separate"/>
      </w:r>
      <w:r>
        <w:t>表?</w:t>
      </w:r>
      <w:r>
        <w:fldChar w:fldCharType="end"/>
      </w:r>
      <w:r>
        <w:t>（续）</w:t>
      </w:r>
    </w:p>
    <w:tbl>
      <w:tblPr>
        <w:tblStyle w:val="27"/>
        <w:tblW w:type="auto" w:w="0"/>
        <w:tblLook w:firstColumn="1" w:firstRow="1" w:lastColumn="0" w:lastRow="0" w:noHBand="0" w:noVBand="1" w:val="04A0"/>
      </w:tblPr>
      <w:tblGrid>
        <w:gridCol w:w="1928"/>
        <w:gridCol w:w="1928"/>
        <w:gridCol w:w="1928"/>
        <w:gridCol w:w="1928"/>
        <w:gridCol w:w="1928"/>
      </w:tblGrid>
      <w:tr>
        <w:trPr>
          <w:tblHeader w:val="true"/>
        </w:trPr>
        <w:tc>
          <w:tcPr>
            <w:tcW w:type="dxa" w:w="1928"/>
            <w:vAlign w:val="center"/>
          </w:tcPr>
          <w:p>
            <w:pPr>
              <w:pStyle w:val="178"/>
              <w:jc w:val="center"/>
            </w:pPr>
            <w:r>
              <w:t>评价维度</w:t>
            </w:r>
          </w:p>
        </w:tc>
        <w:tc>
          <w:tcPr>
            <w:tcW w:type="dxa" w:w="1928"/>
            <w:vAlign w:val="center"/>
          </w:tcPr>
          <w:p>
            <w:pPr>
              <w:pStyle w:val="178"/>
              <w:jc w:val="center"/>
            </w:pPr>
            <w:r>
              <w:t>评价指标</w:t>
            </w:r>
          </w:p>
        </w:tc>
        <w:tc>
          <w:tcPr>
            <w:tcW w:type="dxa" w:w="1928"/>
            <w:vAlign w:val="center"/>
          </w:tcPr>
          <w:p>
            <w:pPr>
              <w:pStyle w:val="178"/>
              <w:jc w:val="center"/>
            </w:pPr>
            <w:r>
              <w:t>优良</w:t>
            </w:r>
          </w:p>
        </w:tc>
        <w:tc>
          <w:tcPr>
            <w:tcW w:type="dxa" w:w="1928"/>
            <w:vAlign w:val="center"/>
          </w:tcPr>
          <w:p>
            <w:pPr>
              <w:pStyle w:val="178"/>
              <w:jc w:val="center"/>
            </w:pPr>
            <w:r>
              <w:t>一般</w:t>
            </w:r>
          </w:p>
        </w:tc>
        <w:tc>
          <w:tcPr>
            <w:tcW w:type="dxa" w:w="1928"/>
            <w:vAlign w:val="center"/>
          </w:tcPr>
          <w:p>
            <w:pPr>
              <w:pStyle w:val="178"/>
              <w:jc w:val="center"/>
            </w:pPr>
            <w:r>
              <w:t>较差</w:t>
            </w:r>
          </w:p>
        </w:tc>
      </w:tr>
      <w:tr>
        <w:tc>
          <w:tcPr>
            <w:tcW w:type="dxa" w:w="1928"/>
            <w:vAlign w:val="center"/>
          </w:tcPr>
          <w:p>
            <w:pPr>
              <w:pStyle w:val="178"/>
              <w:jc w:val="center"/>
            </w:pPr>
            <w:r>
              <w:t>开发合理性</w:t>
            </w:r>
          </w:p>
        </w:tc>
        <w:tc>
          <w:tcPr>
            <w:tcW w:type="dxa" w:w="1928"/>
            <w:vAlign w:val="center"/>
          </w:tcPr>
          <w:p>
            <w:pPr>
              <w:pStyle w:val="178"/>
              <w:jc w:val="center"/>
            </w:pPr>
            <w:r>
              <w:t>热能综合利用效率（%）</w:t>
            </w:r>
          </w:p>
        </w:tc>
        <w:tc>
          <w:tcPr>
            <w:tcW w:type="dxa" w:w="1928"/>
            <w:vAlign w:val="center"/>
          </w:tcPr>
          <w:p>
            <w:pPr>
              <w:pStyle w:val="178"/>
              <w:jc w:val="center"/>
            </w:pPr>
            <w:r>
              <w:t>≥75</w:t>
            </w:r>
          </w:p>
        </w:tc>
        <w:tc>
          <w:tcPr>
            <w:tcW w:type="dxa" w:w="1928"/>
            <w:vAlign w:val="center"/>
          </w:tcPr>
          <w:p>
            <w:pPr>
              <w:pStyle w:val="178"/>
              <w:jc w:val="center"/>
            </w:pPr>
            <w:r>
              <w:t>55～75</w:t>
            </w:r>
          </w:p>
        </w:tc>
        <w:tc>
          <w:tcPr>
            <w:tcW w:type="dxa" w:w="1928"/>
            <w:vAlign w:val="center"/>
          </w:tcPr>
          <w:p>
            <w:pPr>
              <w:pStyle w:val="178"/>
              <w:jc w:val="center"/>
            </w:pPr>
            <w:r>
              <w:t>&lt;55</w:t>
            </w:r>
          </w:p>
        </w:tc>
      </w:tr>
      <w:tr>
        <w:tc>
          <w:tcPr>
            <w:tcW w:type="dxa" w:w="1928"/>
            <w:vAlign w:val="center"/>
          </w:tcPr>
          <w:p>
            <w:pPr>
              <w:pStyle w:val="178"/>
              <w:jc w:val="center"/>
            </w:pPr>
            <w:r>
              <w:t>环境影响</w:t>
            </w:r>
          </w:p>
        </w:tc>
        <w:tc>
          <w:tcPr>
            <w:tcW w:type="dxa" w:w="1928"/>
            <w:vAlign w:val="center"/>
          </w:tcPr>
          <w:p>
            <w:pPr>
              <w:pStyle w:val="178"/>
              <w:jc w:val="center"/>
            </w:pPr>
            <w:r>
              <w:t>水位年均下降速率（m/a）</w:t>
            </w:r>
          </w:p>
        </w:tc>
        <w:tc>
          <w:tcPr>
            <w:tcW w:type="dxa" w:w="1928"/>
            <w:vAlign w:val="center"/>
          </w:tcPr>
          <w:p>
            <w:pPr>
              <w:pStyle w:val="178"/>
              <w:jc w:val="center"/>
            </w:pPr>
            <w:r>
              <w:t>&lt;0.5</w:t>
            </w:r>
          </w:p>
        </w:tc>
        <w:tc>
          <w:tcPr>
            <w:tcW w:type="dxa" w:w="1928"/>
            <w:vAlign w:val="center"/>
          </w:tcPr>
          <w:p>
            <w:pPr>
              <w:pStyle w:val="178"/>
              <w:jc w:val="center"/>
            </w:pPr>
            <w:r>
              <w:t>0.5～2</w:t>
            </w:r>
          </w:p>
        </w:tc>
        <w:tc>
          <w:tcPr>
            <w:tcW w:type="dxa" w:w="1928"/>
            <w:vAlign w:val="center"/>
          </w:tcPr>
          <w:p>
            <w:pPr>
              <w:pStyle w:val="178"/>
              <w:jc w:val="center"/>
            </w:pPr>
            <w:r>
              <w:t>&gt;2</w:t>
            </w:r>
          </w:p>
        </w:tc>
      </w:tr>
      <w:tr>
        <w:tc>
          <w:tcPr>
            <w:tcW w:type="dxa" w:w="1928"/>
            <w:vAlign w:val="center"/>
          </w:tcPr>
          <w:p>
            <w:pPr>
              <w:pStyle w:val="178"/>
              <w:jc w:val="center"/>
            </w:pPr>
            <w:r>
              <w:t>环境影响</w:t>
            </w:r>
          </w:p>
        </w:tc>
        <w:tc>
          <w:tcPr>
            <w:tcW w:type="dxa" w:w="1928"/>
            <w:vAlign w:val="center"/>
          </w:tcPr>
          <w:p>
            <w:pPr>
              <w:pStyle w:val="178"/>
              <w:jc w:val="center"/>
            </w:pPr>
            <w:r>
              <w:t>地面沉降速率（mm/a）</w:t>
            </w:r>
          </w:p>
        </w:tc>
        <w:tc>
          <w:tcPr>
            <w:tcW w:type="dxa" w:w="1928"/>
            <w:vAlign w:val="center"/>
          </w:tcPr>
          <w:p>
            <w:pPr>
              <w:pStyle w:val="178"/>
              <w:jc w:val="center"/>
            </w:pPr>
            <w:r>
              <w:t>&lt;10</w:t>
            </w:r>
          </w:p>
        </w:tc>
        <w:tc>
          <w:tcPr>
            <w:tcW w:type="dxa" w:w="1928"/>
            <w:vAlign w:val="center"/>
          </w:tcPr>
          <w:p>
            <w:pPr>
              <w:pStyle w:val="178"/>
              <w:jc w:val="center"/>
            </w:pPr>
            <w:r>
              <w:t>10～30</w:t>
            </w:r>
          </w:p>
        </w:tc>
        <w:tc>
          <w:tcPr>
            <w:tcW w:type="dxa" w:w="1928"/>
            <w:vAlign w:val="center"/>
          </w:tcPr>
          <w:p>
            <w:pPr>
              <w:pStyle w:val="178"/>
              <w:jc w:val="center"/>
            </w:pPr>
            <w:r>
              <w:t>&gt;30</w:t>
            </w:r>
          </w:p>
        </w:tc>
      </w:tr>
      <w:tr>
        <w:tc>
          <w:tcPr>
            <w:tcW w:type="dxa" w:w="1928"/>
            <w:vAlign w:val="center"/>
          </w:tcPr>
          <w:p>
            <w:pPr>
              <w:pStyle w:val="178"/>
              <w:jc w:val="center"/>
            </w:pPr>
            <w:r>
              <w:t>经济效益</w:t>
            </w:r>
          </w:p>
        </w:tc>
        <w:tc>
          <w:tcPr>
            <w:tcW w:type="dxa" w:w="1928"/>
            <w:vAlign w:val="center"/>
          </w:tcPr>
          <w:p>
            <w:pPr>
              <w:pStyle w:val="178"/>
              <w:jc w:val="center"/>
            </w:pPr>
            <w:r>
              <w:t>资源利用综合效益（元/GJ）</w:t>
            </w:r>
          </w:p>
        </w:tc>
        <w:tc>
          <w:tcPr>
            <w:tcW w:type="dxa" w:w="1928"/>
            <w:vAlign w:val="center"/>
          </w:tcPr>
          <w:p>
            <w:pPr>
              <w:pStyle w:val="178"/>
              <w:jc w:val="center"/>
            </w:pPr>
            <w:r>
              <w:t>&gt;200</w:t>
            </w:r>
          </w:p>
        </w:tc>
        <w:tc>
          <w:tcPr>
            <w:tcW w:type="dxa" w:w="1928"/>
            <w:vAlign w:val="center"/>
          </w:tcPr>
          <w:p>
            <w:pPr>
              <w:pStyle w:val="178"/>
              <w:jc w:val="center"/>
            </w:pPr>
            <w:r>
              <w:t>100～200</w:t>
            </w:r>
          </w:p>
        </w:tc>
        <w:tc>
          <w:tcPr>
            <w:tcW w:type="dxa" w:w="1928"/>
            <w:vAlign w:val="center"/>
          </w:tcPr>
          <w:p>
            <w:pPr>
              <w:pStyle w:val="178"/>
              <w:jc w:val="center"/>
            </w:pPr>
            <w:r>
              <w:t>&lt;100</w:t>
            </w:r>
          </w:p>
        </w:tc>
      </w:tr>
    </w:tbl>
    <w:p>
      <w:pPr>
        <w:sectPr>
          <w:type w:val="nextPage"/>
          <w:pgSz w:w="11906" w:h="16838"/>
          <w:pgMar w:top="1928" w:right="1134" w:bottom="1134" w:left="1134" w:header="1418" w:footer="1134" w:gutter="284"/>
          <w:cols w:space="425" w:num="1"/>
          <w:formProt w:val="0"/>
          <w:docGrid w:linePitch="312" w:charSpace="0"/>
        </w:sectPr>
      </w:pPr>
    </w:p>
    <w:p>
      <w:pPr>
        <w:pStyle w:val="63"/>
      </w:pPr>
      <w:r>
        <w:t>参考文献</w:t>
      </w:r>
    </w:p>
    <w:p>
      <w:pPr>
        <w:pStyle w:val="64"/>
      </w:pPr>
      <w:r>
        <w:t>冯自明, 靳海东, 刘昭, 等. 甘肃天水地区地热田同位素分布特征、成因机制及开发潜力[J]. 地质通报, 2026.</w:t>
      </w:r>
    </w:p>
    <w:p>
      <w:pPr>
        <w:pStyle w:val="64"/>
      </w:pPr>
      <w:r>
        <w:t>陈书阁. 宁海县深甽镇地热流体富集规律、控热断裂特征及开发潜力研究[J]. 黑龙江国土资源, 2025, 23(06): 66-74.</w:t>
      </w:r>
    </w:p>
    <w:p>
      <w:pPr>
        <w:pStyle w:val="64"/>
      </w:pPr>
      <w:r>
        <w:t>孙焕泉, 毛翔, 吴陈冰洁, 等. 地热资源勘探开发技术与发展方向[J]. 地学前缘, 2024(01): 400-411.</w:t>
      </w:r>
    </w:p>
    <w:p>
      <w:pPr>
        <w:pStyle w:val="64"/>
      </w:pPr>
      <w:r>
        <w:t>山东威海市呼雷汤地热水化学、成因与开发潜力[J]. 地质通报, 2024, (1): 143-152.</w:t>
      </w:r>
    </w:p>
    <w:p>
      <w:pPr>
        <w:pStyle w:val="64"/>
      </w:pPr>
      <w:r>
        <w:t>以重庆地区为例谈地热水源地评价与开发利用[J]. 山西建筑, 2018, (10): 106-108.</w:t>
      </w:r>
    </w:p>
    <w:p>
      <w:pPr>
        <w:pStyle w:val="64"/>
      </w:pPr>
      <w:r>
        <w:t>侯赤金. 深部地热流体运移规律及开发利用环境保护[J]. 生态与环境科学, 2025.</w:t>
      </w:r>
    </w:p>
    <w:p>
      <w:pPr>
        <w:pStyle w:val="64"/>
      </w:pPr>
      <w:r>
        <w:t>Chinhengo F, Meck M L, Misi S N. Reservoir temperatures and fluid circulation depth of selected thermal springs in Magondi and Limpopo mobile belts of Zimbabwe[J]. Journal of African Earth Sciences, 2024, 105262.</w:t>
      </w:r>
    </w:p>
    <w:p>
      <w:pPr>
        <w:pStyle w:val="64"/>
      </w:pPr>
      <w:r>
        <w:t>GIS-based AHP model for selecting the best direct use scenarios for medium to low enthalpy geothermal resources with hot springs in central and Western Kenya[J]. Geothermics, 2024, 122: 103069.</w:t>
      </w:r>
    </w:p>
    <w:p>
      <w:pPr>
        <w:pStyle w:val="64"/>
      </w:pPr>
      <w:r>
        <w:t>溫泉資源及地熱開發歷史回顧與發展[D]. 台湾地区硕士学位论文, 2020.</w:t>
      </w:r>
    </w:p>
    <w:p>
      <w:pPr>
        <w:pStyle w:val="64"/>
      </w:pPr>
      <w:r>
        <w:t>GB 11615  地热资源地质勘查规范.</w:t>
      </w:r>
    </w:p>
    <w:p>
      <w:pPr>
        <w:pStyle w:val="64"/>
      </w:pPr>
      <w:r>
        <w:t>NB/T 10097  地热能术语.</w:t>
      </w:r>
    </w:p>
    <w:p>
      <w:pPr>
        <w:sectPr>
          <w:type w:val="nextPage"/>
          <w:pgSz w:w="11906" w:h="16838"/>
          <w:pgMar w:top="1928" w:right="1134" w:bottom="1134" w:left="1134" w:header="1418" w:footer="1134" w:gutter="284"/>
          <w:cols w:space="425" w:num="1"/>
          <w:formProt w:val="0"/>
          <w:docGrid w:linePitch="312" w:charSpace="0"/>
        </w:sectPr>
      </w:pPr>
    </w:p>
    <w:p>
      <w:pPr>
        <w:pStyle w:val="221"/>
      </w:pPr>
      <w:r>
        <w:t>索引</w:t>
      </w:r>
    </w:p>
    <w:p>
      <w:pPr>
        <w:pStyle w:val="175"/>
      </w:pPr>
      <w:r>
        <w:t>D</w:t>
      </w:r>
    </w:p>
    <w:p>
      <w:pPr>
        <w:pStyle w:val="210"/>
      </w:pPr>
      <w:r>
        <w:t>地热回灌</w:t>
      </w:r>
      <w:r>
        <w:tab/>
      </w:r>
      <w:r>
        <w:t>3.7，8.3，8.4，8.5</w:t>
      </w:r>
    </w:p>
    <w:p>
      <w:pPr>
        <w:pStyle w:val="210"/>
      </w:pPr>
      <w:r>
        <w:t>地热流体</w:t>
      </w:r>
      <w:r>
        <w:tab/>
      </w:r>
      <w:r>
        <w:t>3.3，5.2，5.3，6.2.2，8.1，9.2</w:t>
      </w:r>
    </w:p>
    <w:p>
      <w:pPr>
        <w:pStyle w:val="210"/>
      </w:pPr>
      <w:r>
        <w:t>地热温泉</w:t>
      </w:r>
      <w:r>
        <w:tab/>
      </w:r>
      <w:r>
        <w:t>3.1，4.1，5.1，6.1，7.1</w:t>
      </w:r>
    </w:p>
    <w:p>
      <w:pPr>
        <w:pStyle w:val="210"/>
      </w:pPr>
      <w:r>
        <w:t>地面沉降</w:t>
      </w:r>
      <w:r>
        <w:tab/>
      </w:r>
      <w:r>
        <w:t>8.3，9.4.4，10.1.3，表2，表B.1</w:t>
      </w:r>
    </w:p>
    <w:p>
      <w:pPr>
        <w:pStyle w:val="210"/>
      </w:pPr>
      <w:r>
        <w:t>动态监测</w:t>
      </w:r>
      <w:r>
        <w:tab/>
      </w:r>
      <w:r>
        <w:t>9.1，9.2，9.3，9.4，表2</w:t>
      </w:r>
    </w:p>
    <w:p>
      <w:pPr>
        <w:pStyle w:val="175"/>
      </w:pPr>
      <w:r>
        <w:t>H</w:t>
      </w:r>
    </w:p>
    <w:p>
      <w:pPr>
        <w:pStyle w:val="210"/>
      </w:pPr>
      <w:r>
        <w:t>回灌率</w:t>
      </w:r>
      <w:r>
        <w:tab/>
      </w:r>
      <w:r>
        <w:t>8.3，8.4，8.5，表B.1</w:t>
      </w:r>
    </w:p>
    <w:p>
      <w:pPr>
        <w:pStyle w:val="210"/>
      </w:pPr>
      <w:r>
        <w:t>环境影响</w:t>
      </w:r>
      <w:r>
        <w:tab/>
      </w:r>
      <w:r>
        <w:t>8，9.4，表B.1</w:t>
      </w:r>
    </w:p>
    <w:p>
      <w:pPr>
        <w:pStyle w:val="175"/>
      </w:pPr>
      <w:r>
        <w:t>J</w:t>
      </w:r>
    </w:p>
    <w:p>
      <w:pPr>
        <w:pStyle w:val="210"/>
      </w:pPr>
      <w:r>
        <w:t>监测频率</w:t>
      </w:r>
      <w:r>
        <w:tab/>
      </w:r>
      <w:r>
        <w:t>9.2，表2</w:t>
      </w:r>
    </w:p>
    <w:p>
      <w:pPr>
        <w:pStyle w:val="210"/>
      </w:pPr>
      <w:r>
        <w:t>监测井</w:t>
      </w:r>
      <w:r>
        <w:tab/>
      </w:r>
      <w:r>
        <w:t>9.4.1，9.4.2</w:t>
      </w:r>
    </w:p>
    <w:p>
      <w:pPr>
        <w:pStyle w:val="210"/>
      </w:pPr>
      <w:r>
        <w:t>监测数据</w:t>
      </w:r>
      <w:r>
        <w:tab/>
      </w:r>
      <w:r>
        <w:t>9.5</w:t>
      </w:r>
    </w:p>
    <w:p>
      <w:pPr>
        <w:pStyle w:val="210"/>
      </w:pPr>
      <w:r>
        <w:t>井口压力</w:t>
      </w:r>
      <w:r>
        <w:tab/>
      </w:r>
      <w:r>
        <w:t>9.2，10.2.2，表2</w:t>
      </w:r>
    </w:p>
    <w:p>
      <w:pPr>
        <w:pStyle w:val="175"/>
      </w:pPr>
      <w:r>
        <w:t>K</w:t>
      </w:r>
    </w:p>
    <w:p>
      <w:pPr>
        <w:pStyle w:val="210"/>
      </w:pPr>
      <w:r>
        <w:t>开采井</w:t>
      </w:r>
      <w:r>
        <w:tab/>
      </w:r>
      <w:r>
        <w:t>6.2.2，7.3，9.4.1，10.1.2，10.2.1</w:t>
      </w:r>
    </w:p>
    <w:p>
      <w:pPr>
        <w:pStyle w:val="210"/>
      </w:pPr>
      <w:r>
        <w:t>开采量</w:t>
      </w:r>
      <w:r>
        <w:tab/>
      </w:r>
      <w:r>
        <w:t>3.4，6.2.2，7.2.3，9.2</w:t>
      </w:r>
    </w:p>
    <w:p>
      <w:pPr>
        <w:pStyle w:val="210"/>
      </w:pPr>
      <w:r>
        <w:t>开发合理性</w:t>
      </w:r>
      <w:r>
        <w:tab/>
      </w:r>
      <w:r>
        <w:t>8，表B.1</w:t>
      </w:r>
    </w:p>
    <w:p>
      <w:pPr>
        <w:pStyle w:val="175"/>
      </w:pPr>
      <w:r>
        <w:t>R</w:t>
      </w:r>
    </w:p>
    <w:p>
      <w:pPr>
        <w:pStyle w:val="210"/>
      </w:pPr>
      <w:r>
        <w:t>热储</w:t>
      </w:r>
      <w:r>
        <w:tab/>
      </w:r>
      <w:r>
        <w:t>3.2，5.2，6.2.2，9.5.2</w:t>
      </w:r>
    </w:p>
    <w:p>
      <w:pPr>
        <w:pStyle w:val="210"/>
      </w:pPr>
      <w:r>
        <w:t>热储模型</w:t>
      </w:r>
      <w:r>
        <w:tab/>
      </w:r>
      <w:r>
        <w:t>9.5.2</w:t>
      </w:r>
    </w:p>
    <w:p>
      <w:pPr>
        <w:pStyle w:val="210"/>
      </w:pPr>
      <w:r>
        <w:t>热储温度</w:t>
      </w:r>
      <w:r>
        <w:tab/>
      </w:r>
      <w:r>
        <w:t>3.6，5.4，表B.1</w:t>
      </w:r>
    </w:p>
    <w:p>
      <w:pPr>
        <w:pStyle w:val="210"/>
      </w:pPr>
      <w:r>
        <w:t>热能综合利用效率</w:t>
      </w:r>
      <w:r>
        <w:tab/>
      </w:r>
      <w:r>
        <w:t>7.1，表B.1</w:t>
      </w:r>
    </w:p>
    <w:p>
      <w:pPr>
        <w:pStyle w:val="175"/>
      </w:pPr>
      <w:r>
        <w:t>S</w:t>
      </w:r>
    </w:p>
    <w:p>
      <w:pPr>
        <w:pStyle w:val="210"/>
      </w:pPr>
      <w:r>
        <w:t>水化学类型</w:t>
      </w:r>
      <w:r>
        <w:tab/>
      </w:r>
      <w:r>
        <w:t>3.9，5.3</w:t>
      </w:r>
    </w:p>
    <w:p>
      <w:pPr>
        <w:pStyle w:val="210"/>
      </w:pPr>
      <w:r>
        <w:t>水位</w:t>
      </w:r>
      <w:r>
        <w:tab/>
      </w:r>
      <w:r>
        <w:t>9.2，9.4.1，表2</w:t>
      </w:r>
    </w:p>
    <w:p>
      <w:pPr>
        <w:pStyle w:val="210"/>
      </w:pPr>
      <w:r>
        <w:t>水质分类</w:t>
      </w:r>
      <w:r>
        <w:tab/>
      </w:r>
      <w:r>
        <w:t>附录A，表A.1</w:t>
      </w:r>
    </w:p>
    <w:p>
      <w:pPr>
        <w:pStyle w:val="210"/>
      </w:pPr>
      <w:r>
        <w:t>水质监测</w:t>
      </w:r>
      <w:r>
        <w:tab/>
      </w:r>
      <w:r>
        <w:t>9.2，9.4.2，表2</w:t>
      </w:r>
    </w:p>
    <w:p>
      <w:pPr>
        <w:pStyle w:val="175"/>
      </w:pPr>
      <w:r>
        <w:t>W</w:t>
      </w:r>
    </w:p>
    <w:p>
      <w:pPr>
        <w:pStyle w:val="210"/>
      </w:pPr>
      <w:r>
        <w:t>尾水</w:t>
      </w:r>
      <w:r>
        <w:tab/>
      </w:r>
      <w:r>
        <w:t>3.8，8.1，8.2，8.5</w:t>
      </w:r>
    </w:p>
    <w:p>
      <w:pPr>
        <w:pStyle w:val="210"/>
      </w:pPr>
      <w:r>
        <w:t>温泉利用分类</w:t>
      </w:r>
      <w:r>
        <w:tab/>
      </w:r>
      <w:r>
        <w:t>7.1，表1</w:t>
      </w:r>
    </w:p>
    <w:p>
      <w:pPr>
        <w:pStyle w:val="210"/>
      </w:pPr>
      <w:r>
        <w:t>温泉洗浴用水</w:t>
      </w:r>
      <w:r>
        <w:tab/>
      </w:r>
      <w:r>
        <w:t>7.2，附录A，表A.1</w:t>
      </w:r>
    </w:p>
    <w:p>
      <w:pPr>
        <w:pStyle w:val="175"/>
      </w:pPr>
      <w:r>
        <w:t>Y</w:t>
      </w:r>
    </w:p>
    <w:p>
      <w:pPr>
        <w:pStyle w:val="210"/>
      </w:pPr>
      <w:r>
        <w:t>允许开采量</w:t>
      </w:r>
      <w:r>
        <w:tab/>
      </w:r>
      <w:r>
        <w:t>3.4，6.2.2，7.2.3</w:t>
      </w:r>
    </w:p>
    <w:p>
      <w:pPr>
        <w:pStyle w:val="210"/>
      </w:pPr>
      <w:r>
        <w:t>应急管理</w:t>
      </w:r>
      <w:r>
        <w:tab/>
      </w:r>
      <w:r>
        <w:t>10.3</w:t>
      </w:r>
    </w:p>
    <w:p>
      <w:pPr>
        <w:pStyle w:val="175"/>
      </w:pPr>
      <w:r>
        <w:t>Z</w:t>
      </w:r>
    </w:p>
    <w:p>
      <w:pPr>
        <w:pStyle w:val="210"/>
      </w:pPr>
      <w:r>
        <w:t>资源禀赋</w:t>
      </w:r>
      <w:r>
        <w:tab/>
      </w:r>
      <w:r>
        <w:t>5，6，表B.1</w:t>
      </w:r>
    </w:p>
    <w:p>
      <w:pPr>
        <w:pStyle w:val="210"/>
      </w:pPr>
      <w:r>
        <w:t>资源评价</w:t>
      </w:r>
      <w:r>
        <w:tab/>
      </w:r>
      <w:r>
        <w:t>6.2，7.2.3，附录B，表B.1</w:t>
      </w:r>
    </w:p>
    <w:p>
      <w:pPr>
        <w:pStyle w:val="56"/>
        <w:jc w:val="center"/>
      </w:pPr>
      <w:r>
        <w:drawing>
          <wp:inline xmlns:a="http://schemas.openxmlformats.org/drawingml/2006/main" xmlns:pic="http://schemas.openxmlformats.org/drawingml/2006/picture">
            <wp:extent cx="1485900" cy="317500"/>
            <wp:docPr id="74" name="Picture 7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485900" cy="317500"/>
                    </a:xfrm>
                    <a:prstGeom prst="rect"/>
                  </pic:spPr>
                </pic:pic>
              </a:graphicData>
            </a:graphic>
          </wp:inline>
        </w:drawing>
      </w:r>
    </w:p>
    <w:sectPr>
      <w:pgSz w:w="11906" w:h="16838"/>
      <w:pgMar w:top="1928" w:right="1134" w:bottom="1134" w:left="1134" w:header="1418" w:footer="1134" w:gutter="284"/>
      <w:cols w:space="425" w:num="1"/>
      <w:formProt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6CB4D">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CD743">
    <w:pPr>
      <w:pStyle w:val="17"/>
    </w:pPr>
    <w:r>
      <w:fldChar w:fldCharType="begin"/>
    </w:r>
    <w:r>
      <w:instrText xml:space="preserve">PAGE   \* MERGEFORMAT</w:instrText>
    </w:r>
    <w:r>
      <w:fldChar w:fldCharType="separate"/>
    </w:r>
    <w:r>
      <w:rPr>
        <w:lang w:val="zh-CN"/>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318B4">
    <w:pPr>
      <w:pStyle w:val="17"/>
      <w:ind w:right="720"/>
      <w:jc w:val="both"/>
      <w:rPr>
        <w:sz w:val="2"/>
        <w:szCs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62289">
    <w:pPr>
      <w:pStyle w:val="52"/>
    </w:pPr>
    <w:r>
      <w:fldChar w:fldCharType="begin"/>
    </w:r>
    <w:r>
      <w:instrText xml:space="preserve">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439A4">
    <w:pPr>
      <w:pStyle w:val="18"/>
      <w:wordWrap w:val="0"/>
      <w:jc w:val="right"/>
      <w:rPr>
        <w:rFonts w:ascii="黑体" w:hAnsi="黑体" w:eastAsia="黑体"/>
      </w:rPr>
    </w:pPr>
    <w:r>
      <w:rPr>
        <w:rFonts w:ascii="黑体" w:hAnsi="黑体" w:eastAsia="黑体"/>
      </w:rPr>
      <w:t>Q/LB.</w:t>
    </w:r>
    <w:r>
      <w:rPr>
        <w:rFonts w:hint="eastAsia" w:ascii="黑体" w:hAnsi="黑体" w:eastAsia="黑体"/>
      </w:rPr>
      <w:t>□</w:t>
    </w:r>
    <w:r>
      <w:rPr>
        <w:rFonts w:ascii="黑体" w:hAnsi="黑体" w:eastAsia="黑体"/>
      </w:rPr>
      <w:t>XXXXX-XXXX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16487">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9393C">
    <w:pPr>
      <w:pStyle w:val="18"/>
      <w:jc w:val="both"/>
      <w:rPr>
        <w:sz w:val="2"/>
        <w:szCs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FEEA1">
    <w:pPr>
      <w:pStyle w:val="61"/>
    </w:pPr>
    <w:bookmarkStart w:id="50" w:name="_GoBack"/>
    <w:r>
      <w:fldChar w:fldCharType="begin"/>
    </w:r>
    <w:r>
      <w:instrText xml:space="preserve"> STYLEREF  标准文件_文件编号  \* MERGEFORMAT </w:instrText>
    </w:r>
    <w:r>
      <w:fldChar w:fldCharType="separate"/>
    </w:r>
    <w:r>
      <w:t>T/XXX XXXX—XXXX</w:t>
    </w:r>
    <w:r>
      <w:fldChar w:fldCharType="end"/>
    </w:r>
    <w:bookmarkEnd w:id="50"/>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391DD">
    <w:pPr>
      <w:pStyle w:val="18"/>
      <w:jc w:val="right"/>
    </w:pPr>
    <w:r>
      <w:fldChar w:fldCharType="begin"/>
    </w:r>
    <w:r>
      <w:instrText xml:space="preserve"> STYLEREF  标准文件_文件编号  \* MERGEFORMAT </w:instrText>
    </w:r>
    <w:r>
      <w:fldChar w:fldCharType="separate"/>
    </w:r>
    <w:r>
      <w:t>T/XXX XXXX—XXXX</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37933"/>
    <w:multiLevelType w:val="multilevel"/>
    <w:tmpl w:val="02837933"/>
    <w:lvl w:ilvl="0" w:tentative="0">
      <w:start w:val="1"/>
      <w:numFmt w:val="decimal"/>
      <w:pStyle w:val="64"/>
      <w:lvlText w:val="[%1]"/>
      <w:lvlJc w:val="left"/>
      <w:pPr>
        <w:tabs>
          <w:tab w:val="left" w:pos="1646"/>
        </w:tabs>
        <w:ind w:left="1646" w:hanging="648"/>
      </w:pPr>
    </w:lvl>
    <w:lvl w:ilvl="1" w:tentative="0">
      <w:start w:val="1"/>
      <w:numFmt w:val="lowerLetter"/>
      <w:lvlText w:val="%2)"/>
      <w:lvlJc w:val="left"/>
      <w:pPr>
        <w:tabs>
          <w:tab w:val="left" w:pos="1838"/>
        </w:tabs>
        <w:ind w:left="1838" w:hanging="420"/>
      </w:pPr>
    </w:lvl>
    <w:lvl w:ilvl="2" w:tentative="0">
      <w:start w:val="1"/>
      <w:numFmt w:val="lowerRoman"/>
      <w:lvlText w:val="%3."/>
      <w:lvlJc w:val="right"/>
      <w:pPr>
        <w:tabs>
          <w:tab w:val="left" w:pos="2258"/>
        </w:tabs>
        <w:ind w:left="2258" w:hanging="420"/>
      </w:pPr>
    </w:lvl>
    <w:lvl w:ilvl="3" w:tentative="0">
      <w:start w:val="1"/>
      <w:numFmt w:val="decimal"/>
      <w:lvlText w:val="%4."/>
      <w:lvlJc w:val="left"/>
      <w:pPr>
        <w:tabs>
          <w:tab w:val="left" w:pos="2678"/>
        </w:tabs>
        <w:ind w:left="2678" w:hanging="420"/>
      </w:pPr>
    </w:lvl>
    <w:lvl w:ilvl="4" w:tentative="0">
      <w:start w:val="1"/>
      <w:numFmt w:val="lowerLetter"/>
      <w:lvlText w:val="%5)"/>
      <w:lvlJc w:val="left"/>
      <w:pPr>
        <w:tabs>
          <w:tab w:val="left" w:pos="3098"/>
        </w:tabs>
        <w:ind w:left="3098" w:hanging="420"/>
      </w:pPr>
    </w:lvl>
    <w:lvl w:ilvl="5" w:tentative="0">
      <w:start w:val="1"/>
      <w:numFmt w:val="lowerRoman"/>
      <w:lvlText w:val="%6."/>
      <w:lvlJc w:val="right"/>
      <w:pPr>
        <w:tabs>
          <w:tab w:val="left" w:pos="3518"/>
        </w:tabs>
        <w:ind w:left="3518" w:hanging="420"/>
      </w:pPr>
    </w:lvl>
    <w:lvl w:ilvl="6" w:tentative="0">
      <w:start w:val="1"/>
      <w:numFmt w:val="decimal"/>
      <w:lvlText w:val="%7."/>
      <w:lvlJc w:val="left"/>
      <w:pPr>
        <w:tabs>
          <w:tab w:val="left" w:pos="3938"/>
        </w:tabs>
        <w:ind w:left="3938" w:hanging="420"/>
      </w:pPr>
    </w:lvl>
    <w:lvl w:ilvl="7" w:tentative="0">
      <w:start w:val="1"/>
      <w:numFmt w:val="lowerLetter"/>
      <w:lvlText w:val="%8)"/>
      <w:lvlJc w:val="left"/>
      <w:pPr>
        <w:tabs>
          <w:tab w:val="left" w:pos="4358"/>
        </w:tabs>
        <w:ind w:left="4358" w:hanging="420"/>
      </w:pPr>
    </w:lvl>
    <w:lvl w:ilvl="8" w:tentative="0">
      <w:start w:val="1"/>
      <w:numFmt w:val="lowerRoman"/>
      <w:lvlText w:val="%9."/>
      <w:lvlJc w:val="right"/>
      <w:pPr>
        <w:tabs>
          <w:tab w:val="left" w:pos="4778"/>
        </w:tabs>
        <w:ind w:left="4778" w:hanging="420"/>
      </w:pPr>
    </w:lvl>
  </w:abstractNum>
  <w:abstractNum w:abstractNumId="1">
    <w:nsid w:val="040A15CD"/>
    <w:multiLevelType w:val="multilevel"/>
    <w:tmpl w:val="040A15CD"/>
    <w:lvl w:ilvl="0" w:tentative="0">
      <w:start w:val="1"/>
      <w:numFmt w:val="none"/>
      <w:suff w:val="nothing"/>
      <w:lvlText w:val="　"/>
      <w:lvlJc w:val="left"/>
      <w:pPr>
        <w:ind w:left="0" w:firstLine="0"/>
      </w:pPr>
    </w:lvl>
    <w:lvl w:ilvl="1" w:tentative="0">
      <w:start w:val="1"/>
      <w:numFmt w:val="decimal"/>
      <w:isLgl/>
      <w:suff w:val="nothing"/>
      <w:lvlText w:val="%2　"/>
      <w:lvlJc w:val="left"/>
      <w:pPr>
        <w:ind w:left="0" w:firstLine="0"/>
      </w:pPr>
    </w:lvl>
    <w:lvl w:ilvl="2" w:tentative="0">
      <w:start w:val="1"/>
      <w:numFmt w:val="decimal"/>
      <w:pStyle w:val="159"/>
      <w:suff w:val="nothing"/>
      <w:lvlText w:val="%1%2.%3　"/>
      <w:lvlJc w:val="left"/>
      <w:pPr>
        <w:ind w:left="0" w:firstLine="0"/>
      </w:pPr>
    </w:lvl>
    <w:lvl w:ilvl="3" w:tentative="0">
      <w:start w:val="1"/>
      <w:numFmt w:val="decimal"/>
      <w:pStyle w:val="118"/>
      <w:suff w:val="nothing"/>
      <w:lvlText w:val="%1%2.%3.%4　"/>
      <w:lvlJc w:val="left"/>
      <w:pPr>
        <w:ind w:left="0" w:firstLine="0"/>
      </w:pPr>
    </w:lvl>
    <w:lvl w:ilvl="4" w:tentative="0">
      <w:start w:val="1"/>
      <w:numFmt w:val="decimal"/>
      <w:pStyle w:val="153"/>
      <w:suff w:val="nothing"/>
      <w:lvlText w:val="%1%2.%3.%4.%5　"/>
      <w:lvlJc w:val="left"/>
      <w:pPr>
        <w:ind w:left="0" w:firstLine="0"/>
      </w:pPr>
    </w:lvl>
    <w:lvl w:ilvl="5" w:tentative="0">
      <w:start w:val="1"/>
      <w:numFmt w:val="decimal"/>
      <w:pStyle w:val="155"/>
      <w:suff w:val="nothing"/>
      <w:lvlText w:val="%1%2.%3.%4.%5.%6　"/>
      <w:lvlJc w:val="left"/>
      <w:pPr>
        <w:ind w:left="0" w:firstLine="0"/>
      </w:pPr>
    </w:lvl>
    <w:lvl w:ilvl="6" w:tentative="0">
      <w:start w:val="1"/>
      <w:numFmt w:val="decimal"/>
      <w:pStyle w:val="158"/>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
    <w:nsid w:val="079102AD"/>
    <w:multiLevelType w:val="multilevel"/>
    <w:tmpl w:val="079102AD"/>
    <w:lvl w:ilvl="0" w:tentative="0">
      <w:start w:val="1"/>
      <w:numFmt w:val="decimal"/>
      <w:pStyle w:val="180"/>
      <w:suff w:val="nothing"/>
      <w:lvlText w:val="注%1："/>
      <w:lvlJc w:val="left"/>
      <w:pPr>
        <w:ind w:left="811" w:hanging="448"/>
      </w:pPr>
      <w:rPr>
        <w:rFonts w:hint="eastAsia" w:ascii="黑体" w:eastAsia="黑体"/>
        <w:b w:val="0"/>
        <w:i w:val="0"/>
        <w:sz w:val="18"/>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3">
    <w:nsid w:val="07ED3FEA"/>
    <w:multiLevelType w:val="multilevel"/>
    <w:tmpl w:val="07ED3FEA"/>
    <w:lvl w:ilvl="0" w:tentative="0">
      <w:start w:val="1"/>
      <w:numFmt w:val="none"/>
      <w:pStyle w:val="89"/>
      <w:lvlText w:val="%1"/>
      <w:lvlJc w:val="left"/>
      <w:pPr>
        <w:ind w:left="425" w:hanging="425"/>
      </w:pPr>
      <w:rPr>
        <w:rFonts w:hint="eastAsia"/>
      </w:rPr>
    </w:lvl>
    <w:lvl w:ilvl="1" w:tentative="0">
      <w:start w:val="1"/>
      <w:numFmt w:val="decimal"/>
      <w:pStyle w:val="200"/>
      <w:suff w:val="nothing"/>
      <w:lvlText w:val="%10.%2 "/>
      <w:lvlJc w:val="left"/>
      <w:pPr>
        <w:ind w:left="0" w:firstLine="0"/>
      </w:pPr>
      <w:rPr>
        <w:rFonts w:hint="eastAsia" w:ascii="黑体" w:eastAsia="黑体" w:hAnsiTheme="minorHAnsi"/>
        <w:b w:val="0"/>
        <w:i w:val="0"/>
        <w:sz w:val="21"/>
      </w:rPr>
    </w:lvl>
    <w:lvl w:ilvl="2" w:tentative="0">
      <w:start w:val="1"/>
      <w:numFmt w:val="decimal"/>
      <w:pStyle w:val="201"/>
      <w:suff w:val="nothing"/>
      <w:lvlText w:val="%10.%2.%3 "/>
      <w:lvlJc w:val="left"/>
      <w:pPr>
        <w:ind w:left="0" w:firstLine="0"/>
      </w:pPr>
      <w:rPr>
        <w:rFonts w:hint="eastAsia" w:ascii="黑体" w:eastAsia="黑体" w:hAnsiTheme="minorHAnsi"/>
        <w:b w:val="0"/>
        <w:i w:val="0"/>
        <w:sz w:val="21"/>
      </w:rPr>
    </w:lvl>
    <w:lvl w:ilvl="3" w:tentative="0">
      <w:start w:val="1"/>
      <w:numFmt w:val="decimal"/>
      <w:pStyle w:val="202"/>
      <w:suff w:val="nothing"/>
      <w:lvlText w:val="%10.%2.%3.%4 "/>
      <w:lvlJc w:val="left"/>
      <w:pPr>
        <w:ind w:left="0" w:firstLine="0"/>
      </w:pPr>
      <w:rPr>
        <w:rFonts w:hint="eastAsia" w:ascii="黑体" w:eastAsia="黑体" w:hAnsiTheme="minorHAnsi"/>
        <w:b w:val="0"/>
        <w:i w:val="0"/>
        <w:sz w:val="21"/>
      </w:rPr>
    </w:lvl>
    <w:lvl w:ilvl="4" w:tentative="0">
      <w:start w:val="1"/>
      <w:numFmt w:val="decimal"/>
      <w:pStyle w:val="203"/>
      <w:suff w:val="nothing"/>
      <w:lvlText w:val="%10.%2.%3.%4.%5 "/>
      <w:lvlJc w:val="left"/>
      <w:pPr>
        <w:ind w:left="0" w:firstLine="0"/>
      </w:pPr>
      <w:rPr>
        <w:rFonts w:hint="eastAsia" w:ascii="黑体" w:eastAsia="黑体" w:hAnsiTheme="minorHAnsi"/>
        <w:b w:val="0"/>
        <w:i w:val="0"/>
        <w:sz w:val="21"/>
      </w:rPr>
    </w:lvl>
    <w:lvl w:ilvl="5" w:tentative="0">
      <w:start w:val="1"/>
      <w:numFmt w:val="decimal"/>
      <w:pStyle w:val="204"/>
      <w:suff w:val="nothing"/>
      <w:lvlText w:val="%10.%2.%3.%4.%5.%6 "/>
      <w:lvlJc w:val="left"/>
      <w:pPr>
        <w:ind w:left="0" w:firstLine="0"/>
      </w:pPr>
      <w:rPr>
        <w:rFonts w:hint="eastAsia" w:ascii="黑体" w:eastAsia="黑体" w:hAnsiTheme="minorHAnsi"/>
        <w:b w:val="0"/>
        <w:i w:val="0"/>
        <w:sz w:val="21"/>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0AE367E9"/>
    <w:multiLevelType w:val="multilevel"/>
    <w:tmpl w:val="0AE367E9"/>
    <w:lvl w:ilvl="0" w:tentative="0">
      <w:start w:val="1"/>
      <w:numFmt w:val="none"/>
      <w:pStyle w:val="181"/>
      <w:suff w:val="nothing"/>
      <w:lvlText w:val="%1示例："/>
      <w:lvlJc w:val="left"/>
      <w:pPr>
        <w:ind w:left="0" w:firstLine="363"/>
      </w:pPr>
      <w:rPr>
        <w:rFonts w:hint="eastAsia" w:ascii="黑体" w:eastAsia="黑体"/>
        <w:b w:val="0"/>
        <w:i w:val="0"/>
        <w:sz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5">
    <w:nsid w:val="0BDC1670"/>
    <w:multiLevelType w:val="multilevel"/>
    <w:tmpl w:val="0BDC1670"/>
    <w:lvl w:ilvl="0" w:tentative="0">
      <w:start w:val="1"/>
      <w:numFmt w:val="decimal"/>
      <w:pStyle w:val="67"/>
      <w:lvlText w:val="[%1]"/>
      <w:lvlJc w:val="left"/>
      <w:pPr>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D051F45"/>
    <w:multiLevelType w:val="multilevel"/>
    <w:tmpl w:val="0D051F45"/>
    <w:lvl w:ilvl="0" w:tentative="0">
      <w:start w:val="1"/>
      <w:numFmt w:val="lowerRoman"/>
      <w:pStyle w:val="169"/>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543"/>
        </w:tabs>
        <w:ind w:left="1543" w:hanging="420"/>
      </w:pPr>
      <w:rPr>
        <w:rFonts w:hint="eastAsia"/>
      </w:rPr>
    </w:lvl>
    <w:lvl w:ilvl="2" w:tentative="0">
      <w:start w:val="1"/>
      <w:numFmt w:val="lowerRoman"/>
      <w:lvlText w:val="%3."/>
      <w:lvlJc w:val="right"/>
      <w:pPr>
        <w:tabs>
          <w:tab w:val="left" w:pos="1963"/>
        </w:tabs>
        <w:ind w:left="1963" w:hanging="420"/>
      </w:pPr>
      <w:rPr>
        <w:rFonts w:hint="eastAsia"/>
      </w:rPr>
    </w:lvl>
    <w:lvl w:ilvl="3" w:tentative="0">
      <w:start w:val="1"/>
      <w:numFmt w:val="decimal"/>
      <w:lvlText w:val="%4."/>
      <w:lvlJc w:val="left"/>
      <w:pPr>
        <w:tabs>
          <w:tab w:val="left" w:pos="2383"/>
        </w:tabs>
        <w:ind w:left="2383" w:hanging="420"/>
      </w:pPr>
      <w:rPr>
        <w:rFonts w:hint="eastAsia"/>
      </w:rPr>
    </w:lvl>
    <w:lvl w:ilvl="4" w:tentative="0">
      <w:start w:val="1"/>
      <w:numFmt w:val="lowerLetter"/>
      <w:lvlText w:val="%5)"/>
      <w:lvlJc w:val="left"/>
      <w:pPr>
        <w:tabs>
          <w:tab w:val="left" w:pos="2803"/>
        </w:tabs>
        <w:ind w:left="2803" w:hanging="420"/>
      </w:pPr>
      <w:rPr>
        <w:rFonts w:hint="eastAsia"/>
      </w:rPr>
    </w:lvl>
    <w:lvl w:ilvl="5" w:tentative="0">
      <w:start w:val="1"/>
      <w:numFmt w:val="lowerRoman"/>
      <w:lvlText w:val="%6."/>
      <w:lvlJc w:val="right"/>
      <w:pPr>
        <w:tabs>
          <w:tab w:val="left" w:pos="3223"/>
        </w:tabs>
        <w:ind w:left="3223" w:hanging="420"/>
      </w:pPr>
      <w:rPr>
        <w:rFonts w:hint="eastAsia"/>
      </w:rPr>
    </w:lvl>
    <w:lvl w:ilvl="6" w:tentative="0">
      <w:start w:val="1"/>
      <w:numFmt w:val="decimal"/>
      <w:lvlText w:val="%7."/>
      <w:lvlJc w:val="left"/>
      <w:pPr>
        <w:tabs>
          <w:tab w:val="left" w:pos="3643"/>
        </w:tabs>
        <w:ind w:left="3643" w:hanging="420"/>
      </w:pPr>
      <w:rPr>
        <w:rFonts w:hint="eastAsia"/>
      </w:rPr>
    </w:lvl>
    <w:lvl w:ilvl="7" w:tentative="0">
      <w:start w:val="1"/>
      <w:numFmt w:val="lowerLetter"/>
      <w:lvlText w:val="%8)"/>
      <w:lvlJc w:val="left"/>
      <w:pPr>
        <w:tabs>
          <w:tab w:val="left" w:pos="4063"/>
        </w:tabs>
        <w:ind w:left="4063" w:hanging="420"/>
      </w:pPr>
      <w:rPr>
        <w:rFonts w:hint="eastAsia"/>
      </w:rPr>
    </w:lvl>
    <w:lvl w:ilvl="8" w:tentative="0">
      <w:start w:val="1"/>
      <w:numFmt w:val="lowerRoman"/>
      <w:lvlText w:val="%9."/>
      <w:lvlJc w:val="right"/>
      <w:pPr>
        <w:tabs>
          <w:tab w:val="left" w:pos="4483"/>
        </w:tabs>
        <w:ind w:left="4483" w:hanging="420"/>
      </w:pPr>
      <w:rPr>
        <w:rFonts w:hint="eastAsia"/>
      </w:rPr>
    </w:lvl>
  </w:abstractNum>
  <w:abstractNum w:abstractNumId="7">
    <w:nsid w:val="1AD20F90"/>
    <w:multiLevelType w:val="multilevel"/>
    <w:tmpl w:val="1AD20F90"/>
    <w:lvl w:ilvl="0" w:tentative="0">
      <w:start w:val="1"/>
      <w:numFmt w:val="none"/>
      <w:pStyle w:val="110"/>
      <w:lvlText w:val="%1注："/>
      <w:lvlJc w:val="left"/>
      <w:pPr>
        <w:tabs>
          <w:tab w:val="left" w:pos="845"/>
        </w:tabs>
        <w:ind w:left="-102" w:firstLine="419"/>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AF15012"/>
    <w:multiLevelType w:val="multilevel"/>
    <w:tmpl w:val="1AF15012"/>
    <w:lvl w:ilvl="0" w:tentative="0">
      <w:start w:val="1"/>
      <w:numFmt w:val="upperLetter"/>
      <w:pStyle w:val="85"/>
      <w:suff w:val="nothing"/>
      <w:lvlText w:val="附 录(Annex) %1"/>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9">
    <w:nsid w:val="1EAA1992"/>
    <w:multiLevelType w:val="multilevel"/>
    <w:tmpl w:val="1EAA1992"/>
    <w:lvl w:ilvl="0" w:tentative="0">
      <w:start w:val="1"/>
      <w:numFmt w:val="none"/>
      <w:pStyle w:val="92"/>
      <w:suff w:val="nothing"/>
      <w:lvlText w:val="——"/>
      <w:lvlJc w:val="left"/>
      <w:pPr>
        <w:ind w:left="794" w:hanging="397"/>
      </w:pPr>
    </w:lvl>
    <w:lvl w:ilvl="1" w:tentative="0">
      <w:start w:val="1"/>
      <w:numFmt w:val="decimal"/>
      <w:suff w:val="nothing"/>
      <w:lvlText w:val="%1.%2　"/>
      <w:lvlJc w:val="left"/>
      <w:pPr>
        <w:ind w:left="397" w:firstLine="0"/>
      </w:pPr>
    </w:lvl>
    <w:lvl w:ilvl="2" w:tentative="0">
      <w:start w:val="1"/>
      <w:numFmt w:val="decimal"/>
      <w:suff w:val="nothing"/>
      <w:lvlText w:val="%1.%2.%3　"/>
      <w:lvlJc w:val="left"/>
      <w:pPr>
        <w:ind w:left="397" w:firstLine="0"/>
      </w:pPr>
    </w:lvl>
    <w:lvl w:ilvl="3" w:tentative="0">
      <w:start w:val="1"/>
      <w:numFmt w:val="decimal"/>
      <w:suff w:val="nothing"/>
      <w:lvlText w:val="%1.%2.%3.%4　"/>
      <w:lvlJc w:val="left"/>
      <w:pPr>
        <w:ind w:left="397" w:firstLine="0"/>
      </w:pPr>
    </w:lvl>
    <w:lvl w:ilvl="4" w:tentative="0">
      <w:start w:val="1"/>
      <w:numFmt w:val="decimal"/>
      <w:suff w:val="nothing"/>
      <w:lvlText w:val="%1.%2.%3.%4.%5　"/>
      <w:lvlJc w:val="left"/>
      <w:pPr>
        <w:ind w:left="397" w:firstLine="0"/>
      </w:pPr>
    </w:lvl>
    <w:lvl w:ilvl="5" w:tentative="0">
      <w:start w:val="1"/>
      <w:numFmt w:val="decimal"/>
      <w:suff w:val="nothing"/>
      <w:lvlText w:val="%1.%2.%3.%4.%5.%6　"/>
      <w:lvlJc w:val="left"/>
      <w:pPr>
        <w:ind w:left="397" w:firstLine="0"/>
      </w:pPr>
    </w:lvl>
    <w:lvl w:ilvl="6" w:tentative="0">
      <w:start w:val="1"/>
      <w:numFmt w:val="decimal"/>
      <w:suff w:val="nothing"/>
      <w:lvlText w:val="%1.%2.%3.%4.%5.%6.%7　"/>
      <w:lvlJc w:val="left"/>
      <w:pPr>
        <w:ind w:left="397" w:firstLine="0"/>
      </w:pPr>
    </w:lvl>
    <w:lvl w:ilvl="7" w:tentative="0">
      <w:start w:val="1"/>
      <w:numFmt w:val="decimal"/>
      <w:lvlText w:val="%1.%2.%3.%4.%5.%6.%7.%8"/>
      <w:lvlJc w:val="left"/>
      <w:pPr>
        <w:tabs>
          <w:tab w:val="left" w:pos="4791"/>
        </w:tabs>
        <w:ind w:left="4791" w:hanging="1418"/>
      </w:pPr>
    </w:lvl>
    <w:lvl w:ilvl="8" w:tentative="0">
      <w:start w:val="1"/>
      <w:numFmt w:val="decimal"/>
      <w:lvlText w:val="%1.%2.%3.%4.%5.%6.%7.%8.%9"/>
      <w:lvlJc w:val="left"/>
      <w:pPr>
        <w:tabs>
          <w:tab w:val="left" w:pos="5499"/>
        </w:tabs>
        <w:ind w:left="5499" w:hanging="1700"/>
      </w:pPr>
    </w:lvl>
  </w:abstractNum>
  <w:abstractNum w:abstractNumId="10">
    <w:nsid w:val="2C5917C3"/>
    <w:multiLevelType w:val="multilevel"/>
    <w:tmpl w:val="2C5917C3"/>
    <w:lvl w:ilvl="0" w:tentative="0">
      <w:start w:val="1"/>
      <w:numFmt w:val="none"/>
      <w:pStyle w:val="132"/>
      <w:lvlText w:val="%1——"/>
      <w:lvlJc w:val="left"/>
      <w:pPr>
        <w:tabs>
          <w:tab w:val="left" w:pos="851"/>
        </w:tabs>
        <w:ind w:left="851" w:hanging="426"/>
      </w:pPr>
      <w:rPr>
        <w:rFonts w:hint="eastAsia" w:ascii="宋体" w:hAnsi="Times New Roman" w:eastAsia="宋体"/>
        <w:b w:val="0"/>
        <w:i w:val="0"/>
        <w:sz w:val="21"/>
      </w:rPr>
    </w:lvl>
    <w:lvl w:ilvl="1" w:tentative="0">
      <w:start w:val="1"/>
      <w:numFmt w:val="none"/>
      <w:pStyle w:val="187"/>
      <w:lvlText w:val=""/>
      <w:lvlJc w:val="left"/>
      <w:pPr>
        <w:ind w:left="851" w:hanging="431"/>
      </w:pPr>
      <w:rPr>
        <w:rFonts w:hint="default" w:ascii="Symbol" w:hAnsi="Symbol"/>
        <w:sz w:val="21"/>
      </w:rPr>
    </w:lvl>
    <w:lvl w:ilvl="2" w:tentative="0">
      <w:start w:val="1"/>
      <w:numFmt w:val="bullet"/>
      <w:pStyle w:val="172"/>
      <w:lvlText w:val=""/>
      <w:lvlJc w:val="left"/>
      <w:pPr>
        <w:ind w:left="851" w:hanging="426"/>
      </w:pPr>
      <w:rPr>
        <w:rFonts w:hint="default" w:ascii="Wingdings" w:hAnsi="Wingdings"/>
        <w:sz w:val="21"/>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1">
    <w:nsid w:val="32F04FB2"/>
    <w:multiLevelType w:val="multilevel"/>
    <w:tmpl w:val="32F04FB2"/>
    <w:lvl w:ilvl="0" w:tentative="0">
      <w:start w:val="1"/>
      <w:numFmt w:val="lowerLetter"/>
      <w:pStyle w:val="101"/>
      <w:lvlText w:val="%1"/>
      <w:lvlJc w:val="left"/>
      <w:pPr>
        <w:tabs>
          <w:tab w:val="left" w:pos="539"/>
        </w:tabs>
        <w:ind w:left="539" w:hanging="119"/>
      </w:pPr>
      <w:rPr>
        <w:rFonts w:hint="eastAsia"/>
        <w:caps w:val="0"/>
        <w:strike w:val="0"/>
        <w:dstrike w:val="0"/>
        <w:vanish w:val="0"/>
        <w:vertAlign w:val="superscript"/>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12">
    <w:nsid w:val="44C50F90"/>
    <w:multiLevelType w:val="multilevel"/>
    <w:tmpl w:val="44C50F90"/>
    <w:lvl w:ilvl="0" w:tentative="0">
      <w:start w:val="1"/>
      <w:numFmt w:val="lowerLetter"/>
      <w:pStyle w:val="174"/>
      <w:lvlText w:val="%1)"/>
      <w:lvlJc w:val="left"/>
      <w:pPr>
        <w:tabs>
          <w:tab w:val="left" w:pos="851"/>
        </w:tabs>
        <w:ind w:left="851" w:hanging="426"/>
      </w:pPr>
      <w:rPr>
        <w:rFonts w:hint="eastAsia" w:ascii="宋体" w:hAnsi="Times New Roman" w:eastAsia="宋体"/>
        <w:sz w:val="21"/>
      </w:rPr>
    </w:lvl>
    <w:lvl w:ilvl="1" w:tentative="0">
      <w:start w:val="1"/>
      <w:numFmt w:val="decimal"/>
      <w:pStyle w:val="109"/>
      <w:lvlText w:val="%2)"/>
      <w:lvlJc w:val="left"/>
      <w:pPr>
        <w:tabs>
          <w:tab w:val="left" w:pos="1276"/>
        </w:tabs>
        <w:ind w:left="1276" w:hanging="425"/>
      </w:pPr>
      <w:rPr>
        <w:rFonts w:hint="eastAsia" w:ascii="宋体" w:hAnsi="Times New Roman" w:eastAsia="宋体"/>
        <w:sz w:val="21"/>
      </w:rPr>
    </w:lvl>
    <w:lvl w:ilvl="2" w:tentative="0">
      <w:start w:val="1"/>
      <w:numFmt w:val="decimal"/>
      <w:pStyle w:val="117"/>
      <w:lvlText w:val="(%3)"/>
      <w:lvlJc w:val="left"/>
      <w:pPr>
        <w:ind w:left="1701" w:hanging="425"/>
      </w:pPr>
      <w:rPr>
        <w:rFonts w:hint="eastAsia" w:ascii="宋体" w:hAnsi="Times New Roman" w:eastAsia="宋体"/>
        <w:sz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3">
    <w:nsid w:val="48802D1C"/>
    <w:multiLevelType w:val="multilevel"/>
    <w:tmpl w:val="48802D1C"/>
    <w:lvl w:ilvl="0" w:tentative="0">
      <w:start w:val="1"/>
      <w:numFmt w:val="upperLetter"/>
      <w:pStyle w:val="198"/>
      <w:lvlText w:val="%1"/>
      <w:lvlJc w:val="left"/>
      <w:pPr>
        <w:ind w:left="420" w:hanging="420"/>
      </w:pPr>
      <w:rPr>
        <w:rFonts w:hint="eastAsia"/>
      </w:rPr>
    </w:lvl>
    <w:lvl w:ilvl="1" w:tentative="0">
      <w:start w:val="1"/>
      <w:numFmt w:val="decimal"/>
      <w:pStyle w:val="83"/>
      <w:suff w:val="space"/>
      <w:lvlText w:val="图%1.%2"/>
      <w:lvlJc w:val="center"/>
      <w:pPr>
        <w:ind w:left="0" w:firstLine="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4B733A5F"/>
    <w:multiLevelType w:val="multilevel"/>
    <w:tmpl w:val="4B733A5F"/>
    <w:lvl w:ilvl="0" w:tentative="0">
      <w:start w:val="1"/>
      <w:numFmt w:val="decimal"/>
      <w:pStyle w:val="183"/>
      <w:suff w:val="nothing"/>
      <w:lvlText w:val="示例%1："/>
      <w:lvlJc w:val="left"/>
      <w:pPr>
        <w:ind w:left="0" w:firstLine="363"/>
      </w:pPr>
      <w:rPr>
        <w:rFonts w:hint="eastAsia" w:ascii="黑体" w:eastAsia="黑体"/>
        <w:b w:val="0"/>
        <w:i w:val="0"/>
        <w:sz w:val="18"/>
      </w:r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5">
    <w:nsid w:val="4E5D0534"/>
    <w:multiLevelType w:val="multilevel"/>
    <w:tmpl w:val="4E5D0534"/>
    <w:lvl w:ilvl="0" w:tentative="0">
      <w:start w:val="1"/>
      <w:numFmt w:val="decimal"/>
      <w:pStyle w:val="116"/>
      <w:suff w:val="nothing"/>
      <w:lvlText w:val="Figur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6">
    <w:nsid w:val="54632751"/>
    <w:multiLevelType w:val="multilevel"/>
    <w:tmpl w:val="54632751"/>
    <w:lvl w:ilvl="0" w:tentative="0">
      <w:start w:val="1"/>
      <w:numFmt w:val="none"/>
      <w:pStyle w:val="93"/>
      <w:suff w:val="nothing"/>
      <w:lvlText w:val="——"/>
      <w:lvlJc w:val="left"/>
      <w:pPr>
        <w:ind w:left="1588" w:firstLine="0"/>
      </w:pPr>
    </w:lvl>
    <w:lvl w:ilvl="1" w:tentative="0">
      <w:start w:val="1"/>
      <w:numFmt w:val="decimal"/>
      <w:suff w:val="nothing"/>
      <w:lvlText w:val="%1.%2　"/>
      <w:lvlJc w:val="left"/>
      <w:pPr>
        <w:ind w:left="1588" w:firstLine="0"/>
      </w:pPr>
    </w:lvl>
    <w:lvl w:ilvl="2" w:tentative="0">
      <w:start w:val="1"/>
      <w:numFmt w:val="decimal"/>
      <w:suff w:val="nothing"/>
      <w:lvlText w:val="%1.%2.%3　"/>
      <w:lvlJc w:val="left"/>
      <w:pPr>
        <w:ind w:left="1588" w:firstLine="0"/>
      </w:pPr>
    </w:lvl>
    <w:lvl w:ilvl="3" w:tentative="0">
      <w:start w:val="1"/>
      <w:numFmt w:val="decimal"/>
      <w:suff w:val="nothing"/>
      <w:lvlText w:val="%1.%2.%3.%4　"/>
      <w:lvlJc w:val="left"/>
      <w:pPr>
        <w:ind w:left="1588" w:firstLine="0"/>
      </w:pPr>
    </w:lvl>
    <w:lvl w:ilvl="4" w:tentative="0">
      <w:start w:val="1"/>
      <w:numFmt w:val="decimal"/>
      <w:suff w:val="nothing"/>
      <w:lvlText w:val="%1.%2.%3.%4.%5　"/>
      <w:lvlJc w:val="left"/>
      <w:pPr>
        <w:ind w:left="1588" w:firstLine="0"/>
      </w:pPr>
    </w:lvl>
    <w:lvl w:ilvl="5" w:tentative="0">
      <w:start w:val="1"/>
      <w:numFmt w:val="decimal"/>
      <w:suff w:val="nothing"/>
      <w:lvlText w:val="%1.%2.%3.%4.%5.%6　"/>
      <w:lvlJc w:val="left"/>
      <w:pPr>
        <w:ind w:left="1588" w:firstLine="0"/>
      </w:pPr>
    </w:lvl>
    <w:lvl w:ilvl="6" w:tentative="0">
      <w:start w:val="1"/>
      <w:numFmt w:val="decimal"/>
      <w:suff w:val="nothing"/>
      <w:lvlText w:val="%1.%2.%3.%4.%5.%6.%7　"/>
      <w:lvlJc w:val="left"/>
      <w:pPr>
        <w:ind w:left="1588" w:firstLine="0"/>
      </w:pPr>
    </w:lvl>
    <w:lvl w:ilvl="7" w:tentative="0">
      <w:start w:val="1"/>
      <w:numFmt w:val="decimal"/>
      <w:lvlText w:val="%1.%2.%3.%4.%5.%6.%7.%8"/>
      <w:lvlJc w:val="left"/>
      <w:pPr>
        <w:tabs>
          <w:tab w:val="left" w:pos="5982"/>
        </w:tabs>
        <w:ind w:left="5982" w:hanging="1418"/>
      </w:pPr>
    </w:lvl>
    <w:lvl w:ilvl="8" w:tentative="0">
      <w:start w:val="1"/>
      <w:numFmt w:val="decimal"/>
      <w:lvlText w:val="%1.%2.%3.%4.%5.%6.%7.%8.%9"/>
      <w:lvlJc w:val="left"/>
      <w:pPr>
        <w:tabs>
          <w:tab w:val="left" w:pos="6690"/>
        </w:tabs>
        <w:ind w:left="6690" w:hanging="1700"/>
      </w:pPr>
    </w:lvl>
  </w:abstractNum>
  <w:abstractNum w:abstractNumId="17">
    <w:nsid w:val="557C2AF5"/>
    <w:multiLevelType w:val="multilevel"/>
    <w:tmpl w:val="557C2AF5"/>
    <w:lvl w:ilvl="0" w:tentative="0">
      <w:start w:val="1"/>
      <w:numFmt w:val="decimal"/>
      <w:pStyle w:val="114"/>
      <w:suff w:val="nothing"/>
      <w:lvlText w:val="图%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8">
    <w:nsid w:val="5603797C"/>
    <w:multiLevelType w:val="multilevel"/>
    <w:tmpl w:val="5603797C"/>
    <w:lvl w:ilvl="0" w:tentative="0">
      <w:start w:val="1"/>
      <w:numFmt w:val="upperLetter"/>
      <w:pStyle w:val="199"/>
      <w:suff w:val="space"/>
      <w:lvlText w:val="%1"/>
      <w:lvlJc w:val="left"/>
      <w:pPr>
        <w:ind w:left="425" w:hanging="425"/>
      </w:pPr>
      <w:rPr>
        <w:rFonts w:hint="eastAsia"/>
      </w:rPr>
    </w:lvl>
    <w:lvl w:ilvl="1" w:tentative="0">
      <w:start w:val="1"/>
      <w:numFmt w:val="decimal"/>
      <w:pStyle w:val="77"/>
      <w:suff w:val="space"/>
      <w:lvlText w:val="表%1.%2"/>
      <w:lvlJc w:val="center"/>
      <w:pPr>
        <w:ind w:left="0" w:firstLine="0"/>
      </w:pPr>
      <w:rPr>
        <w:rFonts w:hint="eastAsia" w:ascii="黑体" w:eastAsia="黑体"/>
        <w:sz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9">
    <w:nsid w:val="564D2089"/>
    <w:multiLevelType w:val="multilevel"/>
    <w:tmpl w:val="564D2089"/>
    <w:lvl w:ilvl="0" w:tentative="0">
      <w:start w:val="1"/>
      <w:numFmt w:val="none"/>
      <w:pStyle w:val="111"/>
      <w:lvlText w:val="%1注"/>
      <w:lvlJc w:val="left"/>
      <w:pPr>
        <w:tabs>
          <w:tab w:val="left" w:pos="760"/>
        </w:tabs>
        <w:ind w:left="760" w:hanging="284"/>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644622F9"/>
    <w:multiLevelType w:val="multilevel"/>
    <w:tmpl w:val="644622F9"/>
    <w:lvl w:ilvl="0" w:tentative="0">
      <w:start w:val="1"/>
      <w:numFmt w:val="upperRoman"/>
      <w:pStyle w:val="168"/>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310"/>
        </w:tabs>
        <w:ind w:left="1310" w:hanging="420"/>
      </w:pPr>
      <w:rPr>
        <w:rFonts w:hint="eastAsia"/>
      </w:rPr>
    </w:lvl>
    <w:lvl w:ilvl="2" w:tentative="0">
      <w:start w:val="1"/>
      <w:numFmt w:val="lowerRoman"/>
      <w:lvlText w:val="%3."/>
      <w:lvlJc w:val="right"/>
      <w:pPr>
        <w:tabs>
          <w:tab w:val="left" w:pos="1730"/>
        </w:tabs>
        <w:ind w:left="1730" w:hanging="420"/>
      </w:pPr>
      <w:rPr>
        <w:rFonts w:hint="eastAsia"/>
      </w:rPr>
    </w:lvl>
    <w:lvl w:ilvl="3" w:tentative="0">
      <w:start w:val="1"/>
      <w:numFmt w:val="decimal"/>
      <w:lvlText w:val="%4."/>
      <w:lvlJc w:val="left"/>
      <w:pPr>
        <w:tabs>
          <w:tab w:val="left" w:pos="2150"/>
        </w:tabs>
        <w:ind w:left="2150" w:hanging="420"/>
      </w:pPr>
      <w:rPr>
        <w:rFonts w:hint="eastAsia"/>
      </w:rPr>
    </w:lvl>
    <w:lvl w:ilvl="4" w:tentative="0">
      <w:start w:val="1"/>
      <w:numFmt w:val="lowerLetter"/>
      <w:lvlText w:val="%5)"/>
      <w:lvlJc w:val="left"/>
      <w:pPr>
        <w:tabs>
          <w:tab w:val="left" w:pos="2570"/>
        </w:tabs>
        <w:ind w:left="2570" w:hanging="420"/>
      </w:pPr>
      <w:rPr>
        <w:rFonts w:hint="eastAsia"/>
      </w:rPr>
    </w:lvl>
    <w:lvl w:ilvl="5" w:tentative="0">
      <w:start w:val="1"/>
      <w:numFmt w:val="lowerRoman"/>
      <w:lvlText w:val="%6."/>
      <w:lvlJc w:val="right"/>
      <w:pPr>
        <w:tabs>
          <w:tab w:val="left" w:pos="2990"/>
        </w:tabs>
        <w:ind w:left="2990" w:hanging="420"/>
      </w:pPr>
      <w:rPr>
        <w:rFonts w:hint="eastAsia"/>
      </w:rPr>
    </w:lvl>
    <w:lvl w:ilvl="6" w:tentative="0">
      <w:start w:val="1"/>
      <w:numFmt w:val="decimal"/>
      <w:lvlText w:val="%7."/>
      <w:lvlJc w:val="left"/>
      <w:pPr>
        <w:tabs>
          <w:tab w:val="left" w:pos="3410"/>
        </w:tabs>
        <w:ind w:left="3410" w:hanging="420"/>
      </w:pPr>
      <w:rPr>
        <w:rFonts w:hint="eastAsia"/>
      </w:rPr>
    </w:lvl>
    <w:lvl w:ilvl="7" w:tentative="0">
      <w:start w:val="1"/>
      <w:numFmt w:val="lowerLetter"/>
      <w:lvlText w:val="%8)"/>
      <w:lvlJc w:val="left"/>
      <w:pPr>
        <w:tabs>
          <w:tab w:val="left" w:pos="3830"/>
        </w:tabs>
        <w:ind w:left="3830" w:hanging="420"/>
      </w:pPr>
      <w:rPr>
        <w:rFonts w:hint="eastAsia"/>
      </w:rPr>
    </w:lvl>
    <w:lvl w:ilvl="8" w:tentative="0">
      <w:start w:val="1"/>
      <w:numFmt w:val="lowerRoman"/>
      <w:lvlText w:val="%9."/>
      <w:lvlJc w:val="right"/>
      <w:pPr>
        <w:tabs>
          <w:tab w:val="left" w:pos="4250"/>
        </w:tabs>
        <w:ind w:left="4250" w:hanging="420"/>
      </w:pPr>
      <w:rPr>
        <w:rFonts w:hint="eastAsia"/>
      </w:rPr>
    </w:lvl>
  </w:abstractNum>
  <w:abstractNum w:abstractNumId="21">
    <w:nsid w:val="646260FA"/>
    <w:multiLevelType w:val="multilevel"/>
    <w:tmpl w:val="646260FA"/>
    <w:lvl w:ilvl="0" w:tentative="0">
      <w:start w:val="1"/>
      <w:numFmt w:val="decimal"/>
      <w:pStyle w:val="112"/>
      <w:suff w:val="nothing"/>
      <w:lvlText w:val="表%1　"/>
      <w:lvlJc w:val="left"/>
      <w:pPr>
        <w:ind w:left="0" w:firstLine="0"/>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7"/>
        </w:tabs>
        <w:ind w:left="1417"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2">
    <w:nsid w:val="654A26C9"/>
    <w:multiLevelType w:val="multilevel"/>
    <w:tmpl w:val="654A26C9"/>
    <w:lvl w:ilvl="0" w:tentative="0">
      <w:start w:val="1"/>
      <w:numFmt w:val="none"/>
      <w:pStyle w:val="189"/>
      <w:lvlText w:val="──"/>
      <w:lvlJc w:val="left"/>
      <w:pPr>
        <w:ind w:left="851" w:firstLine="0"/>
      </w:pPr>
      <w:rPr>
        <w:rFonts w:hint="eastAsia" w:ascii="宋体" w:eastAsia="宋体" w:hAnsiTheme="majorHAnsi"/>
        <w:b w:val="0"/>
        <w:i w:val="0"/>
        <w:sz w:val="21"/>
      </w:rPr>
    </w:lvl>
    <w:lvl w:ilvl="1" w:tentative="0">
      <w:start w:val="1"/>
      <w:numFmt w:val="bullet"/>
      <w:lvlText w:val=""/>
      <w:lvlJc w:val="left"/>
      <w:pPr>
        <w:ind w:left="1276" w:hanging="425"/>
      </w:pPr>
      <w:rPr>
        <w:rFonts w:hint="default" w:ascii="Wingdings" w:hAnsi="Wingdings"/>
      </w:rPr>
    </w:lvl>
    <w:lvl w:ilvl="2" w:tentative="0">
      <w:start w:val="1"/>
      <w:numFmt w:val="bullet"/>
      <w:lvlText w:val=""/>
      <w:lvlJc w:val="left"/>
      <w:pPr>
        <w:ind w:left="1276" w:hanging="236"/>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23">
    <w:nsid w:val="657D3FBC"/>
    <w:multiLevelType w:val="multilevel"/>
    <w:tmpl w:val="657D3FBC"/>
    <w:lvl w:ilvl="0" w:tentative="0">
      <w:start w:val="1"/>
      <w:numFmt w:val="upperLetter"/>
      <w:pStyle w:val="76"/>
      <w:suff w:val="nothing"/>
      <w:lvlText w:val="附录%1"/>
      <w:lvlJc w:val="left"/>
      <w:pPr>
        <w:ind w:left="0" w:firstLine="0"/>
      </w:pPr>
      <w:rPr>
        <w:rFonts w:hint="eastAsia"/>
        <w:spacing w:val="100"/>
      </w:rPr>
    </w:lvl>
    <w:lvl w:ilvl="1" w:tentative="0">
      <w:start w:val="1"/>
      <w:numFmt w:val="decimal"/>
      <w:pStyle w:val="78"/>
      <w:suff w:val="nothing"/>
      <w:lvlText w:val="%1.%2　"/>
      <w:lvlJc w:val="left"/>
      <w:pPr>
        <w:ind w:left="0" w:firstLine="0"/>
      </w:pPr>
      <w:rPr>
        <w:rFonts w:hint="eastAsia" w:ascii="黑体" w:eastAsia="黑体"/>
        <w:b w:val="0"/>
        <w:i w:val="0"/>
        <w:sz w:val="21"/>
      </w:rPr>
    </w:lvl>
    <w:lvl w:ilvl="2" w:tentative="0">
      <w:start w:val="1"/>
      <w:numFmt w:val="decimal"/>
      <w:pStyle w:val="79"/>
      <w:suff w:val="nothing"/>
      <w:lvlText w:val="%1.%2.%3　"/>
      <w:lvlJc w:val="left"/>
      <w:pPr>
        <w:ind w:left="0" w:firstLine="0"/>
      </w:pPr>
      <w:rPr>
        <w:rFonts w:hint="eastAsia" w:ascii="黑体" w:eastAsia="黑体"/>
        <w:b w:val="0"/>
        <w:i w:val="0"/>
        <w:sz w:val="21"/>
      </w:rPr>
    </w:lvl>
    <w:lvl w:ilvl="3" w:tentative="0">
      <w:start w:val="1"/>
      <w:numFmt w:val="decimal"/>
      <w:pStyle w:val="81"/>
      <w:suff w:val="nothing"/>
      <w:lvlText w:val="%1.%2.%3.%4　"/>
      <w:lvlJc w:val="left"/>
      <w:pPr>
        <w:ind w:left="0" w:firstLine="0"/>
      </w:pPr>
      <w:rPr>
        <w:rFonts w:hint="eastAsia" w:ascii="黑体" w:eastAsia="黑体"/>
        <w:b w:val="0"/>
        <w:i w:val="0"/>
        <w:sz w:val="21"/>
      </w:rPr>
    </w:lvl>
    <w:lvl w:ilvl="4" w:tentative="0">
      <w:start w:val="1"/>
      <w:numFmt w:val="decimal"/>
      <w:pStyle w:val="82"/>
      <w:suff w:val="nothing"/>
      <w:lvlText w:val="%1.%2.%3.%4.%5　"/>
      <w:lvlJc w:val="left"/>
      <w:pPr>
        <w:ind w:left="0" w:firstLine="0"/>
      </w:pPr>
      <w:rPr>
        <w:rFonts w:hint="eastAsia" w:ascii="黑体" w:eastAsia="黑体"/>
        <w:b w:val="0"/>
        <w:i w:val="0"/>
        <w:sz w:val="21"/>
      </w:rPr>
    </w:lvl>
    <w:lvl w:ilvl="5" w:tentative="0">
      <w:start w:val="1"/>
      <w:numFmt w:val="decimal"/>
      <w:pStyle w:val="84"/>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4">
    <w:nsid w:val="69506ABF"/>
    <w:multiLevelType w:val="multilevel"/>
    <w:tmpl w:val="69506ABF"/>
    <w:lvl w:ilvl="0" w:tentative="0">
      <w:start w:val="1"/>
      <w:numFmt w:val="bullet"/>
      <w:pStyle w:val="188"/>
      <w:lvlText w:val=""/>
      <w:lvlJc w:val="left"/>
      <w:pPr>
        <w:ind w:left="851" w:firstLine="0"/>
      </w:pPr>
      <w:rPr>
        <w:rFonts w:hint="default" w:ascii="Wingdings" w:hAnsi="Wingdings"/>
        <w:color w:val="auto"/>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25">
    <w:nsid w:val="6CA41985"/>
    <w:multiLevelType w:val="multilevel"/>
    <w:tmpl w:val="6CA41985"/>
    <w:lvl w:ilvl="0" w:tentative="0">
      <w:start w:val="1"/>
      <w:numFmt w:val="decimal"/>
      <w:pStyle w:val="97"/>
      <w:lvlText w:val="%1)"/>
      <w:lvlJc w:val="left"/>
      <w:pPr>
        <w:tabs>
          <w:tab w:val="left" w:pos="823"/>
        </w:tabs>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6CE42AC1"/>
    <w:multiLevelType w:val="multilevel"/>
    <w:tmpl w:val="6CE42AC1"/>
    <w:lvl w:ilvl="0" w:tentative="0">
      <w:start w:val="1"/>
      <w:numFmt w:val="lowerLetter"/>
      <w:pStyle w:val="17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6CEA2025"/>
    <w:multiLevelType w:val="multilevel"/>
    <w:tmpl w:val="6CEA2025"/>
    <w:lvl w:ilvl="0" w:tentative="0">
      <w:start w:val="1"/>
      <w:numFmt w:val="none"/>
      <w:pStyle w:val="152"/>
      <w:suff w:val="nothing"/>
      <w:lvlText w:val="%1"/>
      <w:lvlJc w:val="left"/>
      <w:pPr>
        <w:ind w:left="0" w:firstLine="0"/>
      </w:pPr>
      <w:rPr>
        <w:rFonts w:hint="eastAsia"/>
      </w:rPr>
    </w:lvl>
    <w:lvl w:ilvl="1" w:tentative="0">
      <w:start w:val="1"/>
      <w:numFmt w:val="decimal"/>
      <w:pStyle w:val="104"/>
      <w:suff w:val="nothing"/>
      <w:lvlText w:val="%1%2　"/>
      <w:lvlJc w:val="left"/>
      <w:pPr>
        <w:ind w:left="0" w:firstLine="0"/>
      </w:pPr>
      <w:rPr>
        <w:rFonts w:hint="eastAsia" w:ascii="黑体" w:eastAsia="黑体"/>
        <w:b w:val="0"/>
        <w:i w:val="0"/>
        <w:sz w:val="21"/>
      </w:rPr>
    </w:lvl>
    <w:lvl w:ilvl="2" w:tentative="0">
      <w:start w:val="1"/>
      <w:numFmt w:val="decimal"/>
      <w:pStyle w:val="105"/>
      <w:suff w:val="nothing"/>
      <w:lvlText w:val="%1%2.%3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3" w:tentative="0">
      <w:start w:val="1"/>
      <w:numFmt w:val="decimal"/>
      <w:pStyle w:val="65"/>
      <w:suff w:val="nothing"/>
      <w:lvlText w:val="%1%2.%3.%4　"/>
      <w:lvlJc w:val="left"/>
      <w:pPr>
        <w:ind w:left="0" w:firstLine="0"/>
      </w:pPr>
      <w:rPr>
        <w:rFonts w:hint="eastAsia" w:ascii="黑体" w:eastAsia="黑体"/>
        <w:b w:val="0"/>
        <w:i w:val="0"/>
        <w:sz w:val="21"/>
      </w:rPr>
    </w:lvl>
    <w:lvl w:ilvl="4" w:tentative="0">
      <w:start w:val="1"/>
      <w:numFmt w:val="decimal"/>
      <w:pStyle w:val="94"/>
      <w:suff w:val="nothing"/>
      <w:lvlText w:val="%1%2.%3.%4.%5　"/>
      <w:lvlJc w:val="left"/>
      <w:pPr>
        <w:ind w:left="0" w:firstLine="0"/>
      </w:pPr>
      <w:rPr>
        <w:rFonts w:hint="eastAsia" w:ascii="黑体" w:eastAsia="黑体"/>
        <w:b w:val="0"/>
        <w:i w:val="0"/>
        <w:sz w:val="21"/>
      </w:rPr>
    </w:lvl>
    <w:lvl w:ilvl="5" w:tentative="0">
      <w:start w:val="1"/>
      <w:numFmt w:val="decimal"/>
      <w:pStyle w:val="98"/>
      <w:suff w:val="nothing"/>
      <w:lvlText w:val="%1%2.%3.%4.%5.%6　"/>
      <w:lvlJc w:val="left"/>
      <w:pPr>
        <w:ind w:left="0" w:firstLine="0"/>
      </w:pPr>
      <w:rPr>
        <w:rFonts w:hint="eastAsia" w:ascii="黑体" w:eastAsia="黑体"/>
        <w:b w:val="0"/>
        <w:i w:val="0"/>
        <w:sz w:val="21"/>
      </w:rPr>
    </w:lvl>
    <w:lvl w:ilvl="6" w:tentative="0">
      <w:start w:val="1"/>
      <w:numFmt w:val="decimal"/>
      <w:pStyle w:val="103"/>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8">
    <w:nsid w:val="6DBF04F4"/>
    <w:multiLevelType w:val="multilevel"/>
    <w:tmpl w:val="6DBF04F4"/>
    <w:lvl w:ilvl="0" w:tentative="0">
      <w:start w:val="1"/>
      <w:numFmt w:val="none"/>
      <w:pStyle w:val="179"/>
      <w:lvlText w:val="%1注："/>
      <w:lvlJc w:val="left"/>
      <w:pPr>
        <w:ind w:left="737" w:hanging="374"/>
      </w:pPr>
      <w:rPr>
        <w:rFonts w:hint="eastAsia" w:ascii="黑体"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29">
    <w:nsid w:val="6DF35F19"/>
    <w:multiLevelType w:val="multilevel"/>
    <w:tmpl w:val="6DF35F19"/>
    <w:lvl w:ilvl="0" w:tentative="0">
      <w:start w:val="1"/>
      <w:numFmt w:val="decimal"/>
      <w:pStyle w:val="115"/>
      <w:suff w:val="nothing"/>
      <w:lvlText w:val="Tabl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30">
    <w:nsid w:val="76933334"/>
    <w:multiLevelType w:val="multilevel"/>
    <w:tmpl w:val="76933334"/>
    <w:lvl w:ilvl="0" w:tentative="0">
      <w:start w:val="1"/>
      <w:numFmt w:val="none"/>
      <w:pStyle w:val="139"/>
      <w:lvlText w:val="%1——"/>
      <w:lvlJc w:val="left"/>
      <w:pPr>
        <w:tabs>
          <w:tab w:val="left" w:pos="330"/>
        </w:tabs>
        <w:ind w:left="948"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7"/>
  </w:num>
  <w:num w:numId="3">
    <w:abstractNumId w:val="5"/>
  </w:num>
  <w:num w:numId="4">
    <w:abstractNumId w:val="23"/>
  </w:num>
  <w:num w:numId="5">
    <w:abstractNumId w:val="18"/>
  </w:num>
  <w:num w:numId="6">
    <w:abstractNumId w:val="13"/>
  </w:num>
  <w:num w:numId="7">
    <w:abstractNumId w:val="8"/>
  </w:num>
  <w:num w:numId="8">
    <w:abstractNumId w:val="3"/>
  </w:num>
  <w:num w:numId="9">
    <w:abstractNumId w:val="9"/>
  </w:num>
  <w:num w:numId="10">
    <w:abstractNumId w:val="16"/>
  </w:num>
  <w:num w:numId="11">
    <w:abstractNumId w:val="25"/>
  </w:num>
  <w:num w:numId="12">
    <w:abstractNumId w:val="11"/>
  </w:num>
  <w:num w:numId="13">
    <w:abstractNumId w:val="12"/>
  </w:num>
  <w:num w:numId="14">
    <w:abstractNumId w:val="7"/>
  </w:num>
  <w:num w:numId="15">
    <w:abstractNumId w:val="19"/>
  </w:num>
  <w:num w:numId="16">
    <w:abstractNumId w:val="21"/>
  </w:num>
  <w:num w:numId="17">
    <w:abstractNumId w:val="17"/>
  </w:num>
  <w:num w:numId="18">
    <w:abstractNumId w:val="29"/>
  </w:num>
  <w:num w:numId="19">
    <w:abstractNumId w:val="15"/>
  </w:num>
  <w:num w:numId="20">
    <w:abstractNumId w:val="1"/>
  </w:num>
  <w:num w:numId="21">
    <w:abstractNumId w:val="10"/>
  </w:num>
  <w:num w:numId="22">
    <w:abstractNumId w:val="30"/>
  </w:num>
  <w:num w:numId="23">
    <w:abstractNumId w:val="20"/>
  </w:num>
  <w:num w:numId="24">
    <w:abstractNumId w:val="6"/>
  </w:num>
  <w:num w:numId="25">
    <w:abstractNumId w:val="26"/>
  </w:num>
  <w:num w:numId="26">
    <w:abstractNumId w:val="28"/>
  </w:num>
  <w:num w:numId="27">
    <w:abstractNumId w:val="2"/>
  </w:num>
  <w:num w:numId="28">
    <w:abstractNumId w:val="4"/>
  </w:num>
  <w:num w:numId="29">
    <w:abstractNumId w:val="14"/>
  </w:num>
  <w:num w:numId="30">
    <w:abstractNumId w:val="24"/>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attachedTemplate r:id="rId1"/>
  <w:documentProtection w:edit="forms"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65B"/>
    <w:rsid w:val="0000040A"/>
    <w:rsid w:val="00000A94"/>
    <w:rsid w:val="00001972"/>
    <w:rsid w:val="00001D9A"/>
    <w:rsid w:val="00007B3A"/>
    <w:rsid w:val="000107E0"/>
    <w:rsid w:val="00011FDE"/>
    <w:rsid w:val="00012FFD"/>
    <w:rsid w:val="00014162"/>
    <w:rsid w:val="00014340"/>
    <w:rsid w:val="00016A9C"/>
    <w:rsid w:val="00022184"/>
    <w:rsid w:val="00022762"/>
    <w:rsid w:val="000238E0"/>
    <w:rsid w:val="000249DB"/>
    <w:rsid w:val="0002595E"/>
    <w:rsid w:val="000303C3"/>
    <w:rsid w:val="000331D3"/>
    <w:rsid w:val="000346A5"/>
    <w:rsid w:val="000359C3"/>
    <w:rsid w:val="00035A7D"/>
    <w:rsid w:val="000365ED"/>
    <w:rsid w:val="0004249A"/>
    <w:rsid w:val="00043282"/>
    <w:rsid w:val="00044286"/>
    <w:rsid w:val="00047F28"/>
    <w:rsid w:val="000503AA"/>
    <w:rsid w:val="000506A1"/>
    <w:rsid w:val="000515DD"/>
    <w:rsid w:val="0005265A"/>
    <w:rsid w:val="000539DD"/>
    <w:rsid w:val="00053BD3"/>
    <w:rsid w:val="000556ED"/>
    <w:rsid w:val="00055FE2"/>
    <w:rsid w:val="0005616F"/>
    <w:rsid w:val="00060C2E"/>
    <w:rsid w:val="00061033"/>
    <w:rsid w:val="000619E9"/>
    <w:rsid w:val="000622D4"/>
    <w:rsid w:val="0006357D"/>
    <w:rsid w:val="00067F1E"/>
    <w:rsid w:val="00071CC0"/>
    <w:rsid w:val="00071CFC"/>
    <w:rsid w:val="00073C8C"/>
    <w:rsid w:val="00077B64"/>
    <w:rsid w:val="00080A1C"/>
    <w:rsid w:val="00082317"/>
    <w:rsid w:val="00083D2C"/>
    <w:rsid w:val="00086AA1"/>
    <w:rsid w:val="00087A77"/>
    <w:rsid w:val="00090CA6"/>
    <w:rsid w:val="00092B8A"/>
    <w:rsid w:val="00092FB0"/>
    <w:rsid w:val="000934C5"/>
    <w:rsid w:val="00093D25"/>
    <w:rsid w:val="00093DAB"/>
    <w:rsid w:val="00094D73"/>
    <w:rsid w:val="00096D63"/>
    <w:rsid w:val="000A0B60"/>
    <w:rsid w:val="000A0EB8"/>
    <w:rsid w:val="000A19FC"/>
    <w:rsid w:val="000A296B"/>
    <w:rsid w:val="000A7311"/>
    <w:rsid w:val="000B060F"/>
    <w:rsid w:val="000B1592"/>
    <w:rsid w:val="000B1FF2"/>
    <w:rsid w:val="000B3CDA"/>
    <w:rsid w:val="000B6A0B"/>
    <w:rsid w:val="000C0F6C"/>
    <w:rsid w:val="000C11DB"/>
    <w:rsid w:val="000C1492"/>
    <w:rsid w:val="000C2FBD"/>
    <w:rsid w:val="000C4B41"/>
    <w:rsid w:val="000C57D6"/>
    <w:rsid w:val="000C6362"/>
    <w:rsid w:val="000C7666"/>
    <w:rsid w:val="000D0A9C"/>
    <w:rsid w:val="000D1795"/>
    <w:rsid w:val="000D329A"/>
    <w:rsid w:val="000D4B9C"/>
    <w:rsid w:val="000D4EB6"/>
    <w:rsid w:val="000D753B"/>
    <w:rsid w:val="000E4C9E"/>
    <w:rsid w:val="000E6FD7"/>
    <w:rsid w:val="000E7144"/>
    <w:rsid w:val="000F06E1"/>
    <w:rsid w:val="000F0E3C"/>
    <w:rsid w:val="000F19D5"/>
    <w:rsid w:val="000F4050"/>
    <w:rsid w:val="000F4AEA"/>
    <w:rsid w:val="000F67E9"/>
    <w:rsid w:val="00104926"/>
    <w:rsid w:val="00113B1E"/>
    <w:rsid w:val="0011711C"/>
    <w:rsid w:val="0011738C"/>
    <w:rsid w:val="00124E4F"/>
    <w:rsid w:val="001260B7"/>
    <w:rsid w:val="001265CB"/>
    <w:rsid w:val="001321C6"/>
    <w:rsid w:val="001325C4"/>
    <w:rsid w:val="00133010"/>
    <w:rsid w:val="001338EE"/>
    <w:rsid w:val="00133AAE"/>
    <w:rsid w:val="00135323"/>
    <w:rsid w:val="001356C4"/>
    <w:rsid w:val="00137565"/>
    <w:rsid w:val="00141114"/>
    <w:rsid w:val="00142969"/>
    <w:rsid w:val="001446C2"/>
    <w:rsid w:val="001457E7"/>
    <w:rsid w:val="00145D9D"/>
    <w:rsid w:val="00146388"/>
    <w:rsid w:val="001529E5"/>
    <w:rsid w:val="00152FB3"/>
    <w:rsid w:val="00153C7E"/>
    <w:rsid w:val="00156B25"/>
    <w:rsid w:val="00156E1A"/>
    <w:rsid w:val="00157894"/>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6DFD"/>
    <w:rsid w:val="001852C9"/>
    <w:rsid w:val="00187A0B"/>
    <w:rsid w:val="00190087"/>
    <w:rsid w:val="001913C4"/>
    <w:rsid w:val="0019348F"/>
    <w:rsid w:val="00193A07"/>
    <w:rsid w:val="00194C95"/>
    <w:rsid w:val="00195C34"/>
    <w:rsid w:val="00196EF5"/>
    <w:rsid w:val="001A1A53"/>
    <w:rsid w:val="001A234A"/>
    <w:rsid w:val="001A4CF3"/>
    <w:rsid w:val="001A6696"/>
    <w:rsid w:val="001B06E8"/>
    <w:rsid w:val="001B71D0"/>
    <w:rsid w:val="001B71EE"/>
    <w:rsid w:val="001C04A8"/>
    <w:rsid w:val="001C2C03"/>
    <w:rsid w:val="001C42F7"/>
    <w:rsid w:val="001C49E5"/>
    <w:rsid w:val="001C680C"/>
    <w:rsid w:val="001C7FEA"/>
    <w:rsid w:val="001D0499"/>
    <w:rsid w:val="001D0BBE"/>
    <w:rsid w:val="001D0ED4"/>
    <w:rsid w:val="001D212F"/>
    <w:rsid w:val="001D29D7"/>
    <w:rsid w:val="001D2DE7"/>
    <w:rsid w:val="001D411C"/>
    <w:rsid w:val="001E1B6A"/>
    <w:rsid w:val="001E2484"/>
    <w:rsid w:val="001E3CC4"/>
    <w:rsid w:val="001E4882"/>
    <w:rsid w:val="001E73AB"/>
    <w:rsid w:val="001F092D"/>
    <w:rsid w:val="001F143A"/>
    <w:rsid w:val="001F1605"/>
    <w:rsid w:val="001F2508"/>
    <w:rsid w:val="001F4816"/>
    <w:rsid w:val="001F69B4"/>
    <w:rsid w:val="001F77C7"/>
    <w:rsid w:val="00200183"/>
    <w:rsid w:val="00200333"/>
    <w:rsid w:val="0020107D"/>
    <w:rsid w:val="00202AA4"/>
    <w:rsid w:val="002031F7"/>
    <w:rsid w:val="002040E6"/>
    <w:rsid w:val="0020527B"/>
    <w:rsid w:val="00205F2C"/>
    <w:rsid w:val="00210B15"/>
    <w:rsid w:val="002142EA"/>
    <w:rsid w:val="00215ADD"/>
    <w:rsid w:val="002204BB"/>
    <w:rsid w:val="00221B79"/>
    <w:rsid w:val="00221C6B"/>
    <w:rsid w:val="002253A1"/>
    <w:rsid w:val="00225CF8"/>
    <w:rsid w:val="0022794E"/>
    <w:rsid w:val="00233D64"/>
    <w:rsid w:val="0023482A"/>
    <w:rsid w:val="002359CB"/>
    <w:rsid w:val="00243540"/>
    <w:rsid w:val="0024497B"/>
    <w:rsid w:val="0024515B"/>
    <w:rsid w:val="00246021"/>
    <w:rsid w:val="0024666E"/>
    <w:rsid w:val="00247F52"/>
    <w:rsid w:val="00250B25"/>
    <w:rsid w:val="00250BBE"/>
    <w:rsid w:val="002515C2"/>
    <w:rsid w:val="0025194F"/>
    <w:rsid w:val="0026148A"/>
    <w:rsid w:val="00262696"/>
    <w:rsid w:val="00263D25"/>
    <w:rsid w:val="002643C3"/>
    <w:rsid w:val="00264A0C"/>
    <w:rsid w:val="00266EEB"/>
    <w:rsid w:val="00267EF4"/>
    <w:rsid w:val="00270CB8"/>
    <w:rsid w:val="00272B08"/>
    <w:rsid w:val="00281BB8"/>
    <w:rsid w:val="00281E9E"/>
    <w:rsid w:val="00282405"/>
    <w:rsid w:val="00285170"/>
    <w:rsid w:val="00285361"/>
    <w:rsid w:val="00292D60"/>
    <w:rsid w:val="00293B30"/>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757F"/>
    <w:rsid w:val="002A7F44"/>
    <w:rsid w:val="002B0C40"/>
    <w:rsid w:val="002B1966"/>
    <w:rsid w:val="002B4508"/>
    <w:rsid w:val="002B5779"/>
    <w:rsid w:val="002B7332"/>
    <w:rsid w:val="002B7F51"/>
    <w:rsid w:val="002C09E7"/>
    <w:rsid w:val="002C1E06"/>
    <w:rsid w:val="002C3F07"/>
    <w:rsid w:val="002C5278"/>
    <w:rsid w:val="002C7EBB"/>
    <w:rsid w:val="002D06C1"/>
    <w:rsid w:val="002D42B5"/>
    <w:rsid w:val="002D4F1A"/>
    <w:rsid w:val="002D6EC6"/>
    <w:rsid w:val="002D79AC"/>
    <w:rsid w:val="002E039D"/>
    <w:rsid w:val="002E4D5A"/>
    <w:rsid w:val="002E6326"/>
    <w:rsid w:val="002F30E0"/>
    <w:rsid w:val="002F35E4"/>
    <w:rsid w:val="002F3730"/>
    <w:rsid w:val="002F38E1"/>
    <w:rsid w:val="002F7AF6"/>
    <w:rsid w:val="00300E63"/>
    <w:rsid w:val="00302F5F"/>
    <w:rsid w:val="0030441D"/>
    <w:rsid w:val="00306063"/>
    <w:rsid w:val="00313B85"/>
    <w:rsid w:val="00317988"/>
    <w:rsid w:val="003221B4"/>
    <w:rsid w:val="0032258D"/>
    <w:rsid w:val="00322E62"/>
    <w:rsid w:val="00324D13"/>
    <w:rsid w:val="00324EDD"/>
    <w:rsid w:val="003331E4"/>
    <w:rsid w:val="00336C64"/>
    <w:rsid w:val="00337162"/>
    <w:rsid w:val="0034194F"/>
    <w:rsid w:val="00344605"/>
    <w:rsid w:val="003474AA"/>
    <w:rsid w:val="00350D1D"/>
    <w:rsid w:val="00352C83"/>
    <w:rsid w:val="00352F1A"/>
    <w:rsid w:val="0036107C"/>
    <w:rsid w:val="003615D2"/>
    <w:rsid w:val="0036429C"/>
    <w:rsid w:val="00364A53"/>
    <w:rsid w:val="003654CB"/>
    <w:rsid w:val="00365AA9"/>
    <w:rsid w:val="00365F86"/>
    <w:rsid w:val="00365F87"/>
    <w:rsid w:val="00366E89"/>
    <w:rsid w:val="003705F4"/>
    <w:rsid w:val="00370D58"/>
    <w:rsid w:val="00371316"/>
    <w:rsid w:val="00376713"/>
    <w:rsid w:val="00381815"/>
    <w:rsid w:val="003819AF"/>
    <w:rsid w:val="003820E9"/>
    <w:rsid w:val="00382DE7"/>
    <w:rsid w:val="00384FFC"/>
    <w:rsid w:val="003872FC"/>
    <w:rsid w:val="00387ADC"/>
    <w:rsid w:val="00390020"/>
    <w:rsid w:val="003903D6"/>
    <w:rsid w:val="00390EE6"/>
    <w:rsid w:val="0039118F"/>
    <w:rsid w:val="00392AD7"/>
    <w:rsid w:val="003938D9"/>
    <w:rsid w:val="00394376"/>
    <w:rsid w:val="003943FF"/>
    <w:rsid w:val="003974EB"/>
    <w:rsid w:val="00397CC5"/>
    <w:rsid w:val="003A11D1"/>
    <w:rsid w:val="003A1582"/>
    <w:rsid w:val="003A3D9C"/>
    <w:rsid w:val="003A4077"/>
    <w:rsid w:val="003A4AA7"/>
    <w:rsid w:val="003B09AD"/>
    <w:rsid w:val="003B1F18"/>
    <w:rsid w:val="003B5BF0"/>
    <w:rsid w:val="003B60BF"/>
    <w:rsid w:val="003B6BE3"/>
    <w:rsid w:val="003C010C"/>
    <w:rsid w:val="003C0A6C"/>
    <w:rsid w:val="003C14F8"/>
    <w:rsid w:val="003C5A43"/>
    <w:rsid w:val="003D0519"/>
    <w:rsid w:val="003D0FF6"/>
    <w:rsid w:val="003D262C"/>
    <w:rsid w:val="003D6D61"/>
    <w:rsid w:val="003E019F"/>
    <w:rsid w:val="003E091D"/>
    <w:rsid w:val="003E1C53"/>
    <w:rsid w:val="003E2A69"/>
    <w:rsid w:val="003E2D49"/>
    <w:rsid w:val="003E2FD4"/>
    <w:rsid w:val="003E49F6"/>
    <w:rsid w:val="003E660F"/>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5DF7"/>
    <w:rsid w:val="0044083F"/>
    <w:rsid w:val="00441AE7"/>
    <w:rsid w:val="00445574"/>
    <w:rsid w:val="004467FB"/>
    <w:rsid w:val="00452D6B"/>
    <w:rsid w:val="00454484"/>
    <w:rsid w:val="0045517B"/>
    <w:rsid w:val="00463B77"/>
    <w:rsid w:val="00463C7B"/>
    <w:rsid w:val="004644A6"/>
    <w:rsid w:val="004659BD"/>
    <w:rsid w:val="00470775"/>
    <w:rsid w:val="004746B1"/>
    <w:rsid w:val="0047583F"/>
    <w:rsid w:val="00475DE8"/>
    <w:rsid w:val="00481C44"/>
    <w:rsid w:val="00484936"/>
    <w:rsid w:val="00485C89"/>
    <w:rsid w:val="00486BE3"/>
    <w:rsid w:val="004905E4"/>
    <w:rsid w:val="00490A89"/>
    <w:rsid w:val="00490AB4"/>
    <w:rsid w:val="00492F02"/>
    <w:rsid w:val="004939AE"/>
    <w:rsid w:val="004A12DF"/>
    <w:rsid w:val="004A1BA8"/>
    <w:rsid w:val="004A4B57"/>
    <w:rsid w:val="004A63FA"/>
    <w:rsid w:val="004A6A3D"/>
    <w:rsid w:val="004B0272"/>
    <w:rsid w:val="004B2701"/>
    <w:rsid w:val="004B2E1B"/>
    <w:rsid w:val="004B3AA8"/>
    <w:rsid w:val="004B3E93"/>
    <w:rsid w:val="004C1FBC"/>
    <w:rsid w:val="004C25A2"/>
    <w:rsid w:val="004C3F1D"/>
    <w:rsid w:val="004C458D"/>
    <w:rsid w:val="004C7556"/>
    <w:rsid w:val="004C7E8B"/>
    <w:rsid w:val="004C7E9D"/>
    <w:rsid w:val="004C7F67"/>
    <w:rsid w:val="004D076D"/>
    <w:rsid w:val="004D0EF1"/>
    <w:rsid w:val="004D2253"/>
    <w:rsid w:val="004D4406"/>
    <w:rsid w:val="004D7C42"/>
    <w:rsid w:val="004E0465"/>
    <w:rsid w:val="004E127B"/>
    <w:rsid w:val="004E1C0A"/>
    <w:rsid w:val="004E30C5"/>
    <w:rsid w:val="004E4AA5"/>
    <w:rsid w:val="004E4AEE"/>
    <w:rsid w:val="004E59E3"/>
    <w:rsid w:val="004E67C0"/>
    <w:rsid w:val="004F391A"/>
    <w:rsid w:val="004F3CFB"/>
    <w:rsid w:val="004F6456"/>
    <w:rsid w:val="004F696E"/>
    <w:rsid w:val="004F6C71"/>
    <w:rsid w:val="00501139"/>
    <w:rsid w:val="0050363E"/>
    <w:rsid w:val="005039BC"/>
    <w:rsid w:val="005043BB"/>
    <w:rsid w:val="00504A3D"/>
    <w:rsid w:val="00505767"/>
    <w:rsid w:val="005073F0"/>
    <w:rsid w:val="00510A7B"/>
    <w:rsid w:val="00512F6E"/>
    <w:rsid w:val="00513038"/>
    <w:rsid w:val="00514174"/>
    <w:rsid w:val="00516088"/>
    <w:rsid w:val="00516B0B"/>
    <w:rsid w:val="005220EC"/>
    <w:rsid w:val="00523F95"/>
    <w:rsid w:val="00524D65"/>
    <w:rsid w:val="00525B16"/>
    <w:rsid w:val="00533D04"/>
    <w:rsid w:val="00534804"/>
    <w:rsid w:val="00534BDF"/>
    <w:rsid w:val="005354EA"/>
    <w:rsid w:val="0053585F"/>
    <w:rsid w:val="00535EC4"/>
    <w:rsid w:val="00535ED9"/>
    <w:rsid w:val="0053692B"/>
    <w:rsid w:val="00541853"/>
    <w:rsid w:val="00543BDA"/>
    <w:rsid w:val="005441CC"/>
    <w:rsid w:val="005479DA"/>
    <w:rsid w:val="00547BCC"/>
    <w:rsid w:val="0055013B"/>
    <w:rsid w:val="00551F6F"/>
    <w:rsid w:val="00555044"/>
    <w:rsid w:val="00561475"/>
    <w:rsid w:val="00562308"/>
    <w:rsid w:val="0056487B"/>
    <w:rsid w:val="00564FB9"/>
    <w:rsid w:val="00573D9E"/>
    <w:rsid w:val="005801E3"/>
    <w:rsid w:val="00581802"/>
    <w:rsid w:val="005836A8"/>
    <w:rsid w:val="0058409C"/>
    <w:rsid w:val="00584262"/>
    <w:rsid w:val="00586630"/>
    <w:rsid w:val="00587ADD"/>
    <w:rsid w:val="00593A49"/>
    <w:rsid w:val="00596160"/>
    <w:rsid w:val="005966E2"/>
    <w:rsid w:val="00597007"/>
    <w:rsid w:val="005A0966"/>
    <w:rsid w:val="005A11B7"/>
    <w:rsid w:val="005A260B"/>
    <w:rsid w:val="005A4A1B"/>
    <w:rsid w:val="005A7830"/>
    <w:rsid w:val="005A7FCE"/>
    <w:rsid w:val="005B0F3F"/>
    <w:rsid w:val="005B191C"/>
    <w:rsid w:val="005B4903"/>
    <w:rsid w:val="005B51CE"/>
    <w:rsid w:val="005B5885"/>
    <w:rsid w:val="005B5CD7"/>
    <w:rsid w:val="005B6CF6"/>
    <w:rsid w:val="005B7422"/>
    <w:rsid w:val="005C29B8"/>
    <w:rsid w:val="005C5F21"/>
    <w:rsid w:val="005C7156"/>
    <w:rsid w:val="005D0C75"/>
    <w:rsid w:val="005D4171"/>
    <w:rsid w:val="005D6A95"/>
    <w:rsid w:val="005D6B2C"/>
    <w:rsid w:val="005D6D9C"/>
    <w:rsid w:val="005E2335"/>
    <w:rsid w:val="005E34CA"/>
    <w:rsid w:val="005E3C18"/>
    <w:rsid w:val="005E4250"/>
    <w:rsid w:val="005E6812"/>
    <w:rsid w:val="005E7881"/>
    <w:rsid w:val="005E78E0"/>
    <w:rsid w:val="005F0D9C"/>
    <w:rsid w:val="005F284E"/>
    <w:rsid w:val="006015CE"/>
    <w:rsid w:val="00604784"/>
    <w:rsid w:val="00606419"/>
    <w:rsid w:val="00607D29"/>
    <w:rsid w:val="00612952"/>
    <w:rsid w:val="00614CC1"/>
    <w:rsid w:val="00615A9D"/>
    <w:rsid w:val="00617387"/>
    <w:rsid w:val="006205D6"/>
    <w:rsid w:val="006252D8"/>
    <w:rsid w:val="006259BC"/>
    <w:rsid w:val="0062636B"/>
    <w:rsid w:val="00632182"/>
    <w:rsid w:val="00632AE0"/>
    <w:rsid w:val="00633C17"/>
    <w:rsid w:val="00634D9E"/>
    <w:rsid w:val="00636E3E"/>
    <w:rsid w:val="006379F7"/>
    <w:rsid w:val="00637E4D"/>
    <w:rsid w:val="00640620"/>
    <w:rsid w:val="00641A1F"/>
    <w:rsid w:val="00645904"/>
    <w:rsid w:val="00651ACB"/>
    <w:rsid w:val="00651C47"/>
    <w:rsid w:val="00652AB2"/>
    <w:rsid w:val="00653FED"/>
    <w:rsid w:val="00654EC0"/>
    <w:rsid w:val="0065525B"/>
    <w:rsid w:val="00655D4F"/>
    <w:rsid w:val="00656D29"/>
    <w:rsid w:val="006640E5"/>
    <w:rsid w:val="006646F1"/>
    <w:rsid w:val="00664929"/>
    <w:rsid w:val="00664F62"/>
    <w:rsid w:val="006655E1"/>
    <w:rsid w:val="00672060"/>
    <w:rsid w:val="00672BFD"/>
    <w:rsid w:val="006770F4"/>
    <w:rsid w:val="00677A84"/>
    <w:rsid w:val="0068026D"/>
    <w:rsid w:val="00680A27"/>
    <w:rsid w:val="006816A4"/>
    <w:rsid w:val="006819B8"/>
    <w:rsid w:val="006840A6"/>
    <w:rsid w:val="006850CD"/>
    <w:rsid w:val="00685AAB"/>
    <w:rsid w:val="006A07AA"/>
    <w:rsid w:val="006A25E5"/>
    <w:rsid w:val="006A2B46"/>
    <w:rsid w:val="006A336D"/>
    <w:rsid w:val="006A37B9"/>
    <w:rsid w:val="006B2672"/>
    <w:rsid w:val="006B54BF"/>
    <w:rsid w:val="006B5F44"/>
    <w:rsid w:val="006B5F90"/>
    <w:rsid w:val="006B62E4"/>
    <w:rsid w:val="006C1BBA"/>
    <w:rsid w:val="006C2079"/>
    <w:rsid w:val="006C5A62"/>
    <w:rsid w:val="006C5D68"/>
    <w:rsid w:val="006C6976"/>
    <w:rsid w:val="006C6DD0"/>
    <w:rsid w:val="006D04EA"/>
    <w:rsid w:val="006D16C4"/>
    <w:rsid w:val="006D1D91"/>
    <w:rsid w:val="006D3E96"/>
    <w:rsid w:val="006D4515"/>
    <w:rsid w:val="006D4BB1"/>
    <w:rsid w:val="006D6593"/>
    <w:rsid w:val="006F03A8"/>
    <w:rsid w:val="006F2ACA"/>
    <w:rsid w:val="006F2ADC"/>
    <w:rsid w:val="006F2BFE"/>
    <w:rsid w:val="006F31E9"/>
    <w:rsid w:val="006F6284"/>
    <w:rsid w:val="007002C5"/>
    <w:rsid w:val="00704387"/>
    <w:rsid w:val="00707669"/>
    <w:rsid w:val="00711CBA"/>
    <w:rsid w:val="00711FB5"/>
    <w:rsid w:val="00712A01"/>
    <w:rsid w:val="00714F58"/>
    <w:rsid w:val="00722FBF"/>
    <w:rsid w:val="00722FC2"/>
    <w:rsid w:val="00724E1B"/>
    <w:rsid w:val="00725949"/>
    <w:rsid w:val="00727FA2"/>
    <w:rsid w:val="007322D9"/>
    <w:rsid w:val="00732BC0"/>
    <w:rsid w:val="0073720F"/>
    <w:rsid w:val="00737796"/>
    <w:rsid w:val="0074165C"/>
    <w:rsid w:val="00742C35"/>
    <w:rsid w:val="007432CA"/>
    <w:rsid w:val="007439EB"/>
    <w:rsid w:val="00743CB4"/>
    <w:rsid w:val="00743F0A"/>
    <w:rsid w:val="007444E8"/>
    <w:rsid w:val="0074548E"/>
    <w:rsid w:val="00745773"/>
    <w:rsid w:val="00746800"/>
    <w:rsid w:val="007501A8"/>
    <w:rsid w:val="00750D61"/>
    <w:rsid w:val="00750EE1"/>
    <w:rsid w:val="00752B4D"/>
    <w:rsid w:val="00755402"/>
    <w:rsid w:val="00756B26"/>
    <w:rsid w:val="00756EDF"/>
    <w:rsid w:val="007600E3"/>
    <w:rsid w:val="00765C43"/>
    <w:rsid w:val="00765EFB"/>
    <w:rsid w:val="007671CA"/>
    <w:rsid w:val="00767C61"/>
    <w:rsid w:val="0077008A"/>
    <w:rsid w:val="00773C1F"/>
    <w:rsid w:val="00774DA4"/>
    <w:rsid w:val="00776599"/>
    <w:rsid w:val="0078114B"/>
    <w:rsid w:val="00781DD2"/>
    <w:rsid w:val="00783ECF"/>
    <w:rsid w:val="0078413A"/>
    <w:rsid w:val="007959E8"/>
    <w:rsid w:val="00795E9C"/>
    <w:rsid w:val="007A0521"/>
    <w:rsid w:val="007A2E12"/>
    <w:rsid w:val="007A3475"/>
    <w:rsid w:val="007A41C8"/>
    <w:rsid w:val="007A54CE"/>
    <w:rsid w:val="007A5D3A"/>
    <w:rsid w:val="007A6FD9"/>
    <w:rsid w:val="007A7FFA"/>
    <w:rsid w:val="007B04EB"/>
    <w:rsid w:val="007B0D4F"/>
    <w:rsid w:val="007B5A3D"/>
    <w:rsid w:val="007B5B95"/>
    <w:rsid w:val="007B6032"/>
    <w:rsid w:val="007B68EA"/>
    <w:rsid w:val="007B7453"/>
    <w:rsid w:val="007C2D89"/>
    <w:rsid w:val="007C4593"/>
    <w:rsid w:val="007C5309"/>
    <w:rsid w:val="007C6069"/>
    <w:rsid w:val="007D06C4"/>
    <w:rsid w:val="007D1352"/>
    <w:rsid w:val="007D2508"/>
    <w:rsid w:val="007D346A"/>
    <w:rsid w:val="007D6518"/>
    <w:rsid w:val="007D76BD"/>
    <w:rsid w:val="007E0BF1"/>
    <w:rsid w:val="007F0ED8"/>
    <w:rsid w:val="007F0F63"/>
    <w:rsid w:val="007F75CE"/>
    <w:rsid w:val="008013A4"/>
    <w:rsid w:val="008027CE"/>
    <w:rsid w:val="00802F42"/>
    <w:rsid w:val="00804383"/>
    <w:rsid w:val="00804BB7"/>
    <w:rsid w:val="00804D41"/>
    <w:rsid w:val="00810257"/>
    <w:rsid w:val="008104F5"/>
    <w:rsid w:val="00811072"/>
    <w:rsid w:val="00811369"/>
    <w:rsid w:val="00815419"/>
    <w:rsid w:val="008163C8"/>
    <w:rsid w:val="008164A1"/>
    <w:rsid w:val="00817325"/>
    <w:rsid w:val="008209E6"/>
    <w:rsid w:val="00821D19"/>
    <w:rsid w:val="00823303"/>
    <w:rsid w:val="008233B2"/>
    <w:rsid w:val="00823A9F"/>
    <w:rsid w:val="00823C85"/>
    <w:rsid w:val="00825138"/>
    <w:rsid w:val="008269DD"/>
    <w:rsid w:val="00830621"/>
    <w:rsid w:val="0083348C"/>
    <w:rsid w:val="008373D3"/>
    <w:rsid w:val="00840617"/>
    <w:rsid w:val="00840F84"/>
    <w:rsid w:val="00842A47"/>
    <w:rsid w:val="00843C13"/>
    <w:rsid w:val="00843DEF"/>
    <w:rsid w:val="008454F8"/>
    <w:rsid w:val="0085173A"/>
    <w:rsid w:val="008603CE"/>
    <w:rsid w:val="008620FC"/>
    <w:rsid w:val="008627A5"/>
    <w:rsid w:val="00863E05"/>
    <w:rsid w:val="00865ACA"/>
    <w:rsid w:val="00865D28"/>
    <w:rsid w:val="00865F85"/>
    <w:rsid w:val="00867C10"/>
    <w:rsid w:val="00870439"/>
    <w:rsid w:val="00870DA1"/>
    <w:rsid w:val="00883F93"/>
    <w:rsid w:val="00884DB3"/>
    <w:rsid w:val="00885A9D"/>
    <w:rsid w:val="008864F6"/>
    <w:rsid w:val="0089049D"/>
    <w:rsid w:val="008928C9"/>
    <w:rsid w:val="008930CB"/>
    <w:rsid w:val="008938DC"/>
    <w:rsid w:val="00893FD1"/>
    <w:rsid w:val="00894836"/>
    <w:rsid w:val="00895172"/>
    <w:rsid w:val="00895680"/>
    <w:rsid w:val="00896DFF"/>
    <w:rsid w:val="0089762C"/>
    <w:rsid w:val="008A173B"/>
    <w:rsid w:val="008A1893"/>
    <w:rsid w:val="008A57E6"/>
    <w:rsid w:val="008A6F81"/>
    <w:rsid w:val="008A769A"/>
    <w:rsid w:val="008B0C9C"/>
    <w:rsid w:val="008B166D"/>
    <w:rsid w:val="008B17F4"/>
    <w:rsid w:val="008B3615"/>
    <w:rsid w:val="008B4AC4"/>
    <w:rsid w:val="008B50C8"/>
    <w:rsid w:val="008B5281"/>
    <w:rsid w:val="008B7E05"/>
    <w:rsid w:val="008C1797"/>
    <w:rsid w:val="008C219C"/>
    <w:rsid w:val="008C475E"/>
    <w:rsid w:val="008C619A"/>
    <w:rsid w:val="008D0CE8"/>
    <w:rsid w:val="008D2D1D"/>
    <w:rsid w:val="008D453D"/>
    <w:rsid w:val="008D53AD"/>
    <w:rsid w:val="008D562B"/>
    <w:rsid w:val="008D5733"/>
    <w:rsid w:val="008D622B"/>
    <w:rsid w:val="008D666C"/>
    <w:rsid w:val="008D7B54"/>
    <w:rsid w:val="008E0C9D"/>
    <w:rsid w:val="008E1648"/>
    <w:rsid w:val="008E1B3E"/>
    <w:rsid w:val="008E2319"/>
    <w:rsid w:val="008E4BB6"/>
    <w:rsid w:val="008E5518"/>
    <w:rsid w:val="008E6A84"/>
    <w:rsid w:val="008F0CDC"/>
    <w:rsid w:val="008F17A3"/>
    <w:rsid w:val="008F1ED3"/>
    <w:rsid w:val="008F4C29"/>
    <w:rsid w:val="008F70BD"/>
    <w:rsid w:val="008F788F"/>
    <w:rsid w:val="008F7EA2"/>
    <w:rsid w:val="00902722"/>
    <w:rsid w:val="009027BC"/>
    <w:rsid w:val="009062E6"/>
    <w:rsid w:val="00911BE5"/>
    <w:rsid w:val="00913CA9"/>
    <w:rsid w:val="009145AE"/>
    <w:rsid w:val="009146CE"/>
    <w:rsid w:val="00914CA7"/>
    <w:rsid w:val="00915C3E"/>
    <w:rsid w:val="009161A8"/>
    <w:rsid w:val="009245AE"/>
    <w:rsid w:val="009245F5"/>
    <w:rsid w:val="009249EC"/>
    <w:rsid w:val="009273B3"/>
    <w:rsid w:val="009305B5"/>
    <w:rsid w:val="009378DD"/>
    <w:rsid w:val="009429D5"/>
    <w:rsid w:val="00942BF1"/>
    <w:rsid w:val="00945180"/>
    <w:rsid w:val="00945428"/>
    <w:rsid w:val="0094607B"/>
    <w:rsid w:val="00953604"/>
    <w:rsid w:val="0095496B"/>
    <w:rsid w:val="00960F1E"/>
    <w:rsid w:val="009610DC"/>
    <w:rsid w:val="00961490"/>
    <w:rsid w:val="0096381A"/>
    <w:rsid w:val="00965E04"/>
    <w:rsid w:val="009674AD"/>
    <w:rsid w:val="00970CDC"/>
    <w:rsid w:val="00975727"/>
    <w:rsid w:val="00977010"/>
    <w:rsid w:val="00977D02"/>
    <w:rsid w:val="00977FF9"/>
    <w:rsid w:val="009809BB"/>
    <w:rsid w:val="0098364B"/>
    <w:rsid w:val="009908A3"/>
    <w:rsid w:val="009911AF"/>
    <w:rsid w:val="00991875"/>
    <w:rsid w:val="00991F92"/>
    <w:rsid w:val="00992985"/>
    <w:rsid w:val="00993889"/>
    <w:rsid w:val="0099551B"/>
    <w:rsid w:val="00996BD2"/>
    <w:rsid w:val="00997BF1"/>
    <w:rsid w:val="009A089C"/>
    <w:rsid w:val="009A118E"/>
    <w:rsid w:val="009A21CD"/>
    <w:rsid w:val="009A278C"/>
    <w:rsid w:val="009A2BC2"/>
    <w:rsid w:val="009A42C1"/>
    <w:rsid w:val="009A5429"/>
    <w:rsid w:val="009A72AD"/>
    <w:rsid w:val="009B09E0"/>
    <w:rsid w:val="009B0BC5"/>
    <w:rsid w:val="009B1247"/>
    <w:rsid w:val="009B6029"/>
    <w:rsid w:val="009B6971"/>
    <w:rsid w:val="009C27F1"/>
    <w:rsid w:val="009C3152"/>
    <w:rsid w:val="009C3257"/>
    <w:rsid w:val="009C4CFA"/>
    <w:rsid w:val="009C5070"/>
    <w:rsid w:val="009D112C"/>
    <w:rsid w:val="009D1385"/>
    <w:rsid w:val="009D47FA"/>
    <w:rsid w:val="009D4C5B"/>
    <w:rsid w:val="009D50D2"/>
    <w:rsid w:val="009D6BCA"/>
    <w:rsid w:val="009E0F62"/>
    <w:rsid w:val="009E4A58"/>
    <w:rsid w:val="009E5A2D"/>
    <w:rsid w:val="009E5AB2"/>
    <w:rsid w:val="009E6219"/>
    <w:rsid w:val="009F03B3"/>
    <w:rsid w:val="00A0096C"/>
    <w:rsid w:val="00A01757"/>
    <w:rsid w:val="00A028C0"/>
    <w:rsid w:val="00A02BAE"/>
    <w:rsid w:val="00A04AFF"/>
    <w:rsid w:val="00A06A6B"/>
    <w:rsid w:val="00A07E47"/>
    <w:rsid w:val="00A129D0"/>
    <w:rsid w:val="00A12C33"/>
    <w:rsid w:val="00A138BA"/>
    <w:rsid w:val="00A14C8E"/>
    <w:rsid w:val="00A153D9"/>
    <w:rsid w:val="00A15F09"/>
    <w:rsid w:val="00A169B6"/>
    <w:rsid w:val="00A2271D"/>
    <w:rsid w:val="00A237D5"/>
    <w:rsid w:val="00A30EFC"/>
    <w:rsid w:val="00A31984"/>
    <w:rsid w:val="00A32D73"/>
    <w:rsid w:val="00A3367B"/>
    <w:rsid w:val="00A33C67"/>
    <w:rsid w:val="00A3597D"/>
    <w:rsid w:val="00A36DD1"/>
    <w:rsid w:val="00A4006C"/>
    <w:rsid w:val="00A40091"/>
    <w:rsid w:val="00A4030F"/>
    <w:rsid w:val="00A41C79"/>
    <w:rsid w:val="00A41CB5"/>
    <w:rsid w:val="00A42CDF"/>
    <w:rsid w:val="00A4452E"/>
    <w:rsid w:val="00A4472C"/>
    <w:rsid w:val="00A44E69"/>
    <w:rsid w:val="00A4661E"/>
    <w:rsid w:val="00A55BD6"/>
    <w:rsid w:val="00A55D50"/>
    <w:rsid w:val="00A57142"/>
    <w:rsid w:val="00A648CD"/>
    <w:rsid w:val="00A6537A"/>
    <w:rsid w:val="00A67866"/>
    <w:rsid w:val="00A70B07"/>
    <w:rsid w:val="00A723F8"/>
    <w:rsid w:val="00A77CCB"/>
    <w:rsid w:val="00A83D8D"/>
    <w:rsid w:val="00A8446B"/>
    <w:rsid w:val="00A8473F"/>
    <w:rsid w:val="00A862D6"/>
    <w:rsid w:val="00A8715E"/>
    <w:rsid w:val="00A9295B"/>
    <w:rsid w:val="00A93B09"/>
    <w:rsid w:val="00A952D7"/>
    <w:rsid w:val="00A963F7"/>
    <w:rsid w:val="00A96AD8"/>
    <w:rsid w:val="00AA052C"/>
    <w:rsid w:val="00AA1E45"/>
    <w:rsid w:val="00AA4286"/>
    <w:rsid w:val="00AA456B"/>
    <w:rsid w:val="00AA57F5"/>
    <w:rsid w:val="00AA672E"/>
    <w:rsid w:val="00AA6EC9"/>
    <w:rsid w:val="00AB6309"/>
    <w:rsid w:val="00AB6C5F"/>
    <w:rsid w:val="00AB7129"/>
    <w:rsid w:val="00AC27A6"/>
    <w:rsid w:val="00AC30F7"/>
    <w:rsid w:val="00AC3A5A"/>
    <w:rsid w:val="00AC4D95"/>
    <w:rsid w:val="00AC5DF4"/>
    <w:rsid w:val="00AD0AEF"/>
    <w:rsid w:val="00AD11B7"/>
    <w:rsid w:val="00AD1A94"/>
    <w:rsid w:val="00AD1C05"/>
    <w:rsid w:val="00AD4126"/>
    <w:rsid w:val="00AD421C"/>
    <w:rsid w:val="00AD44FA"/>
    <w:rsid w:val="00AE070A"/>
    <w:rsid w:val="00AE101C"/>
    <w:rsid w:val="00AE2A69"/>
    <w:rsid w:val="00AE37E5"/>
    <w:rsid w:val="00AE5EB4"/>
    <w:rsid w:val="00AF0C18"/>
    <w:rsid w:val="00AF47C5"/>
    <w:rsid w:val="00AF5398"/>
    <w:rsid w:val="00B049AF"/>
    <w:rsid w:val="00B07242"/>
    <w:rsid w:val="00B10534"/>
    <w:rsid w:val="00B113DB"/>
    <w:rsid w:val="00B11D8A"/>
    <w:rsid w:val="00B12981"/>
    <w:rsid w:val="00B147DD"/>
    <w:rsid w:val="00B156FD"/>
    <w:rsid w:val="00B21F61"/>
    <w:rsid w:val="00B261F1"/>
    <w:rsid w:val="00B265BC"/>
    <w:rsid w:val="00B31FB1"/>
    <w:rsid w:val="00B33952"/>
    <w:rsid w:val="00B33C5E"/>
    <w:rsid w:val="00B342F4"/>
    <w:rsid w:val="00B34369"/>
    <w:rsid w:val="00B34DC2"/>
    <w:rsid w:val="00B378E5"/>
    <w:rsid w:val="00B4346D"/>
    <w:rsid w:val="00B440F4"/>
    <w:rsid w:val="00B447A5"/>
    <w:rsid w:val="00B4654C"/>
    <w:rsid w:val="00B47293"/>
    <w:rsid w:val="00B50E50"/>
    <w:rsid w:val="00B52120"/>
    <w:rsid w:val="00B54ABC"/>
    <w:rsid w:val="00B56FBE"/>
    <w:rsid w:val="00B60ACF"/>
    <w:rsid w:val="00B62B58"/>
    <w:rsid w:val="00B65149"/>
    <w:rsid w:val="00B66567"/>
    <w:rsid w:val="00B66F52"/>
    <w:rsid w:val="00B66FE5"/>
    <w:rsid w:val="00B72880"/>
    <w:rsid w:val="00B758BF"/>
    <w:rsid w:val="00B77EC8"/>
    <w:rsid w:val="00B827A6"/>
    <w:rsid w:val="00B831CE"/>
    <w:rsid w:val="00B86677"/>
    <w:rsid w:val="00B87131"/>
    <w:rsid w:val="00B939B1"/>
    <w:rsid w:val="00B96D40"/>
    <w:rsid w:val="00B97386"/>
    <w:rsid w:val="00BA263B"/>
    <w:rsid w:val="00BA42B2"/>
    <w:rsid w:val="00BA58D4"/>
    <w:rsid w:val="00BA5B9E"/>
    <w:rsid w:val="00BA7C9A"/>
    <w:rsid w:val="00BB5F8F"/>
    <w:rsid w:val="00BB657A"/>
    <w:rsid w:val="00BC1A4E"/>
    <w:rsid w:val="00BC5DC7"/>
    <w:rsid w:val="00BC6B8B"/>
    <w:rsid w:val="00BC73D8"/>
    <w:rsid w:val="00BD52D7"/>
    <w:rsid w:val="00BD5AD2"/>
    <w:rsid w:val="00BE22F3"/>
    <w:rsid w:val="00BE5B52"/>
    <w:rsid w:val="00BE7B8D"/>
    <w:rsid w:val="00BF0993"/>
    <w:rsid w:val="00BF10A9"/>
    <w:rsid w:val="00BF1703"/>
    <w:rsid w:val="00BF231C"/>
    <w:rsid w:val="00BF51E5"/>
    <w:rsid w:val="00BF74A6"/>
    <w:rsid w:val="00C013AD"/>
    <w:rsid w:val="00C04904"/>
    <w:rsid w:val="00C056B3"/>
    <w:rsid w:val="00C103E5"/>
    <w:rsid w:val="00C13319"/>
    <w:rsid w:val="00C13EE9"/>
    <w:rsid w:val="00C21540"/>
    <w:rsid w:val="00C21906"/>
    <w:rsid w:val="00C21BFA"/>
    <w:rsid w:val="00C24C8D"/>
    <w:rsid w:val="00C25FE2"/>
    <w:rsid w:val="00C26B53"/>
    <w:rsid w:val="00C279B2"/>
    <w:rsid w:val="00C33E50"/>
    <w:rsid w:val="00C34C20"/>
    <w:rsid w:val="00C35A3E"/>
    <w:rsid w:val="00C42130"/>
    <w:rsid w:val="00C423A4"/>
    <w:rsid w:val="00C423E3"/>
    <w:rsid w:val="00C44BF5"/>
    <w:rsid w:val="00C521D6"/>
    <w:rsid w:val="00C55232"/>
    <w:rsid w:val="00C553A4"/>
    <w:rsid w:val="00C55A06"/>
    <w:rsid w:val="00C55D03"/>
    <w:rsid w:val="00C601BC"/>
    <w:rsid w:val="00C6329F"/>
    <w:rsid w:val="00C63340"/>
    <w:rsid w:val="00C643F9"/>
    <w:rsid w:val="00C64E95"/>
    <w:rsid w:val="00C71372"/>
    <w:rsid w:val="00C72410"/>
    <w:rsid w:val="00C7287F"/>
    <w:rsid w:val="00C80CB8"/>
    <w:rsid w:val="00C819F8"/>
    <w:rsid w:val="00C8248C"/>
    <w:rsid w:val="00C84E33"/>
    <w:rsid w:val="00C86D6F"/>
    <w:rsid w:val="00C905FC"/>
    <w:rsid w:val="00C92D03"/>
    <w:rsid w:val="00C9319C"/>
    <w:rsid w:val="00C9435D"/>
    <w:rsid w:val="00C94DF2"/>
    <w:rsid w:val="00C96741"/>
    <w:rsid w:val="00CA2D1B"/>
    <w:rsid w:val="00CA375D"/>
    <w:rsid w:val="00CA662A"/>
    <w:rsid w:val="00CA7AFD"/>
    <w:rsid w:val="00CA7C3C"/>
    <w:rsid w:val="00CA7C54"/>
    <w:rsid w:val="00CB0189"/>
    <w:rsid w:val="00CB0BA2"/>
    <w:rsid w:val="00CB1A42"/>
    <w:rsid w:val="00CB1B0C"/>
    <w:rsid w:val="00CB2C0B"/>
    <w:rsid w:val="00CB517D"/>
    <w:rsid w:val="00CC038D"/>
    <w:rsid w:val="00CC08DB"/>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686F"/>
    <w:rsid w:val="00CF6E60"/>
    <w:rsid w:val="00CF7BCA"/>
    <w:rsid w:val="00D008FD"/>
    <w:rsid w:val="00D0321C"/>
    <w:rsid w:val="00D035EC"/>
    <w:rsid w:val="00D06AB1"/>
    <w:rsid w:val="00D06FC1"/>
    <w:rsid w:val="00D072ED"/>
    <w:rsid w:val="00D07A16"/>
    <w:rsid w:val="00D1067E"/>
    <w:rsid w:val="00D10F50"/>
    <w:rsid w:val="00D11272"/>
    <w:rsid w:val="00D126F5"/>
    <w:rsid w:val="00D1489E"/>
    <w:rsid w:val="00D20737"/>
    <w:rsid w:val="00D21E81"/>
    <w:rsid w:val="00D223DE"/>
    <w:rsid w:val="00D25E37"/>
    <w:rsid w:val="00D2661A"/>
    <w:rsid w:val="00D27582"/>
    <w:rsid w:val="00D27EC4"/>
    <w:rsid w:val="00D32719"/>
    <w:rsid w:val="00D33333"/>
    <w:rsid w:val="00D352A2"/>
    <w:rsid w:val="00D4162B"/>
    <w:rsid w:val="00D4514F"/>
    <w:rsid w:val="00D451E2"/>
    <w:rsid w:val="00D45E89"/>
    <w:rsid w:val="00D45E8D"/>
    <w:rsid w:val="00D466AE"/>
    <w:rsid w:val="00D4734F"/>
    <w:rsid w:val="00D51BF3"/>
    <w:rsid w:val="00D66846"/>
    <w:rsid w:val="00D675FB"/>
    <w:rsid w:val="00D71F25"/>
    <w:rsid w:val="00D72A9C"/>
    <w:rsid w:val="00D77031"/>
    <w:rsid w:val="00D84941"/>
    <w:rsid w:val="00D84FA1"/>
    <w:rsid w:val="00D851F0"/>
    <w:rsid w:val="00D86DB7"/>
    <w:rsid w:val="00D87BF5"/>
    <w:rsid w:val="00D90721"/>
    <w:rsid w:val="00D926D0"/>
    <w:rsid w:val="00D93030"/>
    <w:rsid w:val="00D9465B"/>
    <w:rsid w:val="00D950E1"/>
    <w:rsid w:val="00D952A6"/>
    <w:rsid w:val="00D97F99"/>
    <w:rsid w:val="00DA1E08"/>
    <w:rsid w:val="00DA24F8"/>
    <w:rsid w:val="00DA28E8"/>
    <w:rsid w:val="00DA38D3"/>
    <w:rsid w:val="00DA3932"/>
    <w:rsid w:val="00DA3AFC"/>
    <w:rsid w:val="00DA53CA"/>
    <w:rsid w:val="00DA64F8"/>
    <w:rsid w:val="00DA6C15"/>
    <w:rsid w:val="00DB0258"/>
    <w:rsid w:val="00DB38EE"/>
    <w:rsid w:val="00DB498B"/>
    <w:rsid w:val="00DB66CA"/>
    <w:rsid w:val="00DB6BCA"/>
    <w:rsid w:val="00DB6F54"/>
    <w:rsid w:val="00DB73F7"/>
    <w:rsid w:val="00DC0321"/>
    <w:rsid w:val="00DC3067"/>
    <w:rsid w:val="00DC370B"/>
    <w:rsid w:val="00DC5B90"/>
    <w:rsid w:val="00DD00FF"/>
    <w:rsid w:val="00DD0619"/>
    <w:rsid w:val="00DD07FB"/>
    <w:rsid w:val="00DD25C6"/>
    <w:rsid w:val="00DD4FE5"/>
    <w:rsid w:val="00DD54B0"/>
    <w:rsid w:val="00DD57EE"/>
    <w:rsid w:val="00DD6BCC"/>
    <w:rsid w:val="00DE0A4B"/>
    <w:rsid w:val="00DE2410"/>
    <w:rsid w:val="00DE2939"/>
    <w:rsid w:val="00DE6E81"/>
    <w:rsid w:val="00DE703F"/>
    <w:rsid w:val="00DE7595"/>
    <w:rsid w:val="00DF1961"/>
    <w:rsid w:val="00DF44DE"/>
    <w:rsid w:val="00E01138"/>
    <w:rsid w:val="00E02DFB"/>
    <w:rsid w:val="00E030F9"/>
    <w:rsid w:val="00E0311A"/>
    <w:rsid w:val="00E03138"/>
    <w:rsid w:val="00E06404"/>
    <w:rsid w:val="00E11A85"/>
    <w:rsid w:val="00E12495"/>
    <w:rsid w:val="00E15CCD"/>
    <w:rsid w:val="00E202EF"/>
    <w:rsid w:val="00E210B5"/>
    <w:rsid w:val="00E2552F"/>
    <w:rsid w:val="00E3137A"/>
    <w:rsid w:val="00E32CCF"/>
    <w:rsid w:val="00E34A98"/>
    <w:rsid w:val="00E35D1E"/>
    <w:rsid w:val="00E364F9"/>
    <w:rsid w:val="00E365FA"/>
    <w:rsid w:val="00E36789"/>
    <w:rsid w:val="00E44A83"/>
    <w:rsid w:val="00E502C1"/>
    <w:rsid w:val="00E502DD"/>
    <w:rsid w:val="00E50D3A"/>
    <w:rsid w:val="00E51387"/>
    <w:rsid w:val="00E51E68"/>
    <w:rsid w:val="00E52EFD"/>
    <w:rsid w:val="00E5408A"/>
    <w:rsid w:val="00E56800"/>
    <w:rsid w:val="00E60C63"/>
    <w:rsid w:val="00E62FF9"/>
    <w:rsid w:val="00E635D6"/>
    <w:rsid w:val="00E639BC"/>
    <w:rsid w:val="00E664CC"/>
    <w:rsid w:val="00E70388"/>
    <w:rsid w:val="00E70F92"/>
    <w:rsid w:val="00E74313"/>
    <w:rsid w:val="00E74C54"/>
    <w:rsid w:val="00E77A03"/>
    <w:rsid w:val="00E822E8"/>
    <w:rsid w:val="00E82554"/>
    <w:rsid w:val="00E82606"/>
    <w:rsid w:val="00E831C1"/>
    <w:rsid w:val="00E846C8"/>
    <w:rsid w:val="00E84957"/>
    <w:rsid w:val="00E84A55"/>
    <w:rsid w:val="00E85BFF"/>
    <w:rsid w:val="00E90391"/>
    <w:rsid w:val="00E906C2"/>
    <w:rsid w:val="00E9311F"/>
    <w:rsid w:val="00E934D1"/>
    <w:rsid w:val="00E94AF0"/>
    <w:rsid w:val="00E95D13"/>
    <w:rsid w:val="00E95DD3"/>
    <w:rsid w:val="00E969D5"/>
    <w:rsid w:val="00EA58D1"/>
    <w:rsid w:val="00EA61BC"/>
    <w:rsid w:val="00EA681A"/>
    <w:rsid w:val="00EA735B"/>
    <w:rsid w:val="00EB1E69"/>
    <w:rsid w:val="00EB2086"/>
    <w:rsid w:val="00EB31ED"/>
    <w:rsid w:val="00EB5EDF"/>
    <w:rsid w:val="00EB60FE"/>
    <w:rsid w:val="00EB74DB"/>
    <w:rsid w:val="00EC5359"/>
    <w:rsid w:val="00EC562A"/>
    <w:rsid w:val="00ED067A"/>
    <w:rsid w:val="00ED2B50"/>
    <w:rsid w:val="00EE0350"/>
    <w:rsid w:val="00EE0719"/>
    <w:rsid w:val="00EE0E80"/>
    <w:rsid w:val="00EE613F"/>
    <w:rsid w:val="00EE7295"/>
    <w:rsid w:val="00EE7869"/>
    <w:rsid w:val="00EF054A"/>
    <w:rsid w:val="00EF3235"/>
    <w:rsid w:val="00EF7E72"/>
    <w:rsid w:val="00F06D37"/>
    <w:rsid w:val="00F07B9D"/>
    <w:rsid w:val="00F11586"/>
    <w:rsid w:val="00F1183B"/>
    <w:rsid w:val="00F11C9F"/>
    <w:rsid w:val="00F12263"/>
    <w:rsid w:val="00F1409D"/>
    <w:rsid w:val="00F14214"/>
    <w:rsid w:val="00F157A9"/>
    <w:rsid w:val="00F16F00"/>
    <w:rsid w:val="00F25BB6"/>
    <w:rsid w:val="00F26B7E"/>
    <w:rsid w:val="00F27A3B"/>
    <w:rsid w:val="00F32780"/>
    <w:rsid w:val="00F33817"/>
    <w:rsid w:val="00F420D5"/>
    <w:rsid w:val="00F451EA"/>
    <w:rsid w:val="00F45447"/>
    <w:rsid w:val="00F456C6"/>
    <w:rsid w:val="00F4577B"/>
    <w:rsid w:val="00F46496"/>
    <w:rsid w:val="00F474D0"/>
    <w:rsid w:val="00F50179"/>
    <w:rsid w:val="00F515EE"/>
    <w:rsid w:val="00F56511"/>
    <w:rsid w:val="00F6194E"/>
    <w:rsid w:val="00F623AC"/>
    <w:rsid w:val="00F6412A"/>
    <w:rsid w:val="00F65893"/>
    <w:rsid w:val="00F66A4A"/>
    <w:rsid w:val="00F71E22"/>
    <w:rsid w:val="00F72142"/>
    <w:rsid w:val="00F72AE7"/>
    <w:rsid w:val="00F833BA"/>
    <w:rsid w:val="00F84FD0"/>
    <w:rsid w:val="00F859A8"/>
    <w:rsid w:val="00F86D87"/>
    <w:rsid w:val="00F9108B"/>
    <w:rsid w:val="00F91349"/>
    <w:rsid w:val="00F93A8A"/>
    <w:rsid w:val="00F95248"/>
    <w:rsid w:val="00F956A9"/>
    <w:rsid w:val="00F963ED"/>
    <w:rsid w:val="00F966CF"/>
    <w:rsid w:val="00F96CAE"/>
    <w:rsid w:val="00F97C99"/>
    <w:rsid w:val="00FA662D"/>
    <w:rsid w:val="00FA73B1"/>
    <w:rsid w:val="00FB0CB9"/>
    <w:rsid w:val="00FB231D"/>
    <w:rsid w:val="00FB45F1"/>
    <w:rsid w:val="00FB4A72"/>
    <w:rsid w:val="00FB54E8"/>
    <w:rsid w:val="00FB7054"/>
    <w:rsid w:val="00FC17B7"/>
    <w:rsid w:val="00FC2CB7"/>
    <w:rsid w:val="00FC4090"/>
    <w:rsid w:val="00FC55B4"/>
    <w:rsid w:val="00FD00E6"/>
    <w:rsid w:val="00FD09A1"/>
    <w:rsid w:val="00FD2A7C"/>
    <w:rsid w:val="00FD59EB"/>
    <w:rsid w:val="00FD7299"/>
    <w:rsid w:val="00FE1FBE"/>
    <w:rsid w:val="00FE3901"/>
    <w:rsid w:val="00FE39D3"/>
    <w:rsid w:val="00FE4BCE"/>
    <w:rsid w:val="00FE54AE"/>
    <w:rsid w:val="00FE576A"/>
    <w:rsid w:val="00FE7E79"/>
    <w:rsid w:val="00FF3E7D"/>
    <w:rsid w:val="00FF5B99"/>
    <w:rsid w:val="00FF730C"/>
    <w:rsid w:val="00FF73F4"/>
    <w:rsid w:val="00FF7CE4"/>
    <w:rsid w:val="00FF7E39"/>
    <w:rsid w:val="31965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0" w:name="toc 8"/>
    <w:lsdException w:uiPriority="0" w:name="toc 9"/>
    <w:lsdException w:unhideWhenUsed="0" w:uiPriority="0" w:semiHidden="0" w:name="Normal Indent"/>
    <w:lsdException w:unhideWhenUsed="0" w:uiPriority="0"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nhideWhenUsed="0" w:uiPriority="0"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400" w:lineRule="exact"/>
      <w:jc w:val="both"/>
    </w:pPr>
    <w:rPr>
      <w:rFonts w:ascii="Calibri" w:hAnsi="Calibri" w:eastAsia="宋体" w:cs="Times New Roman"/>
      <w:kern w:val="2"/>
      <w:sz w:val="21"/>
      <w:szCs w:val="21"/>
      <w:lang w:val="en-US" w:eastAsia="zh-CN" w:bidi="ar-SA"/>
    </w:rPr>
  </w:style>
  <w:style w:type="paragraph" w:styleId="2">
    <w:name w:val="heading 1"/>
    <w:basedOn w:val="1"/>
    <w:next w:val="1"/>
    <w:link w:val="3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5"/>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6"/>
    <w:qFormat/>
    <w:uiPriority w:val="0"/>
    <w:pPr>
      <w:keepNext/>
      <w:keepLines/>
      <w:spacing w:before="260" w:after="260" w:line="416" w:lineRule="auto"/>
      <w:outlineLvl w:val="2"/>
    </w:pPr>
    <w:rPr>
      <w:b/>
      <w:bCs/>
      <w:sz w:val="32"/>
      <w:szCs w:val="32"/>
    </w:rPr>
  </w:style>
  <w:style w:type="paragraph" w:styleId="5">
    <w:name w:val="heading 4"/>
    <w:basedOn w:val="1"/>
    <w:next w:val="1"/>
    <w:link w:val="37"/>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38"/>
    <w:qFormat/>
    <w:uiPriority w:val="0"/>
    <w:pPr>
      <w:keepNext/>
      <w:keepLines/>
      <w:adjustRightInd/>
      <w:spacing w:before="280" w:after="290" w:line="376" w:lineRule="auto"/>
      <w:outlineLvl w:val="4"/>
    </w:pPr>
    <w:rPr>
      <w:b/>
      <w:bCs/>
      <w:sz w:val="28"/>
      <w:szCs w:val="28"/>
    </w:rPr>
  </w:style>
  <w:style w:type="paragraph" w:styleId="7">
    <w:name w:val="heading 6"/>
    <w:basedOn w:val="1"/>
    <w:next w:val="1"/>
    <w:link w:val="39"/>
    <w:qFormat/>
    <w:uiPriority w:val="0"/>
    <w:pPr>
      <w:keepNext/>
      <w:keepLines/>
      <w:adjustRightInd/>
      <w:spacing w:before="240" w:after="64" w:line="320" w:lineRule="auto"/>
      <w:outlineLvl w:val="5"/>
    </w:pPr>
    <w:rPr>
      <w:rFonts w:ascii="Arial" w:hAnsi="Arial" w:eastAsia="黑体"/>
      <w:b/>
      <w:bCs/>
      <w:sz w:val="24"/>
      <w:szCs w:val="24"/>
    </w:rPr>
  </w:style>
  <w:style w:type="paragraph" w:styleId="8">
    <w:name w:val="heading 7"/>
    <w:basedOn w:val="1"/>
    <w:next w:val="1"/>
    <w:link w:val="40"/>
    <w:qFormat/>
    <w:uiPriority w:val="0"/>
    <w:pPr>
      <w:keepNext/>
      <w:keepLines/>
      <w:adjustRightInd/>
      <w:spacing w:before="240" w:after="64" w:line="320" w:lineRule="auto"/>
      <w:outlineLvl w:val="6"/>
    </w:pPr>
    <w:rPr>
      <w:b/>
      <w:bCs/>
      <w:sz w:val="24"/>
      <w:szCs w:val="24"/>
    </w:rPr>
  </w:style>
  <w:style w:type="paragraph" w:styleId="9">
    <w:name w:val="heading 8"/>
    <w:basedOn w:val="1"/>
    <w:next w:val="1"/>
    <w:link w:val="41"/>
    <w:qFormat/>
    <w:uiPriority w:val="0"/>
    <w:pPr>
      <w:keepNext/>
      <w:keepLines/>
      <w:adjustRightInd/>
      <w:spacing w:before="240" w:after="64" w:line="320" w:lineRule="auto"/>
      <w:outlineLvl w:val="7"/>
    </w:pPr>
    <w:rPr>
      <w:rFonts w:ascii="Arial" w:hAnsi="Arial" w:eastAsia="黑体"/>
      <w:sz w:val="24"/>
      <w:szCs w:val="24"/>
    </w:rPr>
  </w:style>
  <w:style w:type="paragraph" w:styleId="10">
    <w:name w:val="heading 9"/>
    <w:basedOn w:val="1"/>
    <w:next w:val="1"/>
    <w:link w:val="42"/>
    <w:qFormat/>
    <w:uiPriority w:val="0"/>
    <w:pPr>
      <w:keepNext/>
      <w:keepLines/>
      <w:adjustRightInd/>
      <w:spacing w:before="240" w:after="64" w:line="320" w:lineRule="auto"/>
      <w:outlineLvl w:val="8"/>
    </w:pPr>
    <w:rPr>
      <w:rFonts w:ascii="Arial" w:hAnsi="Arial" w:eastAsia="黑体"/>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uiPriority w:val="39"/>
    <w:pPr>
      <w:tabs>
        <w:tab w:val="right" w:leader="dot" w:pos="9344"/>
      </w:tabs>
      <w:spacing w:line="300" w:lineRule="exact"/>
      <w:ind w:left="1259"/>
    </w:pPr>
    <w:rPr>
      <w:rFonts w:ascii="宋体"/>
    </w:rPr>
  </w:style>
  <w:style w:type="paragraph" w:styleId="12">
    <w:name w:val="Normal Indent"/>
    <w:basedOn w:val="1"/>
    <w:uiPriority w:val="0"/>
    <w:pPr>
      <w:ind w:firstLine="420"/>
    </w:pPr>
  </w:style>
  <w:style w:type="paragraph" w:styleId="13">
    <w:name w:val="Body Text"/>
    <w:basedOn w:val="1"/>
    <w:link w:val="86"/>
    <w:uiPriority w:val="0"/>
    <w:pPr>
      <w:spacing w:after="120"/>
    </w:pPr>
  </w:style>
  <w:style w:type="paragraph" w:styleId="14">
    <w:name w:val="toc 5"/>
    <w:basedOn w:val="1"/>
    <w:next w:val="1"/>
    <w:autoRedefine/>
    <w:unhideWhenUsed/>
    <w:uiPriority w:val="39"/>
    <w:pPr>
      <w:ind w:left="839"/>
    </w:pPr>
    <w:rPr>
      <w:rFonts w:ascii="宋体"/>
    </w:rPr>
  </w:style>
  <w:style w:type="paragraph" w:styleId="15">
    <w:name w:val="toc 3"/>
    <w:basedOn w:val="1"/>
    <w:next w:val="1"/>
    <w:autoRedefine/>
    <w:unhideWhenUsed/>
    <w:uiPriority w:val="39"/>
    <w:pPr>
      <w:spacing w:line="300" w:lineRule="exact"/>
      <w:ind w:left="420"/>
    </w:pPr>
    <w:rPr>
      <w:rFonts w:ascii="宋体"/>
    </w:rPr>
  </w:style>
  <w:style w:type="paragraph" w:styleId="16">
    <w:name w:val="Balloon Text"/>
    <w:basedOn w:val="1"/>
    <w:link w:val="45"/>
    <w:semiHidden/>
    <w:unhideWhenUsed/>
    <w:uiPriority w:val="99"/>
    <w:rPr>
      <w:sz w:val="18"/>
      <w:szCs w:val="18"/>
    </w:rPr>
  </w:style>
  <w:style w:type="paragraph" w:styleId="17">
    <w:name w:val="footer"/>
    <w:basedOn w:val="1"/>
    <w:link w:val="44"/>
    <w:uiPriority w:val="99"/>
    <w:pPr>
      <w:tabs>
        <w:tab w:val="center" w:pos="4153"/>
        <w:tab w:val="right" w:pos="8306"/>
      </w:tabs>
      <w:adjustRightInd/>
      <w:snapToGrid w:val="0"/>
      <w:spacing w:line="240" w:lineRule="auto"/>
      <w:jc w:val="right"/>
    </w:pPr>
    <w:rPr>
      <w:rFonts w:ascii="宋体"/>
      <w:sz w:val="18"/>
      <w:szCs w:val="18"/>
    </w:rPr>
  </w:style>
  <w:style w:type="paragraph" w:styleId="18">
    <w:name w:val="header"/>
    <w:basedOn w:val="1"/>
    <w:link w:val="43"/>
    <w:uiPriority w:val="99"/>
    <w:pPr>
      <w:tabs>
        <w:tab w:val="center" w:pos="4153"/>
        <w:tab w:val="right" w:pos="8306"/>
      </w:tabs>
      <w:adjustRightInd/>
      <w:snapToGrid w:val="0"/>
      <w:jc w:val="center"/>
    </w:pPr>
    <w:rPr>
      <w:sz w:val="18"/>
      <w:szCs w:val="18"/>
    </w:rPr>
  </w:style>
  <w:style w:type="paragraph" w:styleId="19">
    <w:name w:val="toc 1"/>
    <w:basedOn w:val="1"/>
    <w:next w:val="1"/>
    <w:autoRedefine/>
    <w:unhideWhenUsed/>
    <w:uiPriority w:val="39"/>
    <w:rPr>
      <w:rFonts w:ascii="宋体"/>
    </w:rPr>
  </w:style>
  <w:style w:type="paragraph" w:styleId="20">
    <w:name w:val="toc 4"/>
    <w:basedOn w:val="1"/>
    <w:next w:val="1"/>
    <w:autoRedefine/>
    <w:unhideWhenUsed/>
    <w:uiPriority w:val="39"/>
    <w:pPr>
      <w:tabs>
        <w:tab w:val="right" w:leader="dot" w:pos="9344"/>
      </w:tabs>
      <w:spacing w:line="300" w:lineRule="exact"/>
      <w:ind w:left="629"/>
    </w:pPr>
    <w:rPr>
      <w:rFonts w:ascii="宋体"/>
    </w:rPr>
  </w:style>
  <w:style w:type="paragraph" w:styleId="21">
    <w:name w:val="footnote text"/>
    <w:basedOn w:val="1"/>
    <w:next w:val="1"/>
    <w:link w:val="99"/>
    <w:semiHidden/>
    <w:uiPriority w:val="0"/>
    <w:pPr>
      <w:adjustRightInd/>
      <w:snapToGrid w:val="0"/>
      <w:spacing w:line="300" w:lineRule="exact"/>
      <w:ind w:left="400" w:leftChars="200" w:hanging="200" w:hangingChars="200"/>
      <w:jc w:val="left"/>
    </w:pPr>
    <w:rPr>
      <w:rFonts w:ascii="宋体"/>
      <w:sz w:val="18"/>
      <w:szCs w:val="18"/>
    </w:rPr>
  </w:style>
  <w:style w:type="paragraph" w:styleId="22">
    <w:name w:val="toc 6"/>
    <w:basedOn w:val="1"/>
    <w:next w:val="1"/>
    <w:autoRedefine/>
    <w:unhideWhenUsed/>
    <w:uiPriority w:val="39"/>
    <w:pPr>
      <w:spacing w:line="300" w:lineRule="exact"/>
      <w:ind w:left="1049"/>
    </w:pPr>
    <w:rPr>
      <w:rFonts w:ascii="宋体"/>
    </w:rPr>
  </w:style>
  <w:style w:type="paragraph" w:styleId="23">
    <w:name w:val="table of figures"/>
    <w:basedOn w:val="1"/>
    <w:next w:val="1"/>
    <w:semiHidden/>
    <w:uiPriority w:val="0"/>
    <w:pPr>
      <w:adjustRightInd/>
      <w:spacing w:line="240" w:lineRule="auto"/>
      <w:jc w:val="left"/>
    </w:pPr>
    <w:rPr>
      <w:szCs w:val="24"/>
    </w:rPr>
  </w:style>
  <w:style w:type="paragraph" w:styleId="24">
    <w:name w:val="toc 2"/>
    <w:basedOn w:val="1"/>
    <w:next w:val="1"/>
    <w:autoRedefine/>
    <w:unhideWhenUsed/>
    <w:uiPriority w:val="39"/>
    <w:pPr>
      <w:tabs>
        <w:tab w:val="right" w:leader="dot" w:pos="9344"/>
      </w:tabs>
      <w:spacing w:line="300" w:lineRule="exact"/>
      <w:ind w:left="210"/>
    </w:pPr>
    <w:rPr>
      <w:rFonts w:ascii="宋体"/>
    </w:rPr>
  </w:style>
  <w:style w:type="paragraph" w:styleId="25">
    <w:name w:val="Title"/>
    <w:basedOn w:val="1"/>
    <w:link w:val="48"/>
    <w:qFormat/>
    <w:uiPriority w:val="0"/>
    <w:pPr>
      <w:spacing w:before="240" w:after="60"/>
      <w:jc w:val="center"/>
      <w:outlineLvl w:val="0"/>
    </w:pPr>
    <w:rPr>
      <w:rFonts w:ascii="Arial" w:hAnsi="Arial" w:cs="Arial"/>
      <w:b/>
      <w:bCs/>
      <w:sz w:val="32"/>
      <w:szCs w:val="32"/>
    </w:rPr>
  </w:style>
  <w:style w:type="table" w:styleId="27">
    <w:name w:val="Table Grid"/>
    <w:basedOn w:val="2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22"/>
    <w:rPr>
      <w:b/>
      <w:bCs/>
    </w:rPr>
  </w:style>
  <w:style w:type="character" w:styleId="30">
    <w:name w:val="page number"/>
    <w:uiPriority w:val="0"/>
    <w:rPr>
      <w:rFonts w:ascii="宋体" w:hAnsi="Times New Roman" w:eastAsia="宋体"/>
      <w:sz w:val="18"/>
    </w:rPr>
  </w:style>
  <w:style w:type="character" w:styleId="31">
    <w:name w:val="Emphasis"/>
    <w:qFormat/>
    <w:uiPriority w:val="20"/>
    <w:rPr>
      <w:i/>
      <w:iCs/>
    </w:rPr>
  </w:style>
  <w:style w:type="character" w:styleId="32">
    <w:name w:val="Hyperlink"/>
    <w:uiPriority w:val="99"/>
    <w:rPr>
      <w:rFonts w:ascii="宋体" w:hAnsi="Times New Roman" w:eastAsia="宋体"/>
      <w:color w:val="auto"/>
      <w:spacing w:val="0"/>
      <w:w w:val="100"/>
      <w:position w:val="0"/>
      <w:sz w:val="21"/>
      <w:u w:val="none"/>
      <w:vertAlign w:val="baseline"/>
    </w:rPr>
  </w:style>
  <w:style w:type="character" w:styleId="33">
    <w:name w:val="footnote reference"/>
    <w:semiHidden/>
    <w:uiPriority w:val="0"/>
    <w:rPr>
      <w:rFonts w:ascii="宋体" w:hAnsi="宋体" w:eastAsia="宋体" w:cs="Times New Roman"/>
      <w:spacing w:val="0"/>
      <w:sz w:val="18"/>
      <w:vertAlign w:val="superscript"/>
    </w:rPr>
  </w:style>
  <w:style w:type="character" w:customStyle="1" w:styleId="34">
    <w:name w:val="标题 1 字符"/>
    <w:link w:val="2"/>
    <w:uiPriority w:val="0"/>
    <w:rPr>
      <w:b/>
      <w:bCs/>
      <w:kern w:val="44"/>
      <w:sz w:val="44"/>
      <w:szCs w:val="44"/>
    </w:rPr>
  </w:style>
  <w:style w:type="character" w:customStyle="1" w:styleId="35">
    <w:name w:val="标题 2 字符"/>
    <w:link w:val="3"/>
    <w:uiPriority w:val="0"/>
    <w:rPr>
      <w:rFonts w:ascii="Arial" w:hAnsi="Arial" w:eastAsia="黑体"/>
      <w:b/>
      <w:bCs/>
      <w:kern w:val="2"/>
      <w:sz w:val="32"/>
      <w:szCs w:val="32"/>
    </w:rPr>
  </w:style>
  <w:style w:type="character" w:customStyle="1" w:styleId="36">
    <w:name w:val="标题 3 字符"/>
    <w:link w:val="4"/>
    <w:qFormat/>
    <w:uiPriority w:val="0"/>
    <w:rPr>
      <w:b/>
      <w:bCs/>
      <w:kern w:val="2"/>
      <w:sz w:val="32"/>
      <w:szCs w:val="32"/>
    </w:rPr>
  </w:style>
  <w:style w:type="character" w:customStyle="1" w:styleId="37">
    <w:name w:val="标题 4 字符"/>
    <w:link w:val="5"/>
    <w:qFormat/>
    <w:uiPriority w:val="0"/>
    <w:rPr>
      <w:rFonts w:ascii="Arial" w:hAnsi="Arial" w:eastAsia="黑体"/>
      <w:b/>
      <w:bCs/>
      <w:kern w:val="2"/>
      <w:sz w:val="28"/>
      <w:szCs w:val="28"/>
    </w:rPr>
  </w:style>
  <w:style w:type="character" w:customStyle="1" w:styleId="38">
    <w:name w:val="标题 5 字符"/>
    <w:link w:val="6"/>
    <w:uiPriority w:val="0"/>
    <w:rPr>
      <w:b/>
      <w:bCs/>
      <w:kern w:val="2"/>
      <w:sz w:val="28"/>
      <w:szCs w:val="28"/>
    </w:rPr>
  </w:style>
  <w:style w:type="character" w:customStyle="1" w:styleId="39">
    <w:name w:val="标题 6 字符"/>
    <w:link w:val="7"/>
    <w:uiPriority w:val="0"/>
    <w:rPr>
      <w:rFonts w:ascii="Arial" w:hAnsi="Arial" w:eastAsia="黑体"/>
      <w:b/>
      <w:bCs/>
      <w:kern w:val="2"/>
      <w:sz w:val="24"/>
      <w:szCs w:val="24"/>
    </w:rPr>
  </w:style>
  <w:style w:type="character" w:customStyle="1" w:styleId="40">
    <w:name w:val="标题 7 字符"/>
    <w:link w:val="8"/>
    <w:uiPriority w:val="0"/>
    <w:rPr>
      <w:b/>
      <w:bCs/>
      <w:kern w:val="2"/>
      <w:sz w:val="24"/>
      <w:szCs w:val="24"/>
    </w:rPr>
  </w:style>
  <w:style w:type="character" w:customStyle="1" w:styleId="41">
    <w:name w:val="标题 8 字符"/>
    <w:link w:val="9"/>
    <w:qFormat/>
    <w:uiPriority w:val="0"/>
    <w:rPr>
      <w:rFonts w:ascii="Arial" w:hAnsi="Arial" w:eastAsia="黑体"/>
      <w:kern w:val="2"/>
      <w:sz w:val="24"/>
      <w:szCs w:val="24"/>
    </w:rPr>
  </w:style>
  <w:style w:type="character" w:customStyle="1" w:styleId="42">
    <w:name w:val="标题 9 字符"/>
    <w:link w:val="10"/>
    <w:uiPriority w:val="0"/>
    <w:rPr>
      <w:rFonts w:ascii="Arial" w:hAnsi="Arial" w:eastAsia="黑体"/>
      <w:kern w:val="2"/>
      <w:sz w:val="21"/>
      <w:szCs w:val="21"/>
    </w:rPr>
  </w:style>
  <w:style w:type="character" w:customStyle="1" w:styleId="43">
    <w:name w:val="页眉 字符"/>
    <w:link w:val="18"/>
    <w:qFormat/>
    <w:uiPriority w:val="99"/>
    <w:rPr>
      <w:kern w:val="2"/>
      <w:sz w:val="18"/>
      <w:szCs w:val="18"/>
    </w:rPr>
  </w:style>
  <w:style w:type="character" w:customStyle="1" w:styleId="44">
    <w:name w:val="页脚 字符"/>
    <w:link w:val="17"/>
    <w:uiPriority w:val="99"/>
    <w:rPr>
      <w:rFonts w:ascii="宋体"/>
      <w:kern w:val="2"/>
      <w:sz w:val="18"/>
      <w:szCs w:val="18"/>
    </w:rPr>
  </w:style>
  <w:style w:type="character" w:customStyle="1" w:styleId="45">
    <w:name w:val="批注框文本 字符"/>
    <w:link w:val="16"/>
    <w:semiHidden/>
    <w:uiPriority w:val="99"/>
    <w:rPr>
      <w:kern w:val="2"/>
      <w:sz w:val="18"/>
      <w:szCs w:val="18"/>
    </w:rPr>
  </w:style>
  <w:style w:type="paragraph" w:styleId="46">
    <w:name w:val="Quote"/>
    <w:basedOn w:val="1"/>
    <w:next w:val="1"/>
    <w:link w:val="47"/>
    <w:qFormat/>
    <w:uiPriority w:val="29"/>
    <w:rPr>
      <w:i/>
      <w:iCs/>
      <w:color w:val="000000"/>
    </w:rPr>
  </w:style>
  <w:style w:type="character" w:customStyle="1" w:styleId="47">
    <w:name w:val="引用 字符"/>
    <w:link w:val="46"/>
    <w:uiPriority w:val="29"/>
    <w:rPr>
      <w:i/>
      <w:iCs/>
      <w:color w:val="000000"/>
      <w:kern w:val="2"/>
      <w:sz w:val="21"/>
      <w:szCs w:val="21"/>
    </w:rPr>
  </w:style>
  <w:style w:type="character" w:customStyle="1" w:styleId="48">
    <w:name w:val="标题 字符"/>
    <w:link w:val="25"/>
    <w:uiPriority w:val="0"/>
    <w:rPr>
      <w:rFonts w:ascii="Arial" w:hAnsi="Arial" w:cs="Arial"/>
      <w:b/>
      <w:bCs/>
      <w:kern w:val="2"/>
      <w:sz w:val="32"/>
      <w:szCs w:val="32"/>
    </w:rPr>
  </w:style>
  <w:style w:type="paragraph" w:customStyle="1" w:styleId="49">
    <w:name w:val="标准标志"/>
    <w:next w:val="1"/>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50">
    <w:name w:val="标准称谓"/>
    <w:next w:val="1"/>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w w:val="148"/>
      <w:sz w:val="52"/>
      <w:lang w:val="en-US" w:eastAsia="zh-CN" w:bidi="ar-SA"/>
    </w:rPr>
  </w:style>
  <w:style w:type="paragraph" w:customStyle="1" w:styleId="51">
    <w:name w:val="标准文件_页脚偶数页"/>
    <w:uiPriority w:val="0"/>
    <w:pPr>
      <w:ind w:left="198"/>
    </w:pPr>
    <w:rPr>
      <w:rFonts w:ascii="宋体" w:hAnsi="Times New Roman" w:eastAsia="宋体" w:cs="Times New Roman"/>
      <w:sz w:val="18"/>
      <w:lang w:val="en-US" w:eastAsia="zh-CN" w:bidi="ar-SA"/>
    </w:rPr>
  </w:style>
  <w:style w:type="paragraph" w:customStyle="1" w:styleId="52">
    <w:name w:val="标准文件_页脚奇数页"/>
    <w:uiPriority w:val="0"/>
    <w:pPr>
      <w:ind w:right="227"/>
      <w:jc w:val="right"/>
    </w:pPr>
    <w:rPr>
      <w:rFonts w:ascii="宋体" w:hAnsi="Times New Roman" w:eastAsia="宋体" w:cs="Times New Roman"/>
      <w:sz w:val="18"/>
      <w:lang w:val="en-US" w:eastAsia="zh-CN" w:bidi="ar-SA"/>
    </w:rPr>
  </w:style>
  <w:style w:type="paragraph" w:customStyle="1" w:styleId="53">
    <w:name w:val="标准书眉一"/>
    <w:uiPriority w:val="0"/>
    <w:pPr>
      <w:jc w:val="both"/>
    </w:pPr>
    <w:rPr>
      <w:rFonts w:ascii="Times New Roman" w:hAnsi="Times New Roman" w:eastAsia="宋体" w:cs="Times New Roman"/>
      <w:lang w:val="en-US" w:eastAsia="zh-CN" w:bidi="ar-SA"/>
    </w:rPr>
  </w:style>
  <w:style w:type="paragraph" w:customStyle="1" w:styleId="54">
    <w:name w:val="标准文件_ICS"/>
    <w:basedOn w:val="1"/>
    <w:uiPriority w:val="0"/>
    <w:pPr>
      <w:spacing w:line="0" w:lineRule="atLeast"/>
    </w:pPr>
    <w:rPr>
      <w:rFonts w:ascii="黑体" w:hAnsi="宋体" w:eastAsia="黑体"/>
    </w:rPr>
  </w:style>
  <w:style w:type="paragraph" w:customStyle="1" w:styleId="55">
    <w:name w:val="标准文件_标准正文"/>
    <w:basedOn w:val="1"/>
    <w:next w:val="56"/>
    <w:uiPriority w:val="0"/>
    <w:pPr>
      <w:snapToGrid w:val="0"/>
      <w:ind w:firstLine="200" w:firstLineChars="200"/>
    </w:pPr>
    <w:rPr>
      <w:kern w:val="0"/>
    </w:rPr>
  </w:style>
  <w:style w:type="paragraph" w:customStyle="1" w:styleId="56">
    <w:name w:val="标准文件_段"/>
    <w:link w:val="184"/>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57">
    <w:name w:val="标准文件_版本"/>
    <w:basedOn w:val="55"/>
    <w:uiPriority w:val="0"/>
    <w:pPr>
      <w:adjustRightInd/>
      <w:snapToGrid/>
      <w:ind w:firstLine="0" w:firstLineChars="0"/>
    </w:pPr>
    <w:rPr>
      <w:rFonts w:ascii="宋体" w:hAnsi="宋体"/>
      <w:kern w:val="2"/>
    </w:rPr>
  </w:style>
  <w:style w:type="paragraph" w:customStyle="1" w:styleId="58">
    <w:name w:val="标准文件_标准部门"/>
    <w:basedOn w:val="1"/>
    <w:uiPriority w:val="0"/>
    <w:pPr>
      <w:jc w:val="center"/>
    </w:pPr>
    <w:rPr>
      <w:rFonts w:ascii="黑体" w:eastAsia="黑体"/>
      <w:kern w:val="0"/>
      <w:sz w:val="44"/>
    </w:rPr>
  </w:style>
  <w:style w:type="paragraph" w:customStyle="1" w:styleId="59">
    <w:name w:val="标准文件_标准代替"/>
    <w:basedOn w:val="1"/>
    <w:next w:val="1"/>
    <w:uiPriority w:val="0"/>
    <w:pPr>
      <w:spacing w:line="310" w:lineRule="exact"/>
      <w:jc w:val="right"/>
    </w:pPr>
    <w:rPr>
      <w:rFonts w:ascii="宋体" w:hAnsi="宋体"/>
      <w:kern w:val="0"/>
    </w:rPr>
  </w:style>
  <w:style w:type="paragraph" w:customStyle="1" w:styleId="60">
    <w:name w:val="标准文件_标准名称标题"/>
    <w:basedOn w:val="1"/>
    <w:next w:val="1"/>
    <w:uiPriority w:val="0"/>
    <w:pPr>
      <w:widowControl/>
      <w:shd w:val="clear" w:color="FFFFFF" w:fill="FFFFFF"/>
      <w:adjustRightInd/>
      <w:spacing w:before="640" w:after="100"/>
      <w:jc w:val="center"/>
    </w:pPr>
    <w:rPr>
      <w:rFonts w:ascii="黑体" w:eastAsia="黑体"/>
      <w:kern w:val="0"/>
      <w:sz w:val="32"/>
    </w:rPr>
  </w:style>
  <w:style w:type="paragraph" w:customStyle="1" w:styleId="61">
    <w:name w:val="标准文件_页眉奇数页"/>
    <w:next w:val="1"/>
    <w:uiPriority w:val="0"/>
    <w:pPr>
      <w:tabs>
        <w:tab w:val="center" w:pos="4154"/>
        <w:tab w:val="right" w:pos="8306"/>
      </w:tabs>
      <w:spacing w:after="120"/>
      <w:jc w:val="right"/>
    </w:pPr>
    <w:rPr>
      <w:rFonts w:ascii="黑体" w:hAnsi="宋体" w:eastAsia="黑体" w:cs="Times New Roman"/>
      <w:sz w:val="21"/>
      <w:lang w:val="en-US" w:eastAsia="zh-CN" w:bidi="ar-SA"/>
    </w:rPr>
  </w:style>
  <w:style w:type="paragraph" w:customStyle="1" w:styleId="62">
    <w:name w:val="标准文件_页眉偶数页"/>
    <w:basedOn w:val="61"/>
    <w:next w:val="1"/>
    <w:uiPriority w:val="0"/>
    <w:pPr>
      <w:jc w:val="left"/>
    </w:pPr>
  </w:style>
  <w:style w:type="paragraph" w:customStyle="1" w:styleId="63">
    <w:name w:val="标准文件_参考文献标题"/>
    <w:basedOn w:val="1"/>
    <w:next w:val="1"/>
    <w:uiPriority w:val="0"/>
    <w:pPr>
      <w:widowControl/>
      <w:shd w:val="clear" w:color="FFFFFF" w:fill="FFFFFF"/>
      <w:adjustRightInd/>
      <w:spacing w:before="560" w:after="50" w:afterLines="50" w:line="240" w:lineRule="auto"/>
      <w:jc w:val="center"/>
      <w:outlineLvl w:val="0"/>
    </w:pPr>
    <w:rPr>
      <w:rFonts w:ascii="黑体" w:eastAsia="黑体"/>
      <w:kern w:val="0"/>
    </w:rPr>
  </w:style>
  <w:style w:type="paragraph" w:customStyle="1" w:styleId="64">
    <w:name w:val="标准文件_参考文献条目"/>
    <w:uiPriority w:val="0"/>
    <w:pPr>
      <w:numPr>
        <w:ilvl w:val="0"/>
        <w:numId w:val="1"/>
      </w:numPr>
      <w:ind w:left="420" w:hanging="420"/>
    </w:pPr>
    <w:rPr>
      <w:rFonts w:ascii="宋体" w:hAnsi="Times New Roman" w:eastAsia="宋体" w:cs="Times New Roman"/>
      <w:lang w:val="en-US" w:eastAsia="zh-CN" w:bidi="ar-SA"/>
    </w:rPr>
  </w:style>
  <w:style w:type="paragraph" w:customStyle="1" w:styleId="65">
    <w:name w:val="标准文件_二级条标题"/>
    <w:next w:val="56"/>
    <w:uiPriority w:val="0"/>
    <w:pPr>
      <w:widowControl w:val="0"/>
      <w:numPr>
        <w:ilvl w:val="3"/>
        <w:numId w:val="2"/>
      </w:numPr>
      <w:spacing w:before="50" w:beforeLines="50" w:after="50" w:afterLines="50"/>
      <w:jc w:val="both"/>
      <w:outlineLvl w:val="2"/>
    </w:pPr>
    <w:rPr>
      <w:rFonts w:ascii="黑体" w:hAnsi="Times New Roman" w:eastAsia="黑体" w:cs="Times New Roman"/>
      <w:sz w:val="21"/>
      <w:lang w:val="en-US" w:eastAsia="zh-CN" w:bidi="ar-SA"/>
    </w:rPr>
  </w:style>
  <w:style w:type="character" w:customStyle="1" w:styleId="66">
    <w:name w:val="标准文件_发布"/>
    <w:uiPriority w:val="0"/>
    <w:rPr>
      <w:rFonts w:ascii="黑体" w:eastAsia="黑体"/>
      <w:spacing w:val="0"/>
      <w:w w:val="100"/>
      <w:position w:val="3"/>
      <w:sz w:val="28"/>
    </w:rPr>
  </w:style>
  <w:style w:type="paragraph" w:customStyle="1" w:styleId="67">
    <w:name w:val="标准文件_方框数字列项"/>
    <w:basedOn w:val="56"/>
    <w:uiPriority w:val="0"/>
    <w:pPr>
      <w:numPr>
        <w:ilvl w:val="0"/>
        <w:numId w:val="3"/>
      </w:numPr>
      <w:ind w:firstLine="0" w:firstLineChars="0"/>
    </w:pPr>
  </w:style>
  <w:style w:type="paragraph" w:customStyle="1" w:styleId="68">
    <w:name w:val="标准文件_封面标准编号"/>
    <w:basedOn w:val="1"/>
    <w:next w:val="59"/>
    <w:uiPriority w:val="0"/>
    <w:pPr>
      <w:spacing w:line="310" w:lineRule="exact"/>
      <w:jc w:val="right"/>
    </w:pPr>
    <w:rPr>
      <w:rFonts w:ascii="黑体" w:eastAsia="黑体"/>
      <w:kern w:val="0"/>
      <w:sz w:val="28"/>
    </w:rPr>
  </w:style>
  <w:style w:type="paragraph" w:customStyle="1" w:styleId="69">
    <w:name w:val="标准文件_封面标准分类号"/>
    <w:basedOn w:val="1"/>
    <w:uiPriority w:val="0"/>
    <w:rPr>
      <w:rFonts w:ascii="黑体" w:eastAsia="黑体"/>
      <w:b/>
      <w:kern w:val="0"/>
      <w:sz w:val="28"/>
    </w:rPr>
  </w:style>
  <w:style w:type="paragraph" w:customStyle="1" w:styleId="70">
    <w:name w:val="标准文件_封面标准名称"/>
    <w:basedOn w:val="1"/>
    <w:uiPriority w:val="0"/>
    <w:pPr>
      <w:spacing w:line="240" w:lineRule="auto"/>
      <w:jc w:val="center"/>
    </w:pPr>
    <w:rPr>
      <w:rFonts w:ascii="黑体" w:eastAsia="黑体"/>
      <w:kern w:val="0"/>
      <w:sz w:val="52"/>
    </w:rPr>
  </w:style>
  <w:style w:type="paragraph" w:customStyle="1" w:styleId="71">
    <w:name w:val="标准文件_封面标准英文名称"/>
    <w:basedOn w:val="1"/>
    <w:uiPriority w:val="0"/>
    <w:pPr>
      <w:spacing w:line="240" w:lineRule="auto"/>
      <w:jc w:val="center"/>
    </w:pPr>
    <w:rPr>
      <w:rFonts w:ascii="黑体" w:eastAsia="黑体"/>
      <w:b/>
      <w:sz w:val="28"/>
    </w:rPr>
  </w:style>
  <w:style w:type="paragraph" w:customStyle="1" w:styleId="72">
    <w:name w:val="标准文件_封面发布日期"/>
    <w:basedOn w:val="1"/>
    <w:uiPriority w:val="0"/>
    <w:pPr>
      <w:spacing w:line="310" w:lineRule="exact"/>
    </w:pPr>
    <w:rPr>
      <w:rFonts w:ascii="黑体" w:eastAsia="黑体"/>
      <w:kern w:val="0"/>
      <w:sz w:val="28"/>
    </w:rPr>
  </w:style>
  <w:style w:type="paragraph" w:customStyle="1" w:styleId="73">
    <w:name w:val="标准文件_封面密级"/>
    <w:basedOn w:val="1"/>
    <w:uiPriority w:val="0"/>
    <w:rPr>
      <w:rFonts w:eastAsia="黑体"/>
      <w:sz w:val="32"/>
    </w:rPr>
  </w:style>
  <w:style w:type="paragraph" w:customStyle="1" w:styleId="74">
    <w:name w:val="标准文件_封面实施日期"/>
    <w:basedOn w:val="1"/>
    <w:uiPriority w:val="0"/>
    <w:pPr>
      <w:spacing w:line="310" w:lineRule="exact"/>
      <w:jc w:val="right"/>
    </w:pPr>
    <w:rPr>
      <w:rFonts w:ascii="黑体" w:eastAsia="黑体"/>
      <w:sz w:val="28"/>
    </w:rPr>
  </w:style>
  <w:style w:type="paragraph" w:customStyle="1" w:styleId="75">
    <w:name w:val="标准文件_封面抬头"/>
    <w:basedOn w:val="56"/>
    <w:uiPriority w:val="0"/>
    <w:pPr>
      <w:adjustRightInd w:val="0"/>
      <w:spacing w:line="800" w:lineRule="exact"/>
      <w:ind w:firstLine="0" w:firstLineChars="0"/>
      <w:jc w:val="distribute"/>
    </w:pPr>
    <w:rPr>
      <w:rFonts w:ascii="黑体" w:eastAsia="黑体"/>
      <w:b/>
      <w:sz w:val="64"/>
    </w:rPr>
  </w:style>
  <w:style w:type="paragraph" w:customStyle="1" w:styleId="76">
    <w:name w:val="标准文件_附录标识"/>
    <w:next w:val="56"/>
    <w:uiPriority w:val="0"/>
    <w:pPr>
      <w:numPr>
        <w:ilvl w:val="0"/>
        <w:numId w:val="4"/>
      </w:numPr>
      <w:shd w:val="clear" w:color="FFFFFF" w:fill="FFFFFF"/>
      <w:tabs>
        <w:tab w:val="left" w:pos="6406"/>
      </w:tabs>
      <w:spacing w:before="560" w:after="50" w:afterLines="50"/>
      <w:jc w:val="center"/>
      <w:outlineLvl w:val="0"/>
    </w:pPr>
    <w:rPr>
      <w:rFonts w:ascii="黑体" w:hAnsi="Times New Roman" w:eastAsia="黑体" w:cs="Times New Roman"/>
      <w:sz w:val="21"/>
      <w:lang w:val="en-US" w:eastAsia="zh-CN" w:bidi="ar-SA"/>
    </w:rPr>
  </w:style>
  <w:style w:type="paragraph" w:customStyle="1" w:styleId="77">
    <w:name w:val="标准文件_附录表标题"/>
    <w:next w:val="56"/>
    <w:uiPriority w:val="0"/>
    <w:pPr>
      <w:numPr>
        <w:ilvl w:val="1"/>
        <w:numId w:val="5"/>
      </w:numPr>
      <w:adjustRightInd w:val="0"/>
      <w:snapToGrid w:val="0"/>
      <w:spacing w:before="50" w:beforeLines="50" w:after="50" w:afterLines="50"/>
      <w:jc w:val="center"/>
      <w:textAlignment w:val="baseline"/>
    </w:pPr>
    <w:rPr>
      <w:rFonts w:ascii="黑体" w:hAnsi="Times New Roman" w:eastAsia="黑体" w:cs="Times New Roman"/>
      <w:kern w:val="21"/>
      <w:sz w:val="21"/>
      <w:lang w:val="en-US" w:eastAsia="zh-CN" w:bidi="ar-SA"/>
    </w:rPr>
  </w:style>
  <w:style w:type="paragraph" w:customStyle="1" w:styleId="78">
    <w:name w:val="标准文件_附录一级条标题"/>
    <w:next w:val="56"/>
    <w:uiPriority w:val="0"/>
    <w:pPr>
      <w:widowControl w:val="0"/>
      <w:numPr>
        <w:ilvl w:val="1"/>
        <w:numId w:val="4"/>
      </w:numPr>
      <w:spacing w:before="50" w:beforeLines="50" w:after="50" w:afterLines="50"/>
      <w:jc w:val="both"/>
      <w:outlineLvl w:val="2"/>
    </w:pPr>
    <w:rPr>
      <w:rFonts w:ascii="黑体" w:hAnsi="Times New Roman" w:eastAsia="黑体" w:cs="Times New Roman"/>
      <w:kern w:val="21"/>
      <w:sz w:val="21"/>
      <w:lang w:val="en-US" w:eastAsia="zh-CN" w:bidi="ar-SA"/>
    </w:rPr>
  </w:style>
  <w:style w:type="paragraph" w:customStyle="1" w:styleId="79">
    <w:name w:val="标准文件_附录二级条标题"/>
    <w:basedOn w:val="78"/>
    <w:next w:val="56"/>
    <w:uiPriority w:val="0"/>
    <w:pPr>
      <w:widowControl/>
      <w:numPr>
        <w:ilvl w:val="2"/>
      </w:numPr>
      <w:wordWrap w:val="0"/>
      <w:overflowPunct w:val="0"/>
      <w:autoSpaceDE w:val="0"/>
      <w:autoSpaceDN w:val="0"/>
      <w:textAlignment w:val="baseline"/>
      <w:outlineLvl w:val="3"/>
    </w:pPr>
  </w:style>
  <w:style w:type="paragraph" w:customStyle="1" w:styleId="80">
    <w:name w:val="标准文件_附录公式"/>
    <w:basedOn w:val="55"/>
    <w:next w:val="55"/>
    <w:uiPriority w:val="0"/>
    <w:pPr>
      <w:tabs>
        <w:tab w:val="center" w:pos="4678"/>
        <w:tab w:val="right" w:leader="middleDot" w:pos="9356"/>
      </w:tabs>
      <w:spacing w:line="240" w:lineRule="auto"/>
      <w:ind w:right="-51" w:firstLine="0" w:firstLineChars="0"/>
    </w:pPr>
    <w:rPr>
      <w:rFonts w:ascii="宋体" w:hAnsi="宋体"/>
    </w:rPr>
  </w:style>
  <w:style w:type="paragraph" w:customStyle="1" w:styleId="81">
    <w:name w:val="标准文件_附录三级条标题"/>
    <w:next w:val="56"/>
    <w:uiPriority w:val="0"/>
    <w:pPr>
      <w:widowControl w:val="0"/>
      <w:numPr>
        <w:ilvl w:val="3"/>
        <w:numId w:val="4"/>
      </w:numPr>
      <w:spacing w:before="50" w:beforeLines="50" w:after="50" w:afterLines="50"/>
      <w:jc w:val="both"/>
      <w:outlineLvl w:val="4"/>
    </w:pPr>
    <w:rPr>
      <w:rFonts w:ascii="黑体" w:hAnsi="Times New Roman" w:eastAsia="黑体" w:cs="Times New Roman"/>
      <w:kern w:val="21"/>
      <w:sz w:val="21"/>
      <w:lang w:val="en-US" w:eastAsia="zh-CN" w:bidi="ar-SA"/>
    </w:rPr>
  </w:style>
  <w:style w:type="paragraph" w:customStyle="1" w:styleId="82">
    <w:name w:val="标准文件_附录四级条标题"/>
    <w:next w:val="56"/>
    <w:uiPriority w:val="0"/>
    <w:pPr>
      <w:widowControl w:val="0"/>
      <w:numPr>
        <w:ilvl w:val="4"/>
        <w:numId w:val="4"/>
      </w:numPr>
      <w:spacing w:before="50" w:beforeLines="50" w:after="50" w:afterLines="50"/>
      <w:jc w:val="both"/>
      <w:outlineLvl w:val="5"/>
    </w:pPr>
    <w:rPr>
      <w:rFonts w:ascii="黑体" w:hAnsi="Times New Roman" w:eastAsia="黑体" w:cs="Times New Roman"/>
      <w:kern w:val="21"/>
      <w:sz w:val="21"/>
      <w:lang w:val="en-US" w:eastAsia="zh-CN" w:bidi="ar-SA"/>
    </w:rPr>
  </w:style>
  <w:style w:type="paragraph" w:customStyle="1" w:styleId="83">
    <w:name w:val="标准文件_附录图标题"/>
    <w:next w:val="56"/>
    <w:uiPriority w:val="0"/>
    <w:pPr>
      <w:numPr>
        <w:ilvl w:val="1"/>
        <w:numId w:val="6"/>
      </w:numPr>
      <w:adjustRightInd w:val="0"/>
      <w:snapToGrid w:val="0"/>
      <w:spacing w:before="50" w:beforeLines="50" w:after="50" w:afterLines="50"/>
      <w:jc w:val="center"/>
    </w:pPr>
    <w:rPr>
      <w:rFonts w:ascii="黑体" w:hAnsi="Times New Roman" w:eastAsia="黑体" w:cs="Times New Roman"/>
      <w:sz w:val="21"/>
      <w:lang w:val="en-US" w:eastAsia="zh-CN" w:bidi="ar-SA"/>
    </w:rPr>
  </w:style>
  <w:style w:type="paragraph" w:customStyle="1" w:styleId="84">
    <w:name w:val="标准文件_附录五级条标题"/>
    <w:next w:val="56"/>
    <w:uiPriority w:val="0"/>
    <w:pPr>
      <w:widowControl w:val="0"/>
      <w:numPr>
        <w:ilvl w:val="5"/>
        <w:numId w:val="4"/>
      </w:numPr>
      <w:spacing w:before="50" w:beforeLines="50" w:after="50" w:afterLines="50"/>
      <w:jc w:val="both"/>
      <w:outlineLvl w:val="6"/>
    </w:pPr>
    <w:rPr>
      <w:rFonts w:ascii="黑体" w:hAnsi="Times New Roman" w:eastAsia="黑体" w:cs="Times New Roman"/>
      <w:kern w:val="21"/>
      <w:sz w:val="21"/>
      <w:lang w:val="en-US" w:eastAsia="zh-CN" w:bidi="ar-SA"/>
    </w:rPr>
  </w:style>
  <w:style w:type="paragraph" w:customStyle="1" w:styleId="85">
    <w:name w:val="标准文件_附录英文标识"/>
    <w:next w:val="13"/>
    <w:uiPriority w:val="0"/>
    <w:pPr>
      <w:numPr>
        <w:ilvl w:val="0"/>
        <w:numId w:val="7"/>
      </w:numPr>
      <w:tabs>
        <w:tab w:val="left" w:pos="6406"/>
      </w:tabs>
      <w:spacing w:before="220" w:after="320"/>
      <w:jc w:val="center"/>
      <w:outlineLvl w:val="0"/>
    </w:pPr>
    <w:rPr>
      <w:rFonts w:ascii="黑体" w:hAnsi="Times New Roman" w:eastAsia="黑体" w:cs="Times New Roman"/>
      <w:sz w:val="21"/>
      <w:lang w:val="en-US" w:eastAsia="zh-CN" w:bidi="ar-SA"/>
    </w:rPr>
  </w:style>
  <w:style w:type="character" w:customStyle="1" w:styleId="86">
    <w:name w:val="正文文本 字符"/>
    <w:link w:val="13"/>
    <w:uiPriority w:val="0"/>
    <w:rPr>
      <w:kern w:val="2"/>
      <w:sz w:val="21"/>
      <w:szCs w:val="21"/>
    </w:rPr>
  </w:style>
  <w:style w:type="paragraph" w:customStyle="1" w:styleId="87">
    <w:name w:val="标准文件_附录章标题"/>
    <w:next w:val="56"/>
    <w:uiPriority w:val="0"/>
    <w:p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88">
    <w:name w:val="标准文件_公式后的破折号"/>
    <w:basedOn w:val="56"/>
    <w:next w:val="56"/>
    <w:uiPriority w:val="0"/>
    <w:pPr>
      <w:ind w:left="488" w:leftChars="200" w:hanging="289" w:hangingChars="290"/>
    </w:pPr>
  </w:style>
  <w:style w:type="paragraph" w:customStyle="1" w:styleId="89">
    <w:name w:val="标准文件_前言、引言标题"/>
    <w:next w:val="1"/>
    <w:uiPriority w:val="0"/>
    <w:pPr>
      <w:numPr>
        <w:ilvl w:val="0"/>
        <w:numId w:val="8"/>
      </w:numPr>
      <w:shd w:val="clear" w:color="FFFFFF" w:fill="FFFFFF"/>
      <w:spacing w:before="480" w:after="150" w:afterLines="150"/>
      <w:jc w:val="center"/>
      <w:outlineLvl w:val="0"/>
    </w:pPr>
    <w:rPr>
      <w:rFonts w:ascii="黑体" w:hAnsi="Times New Roman" w:eastAsia="黑体" w:cs="Times New Roman"/>
      <w:sz w:val="32"/>
      <w:lang w:val="en-US" w:eastAsia="zh-CN" w:bidi="ar-SA"/>
    </w:rPr>
  </w:style>
  <w:style w:type="paragraph" w:customStyle="1" w:styleId="90">
    <w:name w:val="标准文件_目次、标准名称标题"/>
    <w:basedOn w:val="89"/>
    <w:next w:val="56"/>
    <w:uiPriority w:val="0"/>
    <w:pPr>
      <w:spacing w:line="460" w:lineRule="exact"/>
      <w:ind w:left="0" w:firstLine="0"/>
    </w:pPr>
  </w:style>
  <w:style w:type="paragraph" w:customStyle="1" w:styleId="91">
    <w:name w:val="标准文件_目录标题"/>
    <w:basedOn w:val="1"/>
    <w:uiPriority w:val="0"/>
    <w:pPr>
      <w:spacing w:before="480" w:after="150" w:afterLines="150" w:line="240" w:lineRule="auto"/>
      <w:jc w:val="center"/>
    </w:pPr>
    <w:rPr>
      <w:rFonts w:ascii="黑体" w:eastAsia="黑体"/>
      <w:sz w:val="32"/>
    </w:rPr>
  </w:style>
  <w:style w:type="paragraph" w:customStyle="1" w:styleId="92">
    <w:name w:val="标准文件_破折号列项"/>
    <w:uiPriority w:val="0"/>
    <w:pPr>
      <w:numPr>
        <w:ilvl w:val="0"/>
        <w:numId w:val="9"/>
      </w:numPr>
      <w:adjustRightInd w:val="0"/>
      <w:snapToGrid w:val="0"/>
      <w:ind w:left="840" w:hanging="420"/>
    </w:pPr>
    <w:rPr>
      <w:rFonts w:ascii="Times New Roman" w:hAnsi="Times New Roman" w:eastAsia="宋体" w:cs="Times New Roman"/>
      <w:sz w:val="21"/>
      <w:lang w:val="en-US" w:eastAsia="zh-CN" w:bidi="ar-SA"/>
    </w:rPr>
  </w:style>
  <w:style w:type="paragraph" w:customStyle="1" w:styleId="93">
    <w:name w:val="标准文件_破折号列项（二级）"/>
    <w:basedOn w:val="92"/>
    <w:uiPriority w:val="0"/>
    <w:pPr>
      <w:numPr>
        <w:numId w:val="10"/>
      </w:numPr>
      <w:ind w:left="1260" w:hanging="420"/>
    </w:pPr>
  </w:style>
  <w:style w:type="paragraph" w:customStyle="1" w:styleId="94">
    <w:name w:val="标准文件_三级条标题"/>
    <w:basedOn w:val="65"/>
    <w:next w:val="56"/>
    <w:uiPriority w:val="0"/>
    <w:pPr>
      <w:widowControl/>
      <w:numPr>
        <w:ilvl w:val="4"/>
      </w:numPr>
      <w:outlineLvl w:val="3"/>
    </w:pPr>
  </w:style>
  <w:style w:type="character" w:customStyle="1" w:styleId="95">
    <w:name w:val="Subtle Reference"/>
    <w:qFormat/>
    <w:uiPriority w:val="31"/>
    <w:rPr>
      <w:smallCaps/>
      <w:color w:val="C0504D"/>
      <w:u w:val="single"/>
    </w:rPr>
  </w:style>
  <w:style w:type="paragraph" w:customStyle="1" w:styleId="96">
    <w:name w:val="标准文件_示例后续"/>
    <w:basedOn w:val="1"/>
    <w:uiPriority w:val="0"/>
    <w:pPr>
      <w:adjustRightInd/>
      <w:spacing w:line="240" w:lineRule="auto"/>
      <w:ind w:firstLine="200" w:firstLineChars="200"/>
    </w:pPr>
    <w:rPr>
      <w:sz w:val="18"/>
      <w:szCs w:val="24"/>
    </w:rPr>
  </w:style>
  <w:style w:type="paragraph" w:customStyle="1" w:styleId="97">
    <w:name w:val="标准文件_数字编号列项"/>
    <w:uiPriority w:val="0"/>
    <w:pPr>
      <w:numPr>
        <w:ilvl w:val="0"/>
        <w:numId w:val="11"/>
      </w:numPr>
      <w:jc w:val="both"/>
    </w:pPr>
    <w:rPr>
      <w:rFonts w:ascii="宋体" w:hAnsi="宋体" w:eastAsia="宋体" w:cs="Times New Roman"/>
      <w:sz w:val="21"/>
      <w:lang w:val="en-US" w:eastAsia="zh-CN" w:bidi="ar-SA"/>
    </w:rPr>
  </w:style>
  <w:style w:type="paragraph" w:customStyle="1" w:styleId="98">
    <w:name w:val="标准文件_四级条标题"/>
    <w:next w:val="56"/>
    <w:uiPriority w:val="0"/>
    <w:pPr>
      <w:widowControl w:val="0"/>
      <w:numPr>
        <w:ilvl w:val="5"/>
        <w:numId w:val="2"/>
      </w:numPr>
      <w:spacing w:before="50" w:beforeLines="50" w:after="50" w:afterLines="50"/>
      <w:jc w:val="both"/>
      <w:outlineLvl w:val="4"/>
    </w:pPr>
    <w:rPr>
      <w:rFonts w:ascii="黑体" w:hAnsi="Times New Roman" w:eastAsia="黑体" w:cs="Times New Roman"/>
      <w:sz w:val="21"/>
      <w:lang w:val="en-US" w:eastAsia="zh-CN" w:bidi="ar-SA"/>
    </w:rPr>
  </w:style>
  <w:style w:type="character" w:customStyle="1" w:styleId="99">
    <w:name w:val="脚注文本 字符"/>
    <w:link w:val="21"/>
    <w:semiHidden/>
    <w:uiPriority w:val="0"/>
    <w:rPr>
      <w:rFonts w:ascii="宋体"/>
      <w:kern w:val="2"/>
      <w:sz w:val="18"/>
      <w:szCs w:val="18"/>
    </w:rPr>
  </w:style>
  <w:style w:type="paragraph" w:customStyle="1" w:styleId="100">
    <w:name w:val="标准文件_条文脚注"/>
    <w:basedOn w:val="21"/>
    <w:uiPriority w:val="0"/>
    <w:pPr>
      <w:adjustRightInd w:val="0"/>
      <w:spacing w:line="240" w:lineRule="auto"/>
      <w:ind w:left="0" w:leftChars="0" w:firstLine="200" w:firstLineChars="200"/>
      <w:jc w:val="both"/>
    </w:pPr>
    <w:rPr>
      <w:rFonts w:hAnsi="宋体"/>
    </w:rPr>
  </w:style>
  <w:style w:type="paragraph" w:customStyle="1" w:styleId="101">
    <w:name w:val="标准文件_图表脚注"/>
    <w:basedOn w:val="1"/>
    <w:next w:val="56"/>
    <w:uiPriority w:val="0"/>
    <w:pPr>
      <w:numPr>
        <w:ilvl w:val="0"/>
        <w:numId w:val="12"/>
      </w:numPr>
      <w:spacing w:line="240" w:lineRule="auto"/>
      <w:jc w:val="left"/>
    </w:pPr>
    <w:rPr>
      <w:rFonts w:ascii="宋体" w:hAnsi="宋体"/>
      <w:sz w:val="18"/>
    </w:rPr>
  </w:style>
  <w:style w:type="character" w:customStyle="1" w:styleId="102">
    <w:name w:val="标准文件_图表脚注内容"/>
    <w:uiPriority w:val="0"/>
    <w:rPr>
      <w:rFonts w:ascii="宋体" w:hAnsi="宋体" w:eastAsia="宋体" w:cs="Times New Roman"/>
      <w:spacing w:val="0"/>
      <w:sz w:val="18"/>
      <w:vertAlign w:val="superscript"/>
    </w:rPr>
  </w:style>
  <w:style w:type="paragraph" w:customStyle="1" w:styleId="103">
    <w:name w:val="标准文件_五级条标题"/>
    <w:next w:val="56"/>
    <w:uiPriority w:val="0"/>
    <w:pPr>
      <w:widowControl w:val="0"/>
      <w:numPr>
        <w:ilvl w:val="6"/>
        <w:numId w:val="2"/>
      </w:numPr>
      <w:spacing w:before="50" w:beforeLines="50" w:after="50" w:afterLines="50"/>
      <w:jc w:val="both"/>
      <w:outlineLvl w:val="5"/>
    </w:pPr>
    <w:rPr>
      <w:rFonts w:ascii="黑体" w:hAnsi="Times New Roman" w:eastAsia="黑体" w:cs="Times New Roman"/>
      <w:sz w:val="21"/>
      <w:lang w:val="en-US" w:eastAsia="zh-CN" w:bidi="ar-SA"/>
    </w:rPr>
  </w:style>
  <w:style w:type="paragraph" w:customStyle="1" w:styleId="104">
    <w:name w:val="标准文件_章标题"/>
    <w:next w:val="56"/>
    <w:uiPriority w:val="0"/>
    <w:pPr>
      <w:numPr>
        <w:ilvl w:val="1"/>
        <w:numId w:val="2"/>
      </w:numPr>
      <w:spacing w:before="100" w:beforeLines="100" w:after="100" w:afterLines="100"/>
      <w:jc w:val="both"/>
      <w:outlineLvl w:val="0"/>
    </w:pPr>
    <w:rPr>
      <w:rFonts w:ascii="黑体" w:hAnsi="Times New Roman" w:eastAsia="黑体" w:cs="Times New Roman"/>
      <w:sz w:val="21"/>
      <w:lang w:val="en-US" w:eastAsia="zh-CN" w:bidi="ar-SA"/>
    </w:rPr>
  </w:style>
  <w:style w:type="paragraph" w:customStyle="1" w:styleId="105">
    <w:name w:val="标准文件_一级条标题"/>
    <w:basedOn w:val="104"/>
    <w:next w:val="56"/>
    <w:uiPriority w:val="0"/>
    <w:pPr>
      <w:numPr>
        <w:ilvl w:val="2"/>
      </w:numPr>
      <w:spacing w:before="50" w:beforeLines="50" w:after="50" w:afterLines="50"/>
      <w:outlineLvl w:val="1"/>
    </w:pPr>
  </w:style>
  <w:style w:type="paragraph" w:customStyle="1" w:styleId="106">
    <w:name w:val="标准文件_一致程度"/>
    <w:basedOn w:val="1"/>
    <w:uiPriority w:val="0"/>
    <w:pPr>
      <w:spacing w:line="440" w:lineRule="exact"/>
      <w:jc w:val="center"/>
    </w:pPr>
    <w:rPr>
      <w:sz w:val="28"/>
    </w:rPr>
  </w:style>
  <w:style w:type="paragraph" w:customStyle="1" w:styleId="107">
    <w:name w:val="标准文件_引言标题"/>
    <w:next w:val="1"/>
    <w:uiPriority w:val="0"/>
    <w:p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08">
    <w:name w:val="标准文件_英文图表脚注"/>
    <w:basedOn w:val="55"/>
    <w:uiPriority w:val="0"/>
    <w:pPr>
      <w:widowControl/>
      <w:adjustRightInd/>
      <w:snapToGrid/>
      <w:spacing w:line="240" w:lineRule="auto"/>
      <w:ind w:left="79" w:hanging="79" w:hangingChars="80"/>
    </w:pPr>
    <w:rPr>
      <w:rFonts w:ascii="宋体" w:hAnsi="宋体"/>
    </w:rPr>
  </w:style>
  <w:style w:type="paragraph" w:customStyle="1" w:styleId="109">
    <w:name w:val="标准文件_数字编号列项（二级）"/>
    <w:uiPriority w:val="0"/>
    <w:pPr>
      <w:numPr>
        <w:ilvl w:val="1"/>
        <w:numId w:val="13"/>
      </w:numPr>
      <w:jc w:val="both"/>
    </w:pPr>
    <w:rPr>
      <w:rFonts w:ascii="宋体" w:hAnsi="Times New Roman" w:eastAsia="宋体" w:cs="Times New Roman"/>
      <w:sz w:val="21"/>
      <w:lang w:val="en-US" w:eastAsia="zh-CN" w:bidi="ar-SA"/>
    </w:rPr>
  </w:style>
  <w:style w:type="paragraph" w:customStyle="1" w:styleId="110">
    <w:name w:val="标准文件_英文注："/>
    <w:basedOn w:val="1"/>
    <w:next w:val="56"/>
    <w:uiPriority w:val="0"/>
    <w:pPr>
      <w:numPr>
        <w:ilvl w:val="0"/>
        <w:numId w:val="14"/>
      </w:numPr>
      <w:tabs>
        <w:tab w:val="left" w:pos="420"/>
      </w:tabs>
      <w:autoSpaceDE w:val="0"/>
      <w:autoSpaceDN w:val="0"/>
      <w:spacing w:line="240" w:lineRule="auto"/>
    </w:pPr>
    <w:rPr>
      <w:rFonts w:ascii="宋体" w:hAnsi="宋体"/>
      <w:kern w:val="0"/>
      <w:sz w:val="18"/>
      <w:szCs w:val="20"/>
    </w:rPr>
  </w:style>
  <w:style w:type="paragraph" w:customStyle="1" w:styleId="111">
    <w:name w:val="标准文件_英文注×："/>
    <w:basedOn w:val="1"/>
    <w:uiPriority w:val="0"/>
    <w:pPr>
      <w:numPr>
        <w:ilvl w:val="0"/>
        <w:numId w:val="15"/>
      </w:numPr>
      <w:tabs>
        <w:tab w:val="left" w:pos="210"/>
      </w:tabs>
      <w:autoSpaceDE w:val="0"/>
      <w:autoSpaceDN w:val="0"/>
      <w:spacing w:line="240" w:lineRule="auto"/>
    </w:pPr>
    <w:rPr>
      <w:rFonts w:ascii="宋体" w:hAnsi="宋体"/>
      <w:kern w:val="0"/>
      <w:szCs w:val="20"/>
    </w:rPr>
  </w:style>
  <w:style w:type="paragraph" w:customStyle="1" w:styleId="112">
    <w:name w:val="标准文件_正文表标题"/>
    <w:next w:val="56"/>
    <w:uiPriority w:val="0"/>
    <w:pPr>
      <w:numPr>
        <w:ilvl w:val="0"/>
        <w:numId w:val="16"/>
      </w:numPr>
      <w:tabs>
        <w:tab w:val="left" w:pos="0"/>
      </w:tabs>
      <w:spacing w:before="50" w:beforeLines="50" w:after="50" w:afterLines="50"/>
      <w:jc w:val="center"/>
    </w:pPr>
    <w:rPr>
      <w:rFonts w:ascii="黑体" w:hAnsi="Times New Roman" w:eastAsia="黑体" w:cs="Times New Roman"/>
      <w:sz w:val="21"/>
      <w:lang w:val="en-US" w:eastAsia="zh-CN" w:bidi="ar-SA"/>
    </w:rPr>
  </w:style>
  <w:style w:type="paragraph" w:customStyle="1" w:styleId="113">
    <w:name w:val="标准文件_正文公式"/>
    <w:basedOn w:val="1"/>
    <w:next w:val="55"/>
    <w:uiPriority w:val="0"/>
    <w:pPr>
      <w:tabs>
        <w:tab w:val="center" w:pos="4678"/>
        <w:tab w:val="right" w:leader="middleDot" w:pos="9356"/>
      </w:tabs>
      <w:spacing w:line="240" w:lineRule="auto"/>
    </w:pPr>
    <w:rPr>
      <w:rFonts w:ascii="宋体" w:hAnsi="宋体"/>
    </w:rPr>
  </w:style>
  <w:style w:type="paragraph" w:customStyle="1" w:styleId="114">
    <w:name w:val="标准文件_正文图标题"/>
    <w:next w:val="56"/>
    <w:uiPriority w:val="0"/>
    <w:pPr>
      <w:numPr>
        <w:ilvl w:val="0"/>
        <w:numId w:val="17"/>
      </w:numPr>
      <w:spacing w:before="50" w:beforeLines="50" w:after="50" w:afterLines="50"/>
      <w:jc w:val="center"/>
    </w:pPr>
    <w:rPr>
      <w:rFonts w:ascii="黑体" w:hAnsi="Times New Roman" w:eastAsia="黑体" w:cs="Times New Roman"/>
      <w:sz w:val="21"/>
      <w:lang w:val="en-US" w:eastAsia="zh-CN" w:bidi="ar-SA"/>
    </w:rPr>
  </w:style>
  <w:style w:type="paragraph" w:customStyle="1" w:styleId="115">
    <w:name w:val="标准文件_正文英文表标题"/>
    <w:next w:val="56"/>
    <w:qFormat/>
    <w:uiPriority w:val="0"/>
    <w:pPr>
      <w:numPr>
        <w:ilvl w:val="0"/>
        <w:numId w:val="18"/>
      </w:numPr>
      <w:jc w:val="center"/>
    </w:pPr>
    <w:rPr>
      <w:rFonts w:ascii="黑体" w:hAnsi="Times New Roman" w:eastAsia="黑体" w:cs="Times New Roman"/>
      <w:sz w:val="21"/>
      <w:lang w:val="en-US" w:eastAsia="zh-CN" w:bidi="ar-SA"/>
    </w:rPr>
  </w:style>
  <w:style w:type="paragraph" w:customStyle="1" w:styleId="116">
    <w:name w:val="标准文件_正文英文图标题"/>
    <w:next w:val="56"/>
    <w:uiPriority w:val="0"/>
    <w:pPr>
      <w:numPr>
        <w:ilvl w:val="0"/>
        <w:numId w:val="19"/>
      </w:numPr>
      <w:jc w:val="center"/>
    </w:pPr>
    <w:rPr>
      <w:rFonts w:ascii="黑体" w:hAnsi="Times New Roman" w:eastAsia="黑体" w:cs="Times New Roman"/>
      <w:sz w:val="21"/>
      <w:lang w:val="en-US" w:eastAsia="zh-CN" w:bidi="ar-SA"/>
    </w:rPr>
  </w:style>
  <w:style w:type="paragraph" w:customStyle="1" w:styleId="117">
    <w:name w:val="标准文件_编号列项（三级）"/>
    <w:uiPriority w:val="0"/>
    <w:pPr>
      <w:numPr>
        <w:ilvl w:val="2"/>
        <w:numId w:val="13"/>
      </w:numPr>
    </w:pPr>
    <w:rPr>
      <w:rFonts w:ascii="宋体" w:hAnsi="Times New Roman" w:eastAsia="宋体" w:cs="Times New Roman"/>
      <w:sz w:val="21"/>
      <w:lang w:val="en-US" w:eastAsia="zh-CN" w:bidi="ar-SA"/>
    </w:rPr>
  </w:style>
  <w:style w:type="paragraph" w:customStyle="1" w:styleId="118">
    <w:name w:val="二级无标题条"/>
    <w:basedOn w:val="1"/>
    <w:uiPriority w:val="0"/>
    <w:pPr>
      <w:numPr>
        <w:ilvl w:val="3"/>
        <w:numId w:val="20"/>
      </w:numPr>
      <w:adjustRightInd/>
      <w:spacing w:line="240" w:lineRule="auto"/>
    </w:pPr>
    <w:rPr>
      <w:rFonts w:ascii="宋体" w:hAnsi="宋体"/>
      <w:szCs w:val="24"/>
    </w:rPr>
  </w:style>
  <w:style w:type="paragraph" w:customStyle="1" w:styleId="119">
    <w:name w:val="发布部门"/>
    <w:next w:val="56"/>
    <w:uiPriority w:val="0"/>
    <w:pPr>
      <w:framePr w:w="7433" w:h="585" w:hRule="exact" w:hSpace="180" w:vSpace="180" w:wrap="around" w:vAnchor="margin" w:hAnchor="margin" w:xAlign="center" w:y="14401" w:anchorLock="1"/>
      <w:jc w:val="center"/>
    </w:pPr>
    <w:rPr>
      <w:rFonts w:ascii="宋体" w:hAnsi="Times New Roman" w:eastAsia="宋体" w:cs="Times New Roman"/>
      <w:b/>
      <w:w w:val="135"/>
      <w:sz w:val="36"/>
      <w:lang w:val="en-US" w:eastAsia="zh-CN" w:bidi="ar-SA"/>
    </w:rPr>
  </w:style>
  <w:style w:type="paragraph" w:customStyle="1" w:styleId="120">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21">
    <w:name w:val="封面标准代替信息"/>
    <w:basedOn w:val="1"/>
    <w:uiPriority w:val="0"/>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122">
    <w:name w:val="封面标准名称"/>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23">
    <w:name w:val="封面标准文稿编辑信息"/>
    <w:uiPriority w:val="0"/>
    <w:pPr>
      <w:spacing w:before="180" w:line="180" w:lineRule="exact"/>
      <w:jc w:val="center"/>
    </w:pPr>
    <w:rPr>
      <w:rFonts w:ascii="宋体" w:hAnsi="Times New Roman" w:eastAsia="宋体" w:cs="Times New Roman"/>
      <w:sz w:val="21"/>
      <w:lang w:val="en-US" w:eastAsia="zh-CN" w:bidi="ar-SA"/>
    </w:rPr>
  </w:style>
  <w:style w:type="paragraph" w:customStyle="1" w:styleId="124">
    <w:name w:val="封面标准文稿类别"/>
    <w:uiPriority w:val="0"/>
    <w:pPr>
      <w:spacing w:before="440" w:line="400" w:lineRule="exact"/>
      <w:jc w:val="center"/>
    </w:pPr>
    <w:rPr>
      <w:rFonts w:ascii="宋体" w:hAnsi="Times New Roman" w:eastAsia="宋体" w:cs="Times New Roman"/>
      <w:sz w:val="24"/>
      <w:lang w:val="en-US" w:eastAsia="zh-CN" w:bidi="ar-SA"/>
    </w:rPr>
  </w:style>
  <w:style w:type="paragraph" w:customStyle="1" w:styleId="125">
    <w:name w:val="封面标准英文名称"/>
    <w:qFormat/>
    <w:uiPriority w:val="0"/>
    <w:pPr>
      <w:widowControl w:val="0"/>
      <w:spacing w:line="360" w:lineRule="exact"/>
      <w:jc w:val="center"/>
    </w:pPr>
    <w:rPr>
      <w:rFonts w:ascii="Times New Roman" w:hAnsi="Times New Roman" w:eastAsia="宋体" w:cs="Times New Roman"/>
      <w:sz w:val="28"/>
      <w:lang w:val="en-US" w:eastAsia="zh-CN" w:bidi="ar-SA"/>
    </w:rPr>
  </w:style>
  <w:style w:type="paragraph" w:customStyle="1" w:styleId="126">
    <w:name w:val="封面一致性程度标识"/>
    <w:uiPriority w:val="0"/>
    <w:pPr>
      <w:spacing w:before="440" w:line="440" w:lineRule="exact"/>
      <w:jc w:val="center"/>
    </w:pPr>
    <w:rPr>
      <w:rFonts w:ascii="Times New Roman" w:hAnsi="Times New Roman" w:eastAsia="宋体" w:cs="Times New Roman"/>
      <w:sz w:val="28"/>
      <w:lang w:val="en-US" w:eastAsia="zh-CN" w:bidi="ar-SA"/>
    </w:rPr>
  </w:style>
  <w:style w:type="paragraph" w:customStyle="1" w:styleId="127">
    <w:name w:val="封面正文"/>
    <w:uiPriority w:val="0"/>
    <w:pPr>
      <w:jc w:val="both"/>
    </w:pPr>
    <w:rPr>
      <w:rFonts w:ascii="Times New Roman" w:hAnsi="Times New Roman" w:eastAsia="宋体" w:cs="Times New Roman"/>
      <w:lang w:val="en-US" w:eastAsia="zh-CN" w:bidi="ar-SA"/>
    </w:rPr>
  </w:style>
  <w:style w:type="paragraph" w:customStyle="1" w:styleId="128">
    <w:name w:val="附录二级无标题条"/>
    <w:basedOn w:val="1"/>
    <w:next w:val="56"/>
    <w:uiPriority w:val="0"/>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129">
    <w:name w:val="附录三级无标题条"/>
    <w:basedOn w:val="128"/>
    <w:next w:val="56"/>
    <w:qFormat/>
    <w:uiPriority w:val="0"/>
    <w:pPr>
      <w:outlineLvl w:val="4"/>
    </w:pPr>
  </w:style>
  <w:style w:type="paragraph" w:customStyle="1" w:styleId="130">
    <w:name w:val="附录四级无标题条"/>
    <w:basedOn w:val="129"/>
    <w:next w:val="56"/>
    <w:uiPriority w:val="0"/>
    <w:pPr>
      <w:outlineLvl w:val="5"/>
    </w:pPr>
  </w:style>
  <w:style w:type="paragraph" w:customStyle="1" w:styleId="131">
    <w:name w:val="附录图"/>
    <w:next w:val="56"/>
    <w:uiPriority w:val="0"/>
    <w:pPr>
      <w:wordWrap w:val="0"/>
      <w:overflowPunct w:val="0"/>
      <w:autoSpaceDE w:val="0"/>
      <w:spacing w:before="50" w:beforeLines="50" w:after="50" w:afterLines="50"/>
      <w:jc w:val="center"/>
      <w:textAlignment w:val="baseline"/>
      <w:outlineLvl w:val="1"/>
    </w:pPr>
    <w:rPr>
      <w:rFonts w:ascii="黑体" w:hAnsi="Times New Roman" w:eastAsia="黑体" w:cs="Times New Roman"/>
      <w:kern w:val="21"/>
      <w:sz w:val="21"/>
      <w:lang w:val="en-US" w:eastAsia="zh-CN" w:bidi="ar-SA"/>
    </w:rPr>
  </w:style>
  <w:style w:type="paragraph" w:customStyle="1" w:styleId="132">
    <w:name w:val="标准文件_一级项"/>
    <w:qFormat/>
    <w:uiPriority w:val="0"/>
    <w:pPr>
      <w:numPr>
        <w:ilvl w:val="0"/>
        <w:numId w:val="21"/>
      </w:numPr>
    </w:pPr>
    <w:rPr>
      <w:rFonts w:ascii="宋体" w:hAnsi="Times New Roman" w:eastAsia="宋体" w:cs="Times New Roman"/>
      <w:sz w:val="21"/>
      <w:lang w:val="en-US" w:eastAsia="zh-CN" w:bidi="ar-SA"/>
    </w:rPr>
  </w:style>
  <w:style w:type="paragraph" w:customStyle="1" w:styleId="133">
    <w:name w:val="附录五级无标题条"/>
    <w:basedOn w:val="130"/>
    <w:next w:val="56"/>
    <w:qFormat/>
    <w:uiPriority w:val="0"/>
    <w:pPr>
      <w:outlineLvl w:val="6"/>
    </w:pPr>
  </w:style>
  <w:style w:type="paragraph" w:customStyle="1" w:styleId="134">
    <w:name w:val="附录性质"/>
    <w:basedOn w:val="1"/>
    <w:uiPriority w:val="0"/>
    <w:pPr>
      <w:widowControl/>
      <w:adjustRightInd/>
      <w:jc w:val="center"/>
    </w:pPr>
    <w:rPr>
      <w:rFonts w:ascii="黑体" w:eastAsia="黑体"/>
    </w:rPr>
  </w:style>
  <w:style w:type="paragraph" w:customStyle="1" w:styleId="135">
    <w:name w:val="附录一级无标题条"/>
    <w:basedOn w:val="87"/>
    <w:next w:val="56"/>
    <w:uiPriority w:val="0"/>
    <w:pPr>
      <w:autoSpaceDN w:val="0"/>
      <w:outlineLvl w:val="2"/>
    </w:pPr>
    <w:rPr>
      <w:rFonts w:ascii="宋体" w:hAnsi="宋体" w:eastAsia="宋体"/>
    </w:rPr>
  </w:style>
  <w:style w:type="character" w:customStyle="1" w:styleId="136">
    <w:name w:val="个人答复风格"/>
    <w:uiPriority w:val="0"/>
    <w:rPr>
      <w:rFonts w:ascii="Arial" w:hAnsi="Arial" w:eastAsia="宋体" w:cs="Arial"/>
      <w:color w:val="auto"/>
      <w:spacing w:val="0"/>
      <w:sz w:val="20"/>
    </w:rPr>
  </w:style>
  <w:style w:type="character" w:customStyle="1" w:styleId="137">
    <w:name w:val="个人撰写风格"/>
    <w:uiPriority w:val="0"/>
    <w:rPr>
      <w:rFonts w:ascii="Arial" w:hAnsi="Arial" w:eastAsia="宋体" w:cs="Arial"/>
      <w:color w:val="auto"/>
      <w:spacing w:val="0"/>
      <w:sz w:val="20"/>
    </w:rPr>
  </w:style>
  <w:style w:type="paragraph" w:customStyle="1" w:styleId="138">
    <w:name w:val="脚注后续"/>
    <w:uiPriority w:val="0"/>
    <w:pPr>
      <w:ind w:left="350" w:leftChars="350"/>
      <w:jc w:val="both"/>
    </w:pPr>
    <w:rPr>
      <w:rFonts w:ascii="宋体" w:hAnsi="Times New Roman" w:eastAsia="宋体" w:cs="Times New Roman"/>
      <w:sz w:val="18"/>
      <w:lang w:val="en-US" w:eastAsia="zh-CN" w:bidi="ar-SA"/>
    </w:rPr>
  </w:style>
  <w:style w:type="paragraph" w:customStyle="1" w:styleId="139">
    <w:name w:val="列项——"/>
    <w:uiPriority w:val="0"/>
    <w:pPr>
      <w:widowControl w:val="0"/>
      <w:numPr>
        <w:ilvl w:val="0"/>
        <w:numId w:val="22"/>
      </w:numPr>
      <w:jc w:val="both"/>
    </w:pPr>
    <w:rPr>
      <w:rFonts w:ascii="宋体" w:hAnsi="宋体" w:eastAsia="宋体" w:cs="Times New Roman"/>
      <w:sz w:val="21"/>
      <w:lang w:val="en-US" w:eastAsia="zh-CN" w:bidi="ar-SA"/>
    </w:rPr>
  </w:style>
  <w:style w:type="paragraph" w:customStyle="1" w:styleId="140">
    <w:name w:val="列项·"/>
    <w:basedOn w:val="56"/>
    <w:uiPriority w:val="0"/>
    <w:pPr>
      <w:tabs>
        <w:tab w:val="left" w:pos="840"/>
      </w:tabs>
    </w:pPr>
  </w:style>
  <w:style w:type="paragraph" w:customStyle="1" w:styleId="141">
    <w:name w:val="目次、索引正文"/>
    <w:uiPriority w:val="0"/>
    <w:pPr>
      <w:spacing w:line="320" w:lineRule="exact"/>
      <w:jc w:val="both"/>
    </w:pPr>
    <w:rPr>
      <w:rFonts w:ascii="宋体" w:hAnsi="Times New Roman" w:eastAsia="宋体" w:cs="Times New Roman"/>
      <w:sz w:val="21"/>
      <w:lang w:val="en-US" w:eastAsia="zh-CN" w:bidi="ar-SA"/>
    </w:rPr>
  </w:style>
  <w:style w:type="paragraph" w:customStyle="1" w:styleId="142">
    <w:name w:val="目录 21"/>
    <w:basedOn w:val="1"/>
    <w:next w:val="1"/>
    <w:autoRedefine/>
    <w:semiHidden/>
    <w:qFormat/>
    <w:uiPriority w:val="0"/>
    <w:pPr>
      <w:adjustRightInd/>
      <w:spacing w:line="240" w:lineRule="auto"/>
      <w:jc w:val="left"/>
    </w:pPr>
    <w:rPr>
      <w:bCs/>
      <w:iCs/>
    </w:rPr>
  </w:style>
  <w:style w:type="paragraph" w:customStyle="1" w:styleId="143">
    <w:name w:val="目录 31"/>
    <w:basedOn w:val="1"/>
    <w:next w:val="1"/>
    <w:autoRedefine/>
    <w:semiHidden/>
    <w:uiPriority w:val="0"/>
    <w:pPr>
      <w:spacing w:line="240" w:lineRule="auto"/>
    </w:pPr>
    <w:rPr>
      <w:rFonts w:ascii="宋体" w:hAnsi="宋体"/>
      <w:iCs/>
    </w:rPr>
  </w:style>
  <w:style w:type="paragraph" w:customStyle="1" w:styleId="144">
    <w:name w:val="目录 41"/>
    <w:basedOn w:val="1"/>
    <w:next w:val="1"/>
    <w:autoRedefine/>
    <w:semiHidden/>
    <w:uiPriority w:val="0"/>
    <w:pPr>
      <w:adjustRightInd/>
      <w:spacing w:line="240" w:lineRule="auto"/>
      <w:jc w:val="left"/>
    </w:pPr>
  </w:style>
  <w:style w:type="paragraph" w:customStyle="1" w:styleId="145">
    <w:name w:val="目录 51"/>
    <w:basedOn w:val="1"/>
    <w:next w:val="1"/>
    <w:autoRedefine/>
    <w:semiHidden/>
    <w:uiPriority w:val="0"/>
    <w:pPr>
      <w:spacing w:line="240" w:lineRule="auto"/>
    </w:pPr>
    <w:rPr>
      <w:rFonts w:ascii="宋体" w:hAnsi="宋体"/>
    </w:rPr>
  </w:style>
  <w:style w:type="paragraph" w:customStyle="1" w:styleId="146">
    <w:name w:val="目录 61"/>
    <w:basedOn w:val="1"/>
    <w:next w:val="1"/>
    <w:autoRedefine/>
    <w:semiHidden/>
    <w:uiPriority w:val="0"/>
    <w:pPr>
      <w:adjustRightInd/>
      <w:spacing w:line="240" w:lineRule="auto"/>
      <w:jc w:val="left"/>
    </w:pPr>
  </w:style>
  <w:style w:type="paragraph" w:customStyle="1" w:styleId="147">
    <w:name w:val="目录 71"/>
    <w:basedOn w:val="146"/>
    <w:autoRedefine/>
    <w:semiHidden/>
    <w:uiPriority w:val="0"/>
    <w:pPr>
      <w:ind w:left="1260"/>
    </w:pPr>
  </w:style>
  <w:style w:type="paragraph" w:customStyle="1" w:styleId="148">
    <w:name w:val="目录 81"/>
    <w:basedOn w:val="147"/>
    <w:autoRedefine/>
    <w:semiHidden/>
    <w:uiPriority w:val="0"/>
    <w:pPr>
      <w:ind w:left="1470"/>
    </w:pPr>
  </w:style>
  <w:style w:type="paragraph" w:customStyle="1" w:styleId="149">
    <w:name w:val="目录 91"/>
    <w:basedOn w:val="148"/>
    <w:autoRedefine/>
    <w:semiHidden/>
    <w:uiPriority w:val="0"/>
    <w:pPr>
      <w:ind w:left="1680"/>
    </w:pPr>
  </w:style>
  <w:style w:type="paragraph" w:customStyle="1" w:styleId="150">
    <w:name w:val="其他标准称谓"/>
    <w:uiPriority w:val="0"/>
    <w:pPr>
      <w:spacing w:line="0" w:lineRule="atLeast"/>
      <w:jc w:val="distribute"/>
    </w:pPr>
    <w:rPr>
      <w:rFonts w:ascii="黑体" w:hAnsi="宋体" w:eastAsia="黑体" w:cs="Times New Roman"/>
      <w:sz w:val="52"/>
      <w:lang w:val="en-US" w:eastAsia="zh-CN" w:bidi="ar-SA"/>
    </w:rPr>
  </w:style>
  <w:style w:type="paragraph" w:customStyle="1" w:styleId="151">
    <w:name w:val="其他发布部门"/>
    <w:basedOn w:val="119"/>
    <w:uiPriority w:val="0"/>
    <w:pPr>
      <w:framePr w:wrap="around"/>
      <w:spacing w:line="0" w:lineRule="atLeast"/>
    </w:pPr>
    <w:rPr>
      <w:rFonts w:ascii="黑体" w:eastAsia="黑体"/>
      <w:b w:val="0"/>
    </w:rPr>
  </w:style>
  <w:style w:type="paragraph" w:customStyle="1" w:styleId="152">
    <w:name w:val="前言标题"/>
    <w:next w:val="1"/>
    <w:uiPriority w:val="0"/>
    <w:pPr>
      <w:numPr>
        <w:ilvl w:val="0"/>
        <w:numId w:val="2"/>
      </w:num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53">
    <w:name w:val="三级无标题条"/>
    <w:basedOn w:val="1"/>
    <w:uiPriority w:val="0"/>
    <w:pPr>
      <w:numPr>
        <w:ilvl w:val="4"/>
        <w:numId w:val="20"/>
      </w:numPr>
      <w:adjustRightInd/>
      <w:spacing w:line="240" w:lineRule="auto"/>
    </w:pPr>
    <w:rPr>
      <w:rFonts w:ascii="宋体" w:hAnsi="宋体"/>
      <w:szCs w:val="24"/>
    </w:rPr>
  </w:style>
  <w:style w:type="paragraph" w:customStyle="1" w:styleId="154">
    <w:name w:val="实施日期"/>
    <w:basedOn w:val="120"/>
    <w:uiPriority w:val="0"/>
    <w:pPr>
      <w:framePr w:hSpace="0" w:wrap="around" w:xAlign="right"/>
      <w:jc w:val="right"/>
    </w:pPr>
  </w:style>
  <w:style w:type="paragraph" w:customStyle="1" w:styleId="155">
    <w:name w:val="四级无标题条"/>
    <w:basedOn w:val="1"/>
    <w:uiPriority w:val="0"/>
    <w:pPr>
      <w:numPr>
        <w:ilvl w:val="5"/>
        <w:numId w:val="20"/>
      </w:numPr>
      <w:adjustRightInd/>
      <w:spacing w:line="240" w:lineRule="auto"/>
    </w:pPr>
    <w:rPr>
      <w:rFonts w:ascii="宋体" w:hAnsi="宋体"/>
      <w:szCs w:val="24"/>
    </w:rPr>
  </w:style>
  <w:style w:type="paragraph" w:customStyle="1" w:styleId="156">
    <w:name w:val="文献分类号"/>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57">
    <w:name w:val="无标题条"/>
    <w:next w:val="56"/>
    <w:uiPriority w:val="0"/>
    <w:pPr>
      <w:jc w:val="both"/>
    </w:pPr>
    <w:rPr>
      <w:rFonts w:ascii="宋体" w:hAnsi="宋体" w:eastAsia="宋体" w:cs="Times New Roman"/>
      <w:sz w:val="21"/>
      <w:lang w:val="en-US" w:eastAsia="zh-CN" w:bidi="ar-SA"/>
    </w:rPr>
  </w:style>
  <w:style w:type="paragraph" w:customStyle="1" w:styleId="158">
    <w:name w:val="五级无标题条"/>
    <w:basedOn w:val="1"/>
    <w:uiPriority w:val="0"/>
    <w:pPr>
      <w:numPr>
        <w:ilvl w:val="6"/>
        <w:numId w:val="20"/>
      </w:numPr>
      <w:adjustRightInd/>
    </w:pPr>
    <w:rPr>
      <w:szCs w:val="24"/>
    </w:rPr>
  </w:style>
  <w:style w:type="paragraph" w:customStyle="1" w:styleId="159">
    <w:name w:val="一级无标题条"/>
    <w:basedOn w:val="1"/>
    <w:uiPriority w:val="0"/>
    <w:pPr>
      <w:numPr>
        <w:ilvl w:val="2"/>
        <w:numId w:val="20"/>
      </w:numPr>
      <w:adjustRightInd/>
      <w:spacing w:before="10" w:after="10" w:line="240" w:lineRule="auto"/>
    </w:pPr>
    <w:rPr>
      <w:rFonts w:ascii="宋体" w:hAnsi="宋体"/>
      <w:szCs w:val="24"/>
    </w:rPr>
  </w:style>
  <w:style w:type="paragraph" w:customStyle="1" w:styleId="160">
    <w:name w:val="注:后续"/>
    <w:uiPriority w:val="0"/>
    <w:pPr>
      <w:spacing w:line="300" w:lineRule="exact"/>
      <w:ind w:left="600" w:leftChars="400" w:hanging="200" w:hangingChars="200"/>
      <w:jc w:val="both"/>
    </w:pPr>
    <w:rPr>
      <w:rFonts w:ascii="宋体" w:hAnsi="Times New Roman" w:eastAsia="宋体" w:cs="Times New Roman"/>
      <w:sz w:val="18"/>
      <w:lang w:val="en-US" w:eastAsia="zh-CN" w:bidi="ar-SA"/>
    </w:rPr>
  </w:style>
  <w:style w:type="paragraph" w:customStyle="1" w:styleId="161">
    <w:name w:val="注×:后续"/>
    <w:basedOn w:val="160"/>
    <w:uiPriority w:val="0"/>
    <w:pPr>
      <w:ind w:left="1406" w:leftChars="0" w:hanging="499" w:firstLineChars="0"/>
    </w:pPr>
  </w:style>
  <w:style w:type="paragraph" w:customStyle="1" w:styleId="162">
    <w:name w:val="标准文件_一级无标题"/>
    <w:basedOn w:val="105"/>
    <w:qFormat/>
    <w:uiPriority w:val="0"/>
    <w:pPr>
      <w:spacing w:before="0" w:beforeLines="0" w:after="0" w:afterLines="0"/>
      <w:outlineLvl w:val="9"/>
    </w:pPr>
    <w:rPr>
      <w:rFonts w:ascii="宋体" w:eastAsia="宋体"/>
    </w:rPr>
  </w:style>
  <w:style w:type="paragraph" w:customStyle="1" w:styleId="163">
    <w:name w:val="标准文件_五级无标题"/>
    <w:basedOn w:val="103"/>
    <w:qFormat/>
    <w:uiPriority w:val="0"/>
    <w:pPr>
      <w:spacing w:before="0" w:beforeLines="0" w:after="0" w:afterLines="0"/>
      <w:outlineLvl w:val="9"/>
    </w:pPr>
    <w:rPr>
      <w:rFonts w:ascii="宋体" w:eastAsia="宋体"/>
    </w:rPr>
  </w:style>
  <w:style w:type="paragraph" w:customStyle="1" w:styleId="164">
    <w:name w:val="标准文件_三级无标题"/>
    <w:basedOn w:val="94"/>
    <w:qFormat/>
    <w:uiPriority w:val="0"/>
    <w:pPr>
      <w:spacing w:before="0" w:beforeLines="0" w:after="0" w:afterLines="0"/>
      <w:outlineLvl w:val="9"/>
    </w:pPr>
    <w:rPr>
      <w:rFonts w:ascii="宋体" w:eastAsia="宋体"/>
    </w:rPr>
  </w:style>
  <w:style w:type="paragraph" w:customStyle="1" w:styleId="165">
    <w:name w:val="标准文件_二级无标题"/>
    <w:basedOn w:val="65"/>
    <w:qFormat/>
    <w:uiPriority w:val="0"/>
    <w:pPr>
      <w:spacing w:before="0" w:beforeLines="0" w:after="0" w:afterLines="0"/>
      <w:outlineLvl w:val="9"/>
    </w:pPr>
    <w:rPr>
      <w:rFonts w:ascii="宋体" w:eastAsia="宋体"/>
    </w:rPr>
  </w:style>
  <w:style w:type="paragraph" w:customStyle="1" w:styleId="166">
    <w:name w:val="标准_四级无标题"/>
    <w:basedOn w:val="98"/>
    <w:next w:val="56"/>
    <w:qFormat/>
    <w:uiPriority w:val="0"/>
    <w:rPr>
      <w:rFonts w:eastAsia="宋体"/>
    </w:rPr>
  </w:style>
  <w:style w:type="paragraph" w:customStyle="1" w:styleId="167">
    <w:name w:val="标准文件_四级无标题"/>
    <w:basedOn w:val="98"/>
    <w:qFormat/>
    <w:uiPriority w:val="0"/>
    <w:pPr>
      <w:spacing w:before="0" w:beforeLines="0" w:after="0" w:afterLines="0"/>
      <w:outlineLvl w:val="9"/>
    </w:pPr>
    <w:rPr>
      <w:rFonts w:ascii="宋体" w:hAnsi="黑体" w:eastAsia="宋体"/>
      <w:szCs w:val="52"/>
    </w:rPr>
  </w:style>
  <w:style w:type="paragraph" w:customStyle="1" w:styleId="168">
    <w:name w:val="标准文件_大写罗马数字编号列项"/>
    <w:basedOn w:val="56"/>
    <w:uiPriority w:val="0"/>
    <w:pPr>
      <w:numPr>
        <w:ilvl w:val="0"/>
        <w:numId w:val="23"/>
      </w:numPr>
      <w:ind w:firstLine="0" w:firstLineChars="0"/>
    </w:pPr>
    <w:rPr>
      <w:rFonts w:ascii="Times New Roman" w:cs="Arial"/>
      <w:szCs w:val="28"/>
    </w:rPr>
  </w:style>
  <w:style w:type="paragraph" w:customStyle="1" w:styleId="169">
    <w:name w:val="标准文件_小写罗马数字编号列项"/>
    <w:basedOn w:val="56"/>
    <w:uiPriority w:val="0"/>
    <w:pPr>
      <w:numPr>
        <w:ilvl w:val="0"/>
        <w:numId w:val="24"/>
      </w:numPr>
      <w:ind w:firstLine="0" w:firstLineChars="0"/>
    </w:pPr>
    <w:rPr>
      <w:rFonts w:cs="Arial"/>
      <w:szCs w:val="28"/>
    </w:rPr>
  </w:style>
  <w:style w:type="paragraph" w:customStyle="1" w:styleId="170">
    <w:name w:val="标准文件_附录标题"/>
    <w:basedOn w:val="76"/>
    <w:qFormat/>
    <w:uiPriority w:val="0"/>
    <w:pPr>
      <w:numPr>
        <w:numId w:val="0"/>
      </w:numPr>
      <w:spacing w:after="280"/>
      <w:outlineLvl w:val="9"/>
    </w:pPr>
  </w:style>
  <w:style w:type="paragraph" w:customStyle="1" w:styleId="171">
    <w:name w:val="标准文件_二级项"/>
    <w:uiPriority w:val="0"/>
    <w:rPr>
      <w:rFonts w:ascii="宋体" w:hAnsi="Times New Roman" w:eastAsia="宋体" w:cs="Times New Roman"/>
      <w:sz w:val="21"/>
      <w:lang w:val="en-US" w:eastAsia="zh-CN" w:bidi="ar-SA"/>
    </w:rPr>
  </w:style>
  <w:style w:type="paragraph" w:customStyle="1" w:styleId="172">
    <w:name w:val="标准文件_三级项"/>
    <w:basedOn w:val="1"/>
    <w:uiPriority w:val="0"/>
    <w:pPr>
      <w:numPr>
        <w:ilvl w:val="2"/>
        <w:numId w:val="21"/>
      </w:numPr>
      <w:spacing w:line="536870612" w:lineRule="auto"/>
    </w:pPr>
    <w:rPr>
      <w:rFonts w:ascii="Times New Roman" w:hAnsi="Times New Roman"/>
    </w:rPr>
  </w:style>
  <w:style w:type="paragraph" w:customStyle="1" w:styleId="173">
    <w:name w:val="图表脚注说明"/>
    <w:basedOn w:val="1"/>
    <w:next w:val="56"/>
    <w:qFormat/>
    <w:uiPriority w:val="0"/>
    <w:pPr>
      <w:numPr>
        <w:ilvl w:val="0"/>
        <w:numId w:val="25"/>
      </w:numPr>
      <w:adjustRightInd/>
      <w:spacing w:line="240" w:lineRule="auto"/>
    </w:pPr>
    <w:rPr>
      <w:rFonts w:ascii="宋体" w:hAnsi="Times New Roman"/>
      <w:sz w:val="18"/>
      <w:szCs w:val="18"/>
    </w:rPr>
  </w:style>
  <w:style w:type="paragraph" w:customStyle="1" w:styleId="174">
    <w:name w:val="标准文件_字母编号列项（一级）"/>
    <w:uiPriority w:val="0"/>
    <w:pPr>
      <w:numPr>
        <w:ilvl w:val="0"/>
        <w:numId w:val="13"/>
      </w:numPr>
      <w:jc w:val="both"/>
    </w:pPr>
    <w:rPr>
      <w:rFonts w:ascii="宋体" w:hAnsi="Times New Roman" w:eastAsia="宋体" w:cs="Times New Roman"/>
      <w:sz w:val="21"/>
      <w:lang w:val="en-US" w:eastAsia="zh-CN" w:bidi="ar-SA"/>
    </w:rPr>
  </w:style>
  <w:style w:type="paragraph" w:customStyle="1" w:styleId="175">
    <w:name w:val="标准文件_索引字母"/>
    <w:next w:val="56"/>
    <w:qFormat/>
    <w:uiPriority w:val="0"/>
    <w:pPr>
      <w:jc w:val="center"/>
    </w:pPr>
    <w:rPr>
      <w:rFonts w:ascii="宋体" w:hAnsi="宋体" w:eastAsia="Times New Roman" w:cs="Times New Roman"/>
      <w:b/>
      <w:kern w:val="2"/>
      <w:sz w:val="21"/>
      <w:lang w:val="en-US" w:eastAsia="zh-CN" w:bidi="ar-SA"/>
    </w:rPr>
  </w:style>
  <w:style w:type="paragraph" w:customStyle="1" w:styleId="176">
    <w:name w:val="标准文件_附录前"/>
    <w:next w:val="56"/>
    <w:qFormat/>
    <w:uiPriority w:val="0"/>
    <w:pPr>
      <w:spacing w:line="20" w:lineRule="atLeast"/>
      <w:ind w:firstLine="200"/>
    </w:pPr>
    <w:rPr>
      <w:rFonts w:ascii="宋体" w:hAnsi="宋体" w:eastAsia="宋体" w:cs="Times New Roman"/>
      <w:kern w:val="2"/>
      <w:sz w:val="10"/>
      <w:lang w:val="en-US" w:eastAsia="zh-CN" w:bidi="ar-SA"/>
    </w:rPr>
  </w:style>
  <w:style w:type="paragraph" w:customStyle="1" w:styleId="177">
    <w:name w:val="标准文件_正文标准名称"/>
    <w:qFormat/>
    <w:uiPriority w:val="0"/>
    <w:pPr>
      <w:spacing w:before="560" w:after="640" w:line="400" w:lineRule="exact"/>
      <w:jc w:val="center"/>
    </w:pPr>
    <w:rPr>
      <w:rFonts w:ascii="黑体" w:hAnsi="黑体" w:eastAsia="黑体" w:cs="Times New Roman"/>
      <w:kern w:val="2"/>
      <w:sz w:val="32"/>
      <w:szCs w:val="32"/>
      <w:lang w:val="en-US" w:eastAsia="zh-CN" w:bidi="ar-SA"/>
    </w:rPr>
  </w:style>
  <w:style w:type="paragraph" w:customStyle="1" w:styleId="178">
    <w:name w:val="标准文件_表格"/>
    <w:basedOn w:val="56"/>
    <w:qFormat/>
    <w:uiPriority w:val="0"/>
    <w:pPr>
      <w:ind w:firstLine="0" w:firstLineChars="0"/>
      <w:jc w:val="center"/>
    </w:pPr>
    <w:rPr>
      <w:sz w:val="18"/>
    </w:rPr>
  </w:style>
  <w:style w:type="paragraph" w:customStyle="1" w:styleId="179">
    <w:name w:val="标准文件_注："/>
    <w:next w:val="56"/>
    <w:uiPriority w:val="0"/>
    <w:pPr>
      <w:widowControl w:val="0"/>
      <w:numPr>
        <w:ilvl w:val="0"/>
        <w:numId w:val="26"/>
      </w:numPr>
      <w:autoSpaceDE w:val="0"/>
      <w:autoSpaceDN w:val="0"/>
      <w:jc w:val="both"/>
    </w:pPr>
    <w:rPr>
      <w:rFonts w:ascii="宋体" w:hAnsi="Times New Roman" w:eastAsia="宋体" w:cs="Times New Roman"/>
      <w:sz w:val="18"/>
      <w:szCs w:val="18"/>
      <w:lang w:val="en-US" w:eastAsia="zh-CN" w:bidi="ar-SA"/>
    </w:rPr>
  </w:style>
  <w:style w:type="paragraph" w:customStyle="1" w:styleId="180">
    <w:name w:val="标准文件_注×："/>
    <w:uiPriority w:val="0"/>
    <w:pPr>
      <w:widowControl w:val="0"/>
      <w:numPr>
        <w:ilvl w:val="0"/>
        <w:numId w:val="27"/>
      </w:numPr>
      <w:autoSpaceDE w:val="0"/>
      <w:autoSpaceDN w:val="0"/>
      <w:jc w:val="both"/>
    </w:pPr>
    <w:rPr>
      <w:rFonts w:ascii="宋体" w:hAnsi="Times New Roman" w:eastAsia="宋体" w:cs="Times New Roman"/>
      <w:sz w:val="18"/>
      <w:szCs w:val="18"/>
      <w:lang w:val="en-US" w:eastAsia="zh-CN" w:bidi="ar-SA"/>
    </w:rPr>
  </w:style>
  <w:style w:type="paragraph" w:customStyle="1" w:styleId="181">
    <w:name w:val="标准文件_示例："/>
    <w:next w:val="182"/>
    <w:uiPriority w:val="0"/>
    <w:pPr>
      <w:widowControl w:val="0"/>
      <w:numPr>
        <w:ilvl w:val="0"/>
        <w:numId w:val="28"/>
      </w:numPr>
      <w:jc w:val="both"/>
    </w:pPr>
    <w:rPr>
      <w:rFonts w:ascii="宋体" w:hAnsi="Times New Roman" w:eastAsia="宋体" w:cs="Times New Roman"/>
      <w:sz w:val="18"/>
      <w:szCs w:val="18"/>
      <w:lang w:val="en-US" w:eastAsia="zh-CN" w:bidi="ar-SA"/>
    </w:rPr>
  </w:style>
  <w:style w:type="paragraph" w:customStyle="1" w:styleId="182">
    <w:name w:val="标准文件_示例内容"/>
    <w:basedOn w:val="56"/>
    <w:qFormat/>
    <w:uiPriority w:val="0"/>
    <w:pPr>
      <w:ind w:firstLine="420"/>
    </w:pPr>
    <w:rPr>
      <w:sz w:val="18"/>
    </w:rPr>
  </w:style>
  <w:style w:type="paragraph" w:customStyle="1" w:styleId="183">
    <w:name w:val="标准文件_示例×："/>
    <w:basedOn w:val="1"/>
    <w:next w:val="182"/>
    <w:qFormat/>
    <w:uiPriority w:val="0"/>
    <w:pPr>
      <w:widowControl/>
      <w:numPr>
        <w:ilvl w:val="0"/>
        <w:numId w:val="29"/>
      </w:numPr>
      <w:adjustRightInd/>
      <w:spacing w:line="240" w:lineRule="auto"/>
    </w:pPr>
    <w:rPr>
      <w:rFonts w:ascii="宋体" w:hAnsi="Times New Roman"/>
      <w:kern w:val="0"/>
      <w:sz w:val="18"/>
      <w:szCs w:val="18"/>
    </w:rPr>
  </w:style>
  <w:style w:type="character" w:customStyle="1" w:styleId="184">
    <w:name w:val="标准文件_段 Char"/>
    <w:link w:val="56"/>
    <w:uiPriority w:val="0"/>
    <w:rPr>
      <w:rFonts w:ascii="宋体" w:hAnsi="Times New Roman"/>
      <w:sz w:val="21"/>
    </w:rPr>
  </w:style>
  <w:style w:type="paragraph" w:customStyle="1" w:styleId="185">
    <w:name w:val="标准文件_表格续"/>
    <w:basedOn w:val="56"/>
    <w:next w:val="56"/>
    <w:qFormat/>
    <w:uiPriority w:val="0"/>
    <w:pPr>
      <w:jc w:val="center"/>
    </w:pPr>
    <w:rPr>
      <w:rFonts w:ascii="黑体" w:hAnsi="黑体" w:eastAsia="黑体"/>
    </w:rPr>
  </w:style>
  <w:style w:type="character" w:styleId="186">
    <w:name w:val="Placeholder Text"/>
    <w:basedOn w:val="28"/>
    <w:semiHidden/>
    <w:uiPriority w:val="99"/>
    <w:rPr>
      <w:color w:val="808080"/>
    </w:rPr>
  </w:style>
  <w:style w:type="paragraph" w:customStyle="1" w:styleId="187">
    <w:name w:val="标准文件_二级项2"/>
    <w:basedOn w:val="56"/>
    <w:qFormat/>
    <w:uiPriority w:val="0"/>
    <w:pPr>
      <w:numPr>
        <w:ilvl w:val="1"/>
        <w:numId w:val="21"/>
      </w:numPr>
      <w:ind w:firstLine="0" w:firstLineChars="0"/>
    </w:pPr>
  </w:style>
  <w:style w:type="paragraph" w:customStyle="1" w:styleId="188">
    <w:name w:val="标准文件_三级项2"/>
    <w:basedOn w:val="56"/>
    <w:qFormat/>
    <w:uiPriority w:val="0"/>
    <w:pPr>
      <w:numPr>
        <w:ilvl w:val="0"/>
        <w:numId w:val="30"/>
      </w:numPr>
      <w:spacing w:line="300" w:lineRule="exact"/>
      <w:ind w:firstLineChars="0"/>
    </w:pPr>
    <w:rPr>
      <w:rFonts w:ascii="Times New Roman"/>
    </w:rPr>
  </w:style>
  <w:style w:type="paragraph" w:customStyle="1" w:styleId="189">
    <w:name w:val="标准文件_一级项2"/>
    <w:basedOn w:val="56"/>
    <w:qFormat/>
    <w:uiPriority w:val="0"/>
    <w:pPr>
      <w:numPr>
        <w:ilvl w:val="0"/>
        <w:numId w:val="31"/>
      </w:numPr>
      <w:spacing w:line="300" w:lineRule="exact"/>
      <w:ind w:firstLineChars="0"/>
    </w:pPr>
    <w:rPr>
      <w:rFonts w:ascii="Times New Roman"/>
    </w:rPr>
  </w:style>
  <w:style w:type="paragraph" w:customStyle="1" w:styleId="190">
    <w:name w:val="标准文件_提示"/>
    <w:basedOn w:val="56"/>
    <w:next w:val="56"/>
    <w:qFormat/>
    <w:uiPriority w:val="0"/>
    <w:pPr>
      <w:ind w:firstLine="420"/>
    </w:pPr>
    <w:rPr>
      <w:rFonts w:ascii="黑体" w:eastAsia="黑体"/>
    </w:rPr>
  </w:style>
  <w:style w:type="character" w:customStyle="1" w:styleId="191">
    <w:name w:val="标准文件_来源"/>
    <w:basedOn w:val="28"/>
    <w:qFormat/>
    <w:uiPriority w:val="1"/>
    <w:rPr>
      <w:rFonts w:eastAsia="宋体"/>
      <w:sz w:val="21"/>
    </w:rPr>
  </w:style>
  <w:style w:type="paragraph" w:customStyle="1" w:styleId="192">
    <w:name w:val="标准文件_图表说明"/>
    <w:qFormat/>
    <w:uiPriority w:val="0"/>
    <w:pPr>
      <w:spacing w:line="276" w:lineRule="auto"/>
      <w:ind w:firstLine="420"/>
    </w:pPr>
    <w:rPr>
      <w:rFonts w:ascii="宋体" w:hAnsi="宋体" w:eastAsia="宋体" w:cs="Times New Roman"/>
      <w:kern w:val="2"/>
      <w:sz w:val="18"/>
      <w:lang w:val="en-US" w:eastAsia="zh-CN" w:bidi="ar-SA"/>
    </w:rPr>
  </w:style>
  <w:style w:type="paragraph" w:customStyle="1" w:styleId="193">
    <w:name w:val="其他发布日期"/>
    <w:basedOn w:val="120"/>
    <w:uiPriority w:val="0"/>
    <w:pPr>
      <w:framePr w:w="3997" w:h="471" w:hRule="exact" w:hSpace="0" w:vSpace="181" w:wrap="around" w:vAnchor="page" w:hAnchor="page" w:x="1419" w:y="14097"/>
    </w:pPr>
  </w:style>
  <w:style w:type="paragraph" w:customStyle="1" w:styleId="194">
    <w:name w:val="其他实施日期"/>
    <w:basedOn w:val="154"/>
    <w:uiPriority w:val="0"/>
    <w:pPr>
      <w:framePr w:w="3997" w:h="471" w:hRule="exact" w:vSpace="181" w:wrap="around" w:vAnchor="page" w:hAnchor="page" w:x="7089" w:y="14097"/>
    </w:pPr>
  </w:style>
  <w:style w:type="paragraph" w:customStyle="1" w:styleId="195">
    <w:name w:val="标准文件_文件编号"/>
    <w:basedOn w:val="56"/>
    <w:qFormat/>
    <w:uiPriority w:val="0"/>
    <w:pPr>
      <w:framePr w:w="9356" w:h="624" w:hRule="exact" w:hSpace="181" w:vSpace="181" w:wrap="auto" w:vAnchor="page" w:hAnchor="page" w:x="1419" w:y="3284"/>
      <w:wordWrap w:val="0"/>
      <w:spacing w:line="280" w:lineRule="exact"/>
      <w:ind w:firstLine="0" w:firstLineChars="0"/>
      <w:jc w:val="right"/>
    </w:pPr>
    <w:rPr>
      <w:rFonts w:ascii="黑体" w:eastAsia="黑体"/>
      <w:bCs/>
      <w:sz w:val="28"/>
      <w:szCs w:val="28"/>
    </w:rPr>
  </w:style>
  <w:style w:type="paragraph" w:customStyle="1" w:styleId="196">
    <w:name w:val="标准文件_替换文件编号"/>
    <w:basedOn w:val="195"/>
    <w:qFormat/>
    <w:uiPriority w:val="0"/>
    <w:pPr>
      <w:framePr/>
      <w:spacing w:before="57"/>
    </w:pPr>
    <w:rPr>
      <w:sz w:val="21"/>
    </w:rPr>
  </w:style>
  <w:style w:type="paragraph" w:customStyle="1" w:styleId="197">
    <w:name w:val="标准文件_文件名称"/>
    <w:basedOn w:val="56"/>
    <w:next w:val="56"/>
    <w:qFormat/>
    <w:uiPriority w:val="0"/>
    <w:pPr>
      <w:framePr w:w="9639" w:h="6976" w:hRule="exact" w:wrap="auto" w:vAnchor="page" w:hAnchor="page" w:y="6408"/>
      <w:autoSpaceDE/>
      <w:autoSpaceDN/>
      <w:spacing w:line="700" w:lineRule="exact"/>
      <w:ind w:firstLine="0" w:firstLineChars="0"/>
      <w:jc w:val="center"/>
    </w:pPr>
    <w:rPr>
      <w:rFonts w:ascii="黑体" w:hAnsi="黑体" w:eastAsia="黑体"/>
      <w:bCs/>
      <w:sz w:val="52"/>
    </w:rPr>
  </w:style>
  <w:style w:type="paragraph" w:customStyle="1" w:styleId="198">
    <w:name w:val="标准文件_附录图标号"/>
    <w:basedOn w:val="56"/>
    <w:next w:val="56"/>
    <w:qFormat/>
    <w:uiPriority w:val="0"/>
    <w:pPr>
      <w:numPr>
        <w:ilvl w:val="0"/>
        <w:numId w:val="6"/>
      </w:numPr>
      <w:spacing w:line="14" w:lineRule="exact"/>
      <w:ind w:firstLine="0" w:firstLineChars="0"/>
      <w:jc w:val="center"/>
    </w:pPr>
    <w:rPr>
      <w:rFonts w:ascii="黑体" w:hAnsi="黑体" w:eastAsia="黑体"/>
      <w:vanish/>
      <w:sz w:val="2"/>
      <w:szCs w:val="21"/>
    </w:rPr>
  </w:style>
  <w:style w:type="paragraph" w:customStyle="1" w:styleId="199">
    <w:name w:val="标准文件_附录表标号"/>
    <w:basedOn w:val="56"/>
    <w:next w:val="56"/>
    <w:qFormat/>
    <w:uiPriority w:val="0"/>
    <w:pPr>
      <w:numPr>
        <w:ilvl w:val="0"/>
        <w:numId w:val="5"/>
      </w:numPr>
      <w:spacing w:line="14" w:lineRule="exact"/>
      <w:ind w:firstLine="0" w:firstLineChars="0"/>
      <w:jc w:val="center"/>
    </w:pPr>
    <w:rPr>
      <w:rFonts w:eastAsia="黑体"/>
      <w:vanish/>
      <w:sz w:val="2"/>
    </w:rPr>
  </w:style>
  <w:style w:type="paragraph" w:customStyle="1" w:styleId="200">
    <w:name w:val="标准文件_引言一级条标题"/>
    <w:basedOn w:val="56"/>
    <w:next w:val="56"/>
    <w:qFormat/>
    <w:uiPriority w:val="0"/>
    <w:pPr>
      <w:numPr>
        <w:ilvl w:val="1"/>
        <w:numId w:val="8"/>
      </w:numPr>
      <w:spacing w:before="50" w:beforeLines="50" w:after="50" w:afterLines="50"/>
      <w:ind w:firstLineChars="0"/>
    </w:pPr>
    <w:rPr>
      <w:rFonts w:ascii="黑体" w:eastAsia="黑体"/>
    </w:rPr>
  </w:style>
  <w:style w:type="paragraph" w:customStyle="1" w:styleId="201">
    <w:name w:val="标准文件_引言二级条标题"/>
    <w:basedOn w:val="56"/>
    <w:next w:val="56"/>
    <w:qFormat/>
    <w:uiPriority w:val="0"/>
    <w:pPr>
      <w:numPr>
        <w:ilvl w:val="2"/>
        <w:numId w:val="8"/>
      </w:numPr>
      <w:spacing w:before="50" w:beforeLines="50" w:after="50" w:afterLines="50"/>
      <w:ind w:firstLineChars="0"/>
    </w:pPr>
    <w:rPr>
      <w:rFonts w:ascii="黑体" w:eastAsia="黑体"/>
    </w:rPr>
  </w:style>
  <w:style w:type="paragraph" w:customStyle="1" w:styleId="202">
    <w:name w:val="标准文件_引言三级条标题"/>
    <w:basedOn w:val="56"/>
    <w:next w:val="56"/>
    <w:qFormat/>
    <w:uiPriority w:val="0"/>
    <w:pPr>
      <w:numPr>
        <w:ilvl w:val="3"/>
        <w:numId w:val="8"/>
      </w:numPr>
      <w:spacing w:before="50" w:beforeLines="50" w:after="50" w:afterLines="50"/>
      <w:ind w:firstLineChars="0"/>
    </w:pPr>
    <w:rPr>
      <w:rFonts w:ascii="黑体" w:eastAsia="黑体"/>
    </w:rPr>
  </w:style>
  <w:style w:type="paragraph" w:customStyle="1" w:styleId="203">
    <w:name w:val="标准文件_引言四级条标题"/>
    <w:basedOn w:val="56"/>
    <w:next w:val="56"/>
    <w:qFormat/>
    <w:uiPriority w:val="0"/>
    <w:pPr>
      <w:numPr>
        <w:ilvl w:val="4"/>
        <w:numId w:val="8"/>
      </w:numPr>
      <w:spacing w:before="50" w:beforeLines="50" w:after="50" w:afterLines="50"/>
      <w:ind w:firstLineChars="0"/>
    </w:pPr>
    <w:rPr>
      <w:rFonts w:ascii="黑体" w:eastAsia="黑体"/>
    </w:rPr>
  </w:style>
  <w:style w:type="paragraph" w:customStyle="1" w:styleId="204">
    <w:name w:val="标准文件_引言五级条标题"/>
    <w:basedOn w:val="56"/>
    <w:next w:val="56"/>
    <w:qFormat/>
    <w:uiPriority w:val="0"/>
    <w:pPr>
      <w:numPr>
        <w:ilvl w:val="5"/>
        <w:numId w:val="8"/>
      </w:numPr>
      <w:spacing w:before="50" w:beforeLines="50" w:after="50" w:afterLines="50"/>
      <w:ind w:firstLineChars="0"/>
    </w:pPr>
    <w:rPr>
      <w:rFonts w:ascii="黑体" w:eastAsia="黑体"/>
    </w:rPr>
  </w:style>
  <w:style w:type="paragraph" w:customStyle="1" w:styleId="205">
    <w:name w:val="标准文件_注后"/>
    <w:basedOn w:val="56"/>
    <w:qFormat/>
    <w:uiPriority w:val="0"/>
    <w:pPr>
      <w:ind w:left="811" w:firstLine="0" w:firstLineChars="0"/>
    </w:pPr>
    <w:rPr>
      <w:sz w:val="18"/>
    </w:rPr>
  </w:style>
  <w:style w:type="paragraph" w:customStyle="1" w:styleId="206">
    <w:name w:val="标准文件_注X后"/>
    <w:basedOn w:val="56"/>
    <w:qFormat/>
    <w:uiPriority w:val="0"/>
    <w:pPr>
      <w:ind w:left="811" w:firstLine="0" w:firstLineChars="0"/>
    </w:pPr>
    <w:rPr>
      <w:sz w:val="18"/>
    </w:rPr>
  </w:style>
  <w:style w:type="paragraph" w:customStyle="1" w:styleId="207">
    <w:name w:val="标准文件_示例后"/>
    <w:basedOn w:val="56"/>
    <w:qFormat/>
    <w:uiPriority w:val="0"/>
    <w:pPr>
      <w:ind w:left="964" w:firstLine="0" w:firstLineChars="0"/>
    </w:pPr>
    <w:rPr>
      <w:sz w:val="18"/>
    </w:rPr>
  </w:style>
  <w:style w:type="paragraph" w:customStyle="1" w:styleId="208">
    <w:name w:val="标准文件_示例X后"/>
    <w:basedOn w:val="56"/>
    <w:link w:val="209"/>
    <w:qFormat/>
    <w:uiPriority w:val="0"/>
    <w:pPr>
      <w:ind w:left="1049" w:firstLine="0" w:firstLineChars="0"/>
    </w:pPr>
    <w:rPr>
      <w:sz w:val="18"/>
    </w:rPr>
  </w:style>
  <w:style w:type="character" w:customStyle="1" w:styleId="209">
    <w:name w:val="标准文件_示例X后 字符"/>
    <w:basedOn w:val="184"/>
    <w:link w:val="208"/>
    <w:uiPriority w:val="0"/>
    <w:rPr>
      <w:rFonts w:ascii="宋体" w:hAnsi="Times New Roman"/>
      <w:sz w:val="18"/>
    </w:rPr>
  </w:style>
  <w:style w:type="paragraph" w:customStyle="1" w:styleId="210">
    <w:name w:val="标准文件_索引项"/>
    <w:basedOn w:val="56"/>
    <w:next w:val="56"/>
    <w:qFormat/>
    <w:uiPriority w:val="0"/>
    <w:pPr>
      <w:tabs>
        <w:tab w:val="right" w:leader="dot" w:pos="9356"/>
      </w:tabs>
      <w:ind w:left="210" w:hanging="210" w:firstLineChars="0"/>
      <w:jc w:val="left"/>
    </w:pPr>
  </w:style>
  <w:style w:type="paragraph" w:customStyle="1" w:styleId="211">
    <w:name w:val="标准文件_附录一级无标题"/>
    <w:basedOn w:val="78"/>
    <w:qFormat/>
    <w:uiPriority w:val="0"/>
    <w:pPr>
      <w:spacing w:before="0" w:beforeLines="0" w:after="0" w:afterLines="0" w:line="276" w:lineRule="auto"/>
      <w:outlineLvl w:val="9"/>
    </w:pPr>
    <w:rPr>
      <w:rFonts w:ascii="宋体" w:eastAsia="宋体"/>
    </w:rPr>
  </w:style>
  <w:style w:type="paragraph" w:customStyle="1" w:styleId="212">
    <w:name w:val="标准文件_附录二级无标题"/>
    <w:basedOn w:val="79"/>
    <w:uiPriority w:val="0"/>
    <w:pPr>
      <w:spacing w:before="0" w:beforeLines="0" w:after="0" w:afterLines="0" w:line="276" w:lineRule="auto"/>
      <w:outlineLvl w:val="9"/>
    </w:pPr>
    <w:rPr>
      <w:rFonts w:ascii="宋体" w:eastAsia="宋体"/>
    </w:rPr>
  </w:style>
  <w:style w:type="paragraph" w:customStyle="1" w:styleId="213">
    <w:name w:val="标准文件_附录三级无标题"/>
    <w:basedOn w:val="81"/>
    <w:qFormat/>
    <w:uiPriority w:val="0"/>
    <w:pPr>
      <w:spacing w:before="0" w:beforeLines="0" w:after="0" w:afterLines="0" w:line="276" w:lineRule="auto"/>
      <w:outlineLvl w:val="9"/>
    </w:pPr>
    <w:rPr>
      <w:rFonts w:ascii="宋体" w:eastAsia="宋体"/>
    </w:rPr>
  </w:style>
  <w:style w:type="paragraph" w:customStyle="1" w:styleId="214">
    <w:name w:val="标准文件_附录四级无标题"/>
    <w:basedOn w:val="82"/>
    <w:qFormat/>
    <w:uiPriority w:val="0"/>
    <w:pPr>
      <w:spacing w:before="0" w:beforeLines="0" w:after="0" w:afterLines="0" w:line="276" w:lineRule="auto"/>
      <w:outlineLvl w:val="9"/>
    </w:pPr>
    <w:rPr>
      <w:rFonts w:ascii="宋体" w:eastAsia="宋体"/>
    </w:rPr>
  </w:style>
  <w:style w:type="paragraph" w:customStyle="1" w:styleId="215">
    <w:name w:val="标准文件_附录五级无标题"/>
    <w:basedOn w:val="84"/>
    <w:qFormat/>
    <w:uiPriority w:val="0"/>
    <w:pPr>
      <w:spacing w:before="0" w:beforeLines="0" w:after="0" w:afterLines="0" w:line="276" w:lineRule="auto"/>
      <w:outlineLvl w:val="9"/>
    </w:pPr>
    <w:rPr>
      <w:rFonts w:ascii="宋体" w:eastAsia="宋体"/>
    </w:rPr>
  </w:style>
  <w:style w:type="paragraph" w:customStyle="1" w:styleId="216">
    <w:name w:val="标准文件_引言一级无标题"/>
    <w:basedOn w:val="200"/>
    <w:next w:val="56"/>
    <w:qFormat/>
    <w:uiPriority w:val="0"/>
    <w:pPr>
      <w:spacing w:before="0" w:beforeLines="0" w:after="0" w:afterLines="0" w:line="276" w:lineRule="auto"/>
    </w:pPr>
    <w:rPr>
      <w:rFonts w:ascii="宋体" w:eastAsia="宋体"/>
    </w:rPr>
  </w:style>
  <w:style w:type="paragraph" w:customStyle="1" w:styleId="217">
    <w:name w:val="标准文件_引言二级无标题"/>
    <w:basedOn w:val="201"/>
    <w:next w:val="56"/>
    <w:qFormat/>
    <w:uiPriority w:val="0"/>
    <w:pPr>
      <w:spacing w:before="0" w:beforeLines="0" w:after="0" w:afterLines="0" w:line="276" w:lineRule="auto"/>
    </w:pPr>
    <w:rPr>
      <w:rFonts w:ascii="宋体" w:eastAsia="宋体"/>
    </w:rPr>
  </w:style>
  <w:style w:type="paragraph" w:customStyle="1" w:styleId="218">
    <w:name w:val="标准文件_引言三级无标题"/>
    <w:basedOn w:val="202"/>
    <w:qFormat/>
    <w:uiPriority w:val="0"/>
    <w:pPr>
      <w:spacing w:before="0" w:beforeLines="0" w:after="0" w:afterLines="0" w:line="276" w:lineRule="auto"/>
    </w:pPr>
    <w:rPr>
      <w:rFonts w:ascii="宋体" w:eastAsia="宋体"/>
    </w:rPr>
  </w:style>
  <w:style w:type="paragraph" w:customStyle="1" w:styleId="219">
    <w:name w:val="标准文件_引言四级无标题"/>
    <w:basedOn w:val="203"/>
    <w:next w:val="56"/>
    <w:qFormat/>
    <w:uiPriority w:val="0"/>
    <w:pPr>
      <w:spacing w:before="0" w:beforeLines="0" w:after="0" w:afterLines="0" w:line="276" w:lineRule="auto"/>
    </w:pPr>
    <w:rPr>
      <w:rFonts w:ascii="宋体" w:eastAsia="宋体"/>
    </w:rPr>
  </w:style>
  <w:style w:type="paragraph" w:customStyle="1" w:styleId="220">
    <w:name w:val="标准文件_引言五级无标题"/>
    <w:basedOn w:val="204"/>
    <w:next w:val="56"/>
    <w:qFormat/>
    <w:uiPriority w:val="0"/>
    <w:pPr>
      <w:spacing w:before="0" w:beforeLines="0" w:after="0" w:afterLines="0" w:line="276" w:lineRule="auto"/>
    </w:pPr>
    <w:rPr>
      <w:rFonts w:ascii="宋体" w:eastAsia="宋体"/>
    </w:rPr>
  </w:style>
  <w:style w:type="paragraph" w:customStyle="1" w:styleId="221">
    <w:name w:val="标准文件_索引标题"/>
    <w:basedOn w:val="63"/>
    <w:next w:val="56"/>
    <w:qFormat/>
    <w:uiPriority w:val="0"/>
    <w:rPr>
      <w:rFonts w:hAnsi="黑体"/>
    </w:rPr>
  </w:style>
  <w:style w:type="paragraph" w:customStyle="1" w:styleId="222">
    <w:name w:val="标准文件_脚注内容"/>
    <w:basedOn w:val="56"/>
    <w:qFormat/>
    <w:uiPriority w:val="0"/>
    <w:pPr>
      <w:ind w:left="400" w:leftChars="200" w:hanging="200" w:hangingChars="200"/>
    </w:pPr>
    <w:rPr>
      <w:sz w:val="15"/>
    </w:rPr>
  </w:style>
  <w:style w:type="paragraph" w:customStyle="1" w:styleId="223">
    <w:name w:val="标准文件_术语条一"/>
    <w:basedOn w:val="162"/>
    <w:next w:val="56"/>
    <w:qFormat/>
    <w:uiPriority w:val="0"/>
  </w:style>
  <w:style w:type="paragraph" w:customStyle="1" w:styleId="224">
    <w:name w:val="标准文件_术语条二"/>
    <w:basedOn w:val="165"/>
    <w:next w:val="56"/>
    <w:qFormat/>
    <w:uiPriority w:val="0"/>
  </w:style>
  <w:style w:type="paragraph" w:customStyle="1" w:styleId="225">
    <w:name w:val="标准文件_术语条三"/>
    <w:basedOn w:val="164"/>
    <w:next w:val="56"/>
    <w:qFormat/>
    <w:uiPriority w:val="0"/>
  </w:style>
  <w:style w:type="paragraph" w:customStyle="1" w:styleId="226">
    <w:name w:val="标准文件_术语条四"/>
    <w:basedOn w:val="167"/>
    <w:next w:val="56"/>
    <w:qFormat/>
    <w:uiPriority w:val="0"/>
  </w:style>
  <w:style w:type="paragraph" w:customStyle="1" w:styleId="227">
    <w:name w:val="标准文件_术语条五"/>
    <w:basedOn w:val="163"/>
    <w:next w:val="56"/>
    <w:qFormat/>
    <w:uiPriority w:val="0"/>
  </w:style>
  <w:style w:type="paragraph" w:customStyle="1" w:styleId="228">
    <w:name w:val="Defaul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229">
    <w:name w:val="发布"/>
    <w:basedOn w:val="28"/>
    <w:uiPriority w:val="0"/>
    <w:rPr>
      <w:rFonts w:ascii="黑体" w:eastAsia="黑体"/>
      <w:spacing w:val="85"/>
      <w:w w:val="100"/>
      <w:position w:val="3"/>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glossaryDocument" Target="glossary/document.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42;&#20307;&#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CA1182EF9584116A340CA67A80A90DC"/>
        <w:style w:val=""/>
        <w:category>
          <w:name w:val="常规"/>
          <w:gallery w:val="placeholder"/>
        </w:category>
        <w:types>
          <w:type w:val="bbPlcHdr"/>
        </w:types>
        <w:behaviors>
          <w:behavior w:val="content"/>
        </w:behaviors>
        <w:description w:val=""/>
        <w:guid w:val="{CB94B0E6-3C4D-4D1E-9DCA-AA147A7571F2}"/>
      </w:docPartPr>
      <w:docPartBody>
        <w:p w14:paraId="19217D6D">
          <w:pPr>
            <w:pStyle w:val="5"/>
          </w:pPr>
          <w:r>
            <w:rPr>
              <w:rStyle w:val="4"/>
              <w:rFonts w:hint="eastAsia"/>
            </w:rPr>
            <w:t>单击或点击此处输入文字。</w:t>
          </w:r>
        </w:p>
      </w:docPartBody>
    </w:docPart>
    <w:docPart>
      <w:docPartPr>
        <w:name w:val="0CF0B41AE0A24D53BB45ABCC4A9E525C"/>
        <w:style w:val=""/>
        <w:category>
          <w:name w:val="常规"/>
          <w:gallery w:val="placeholder"/>
        </w:category>
        <w:types>
          <w:type w:val="bbPlcHdr"/>
        </w:types>
        <w:behaviors>
          <w:behavior w:val="content"/>
        </w:behaviors>
        <w:description w:val=""/>
        <w:guid w:val="{8BA6F6D9-2B19-41B2-A37F-56360941E82D}"/>
      </w:docPartPr>
      <w:docPartBody>
        <w:p w14:paraId="3522B0EA">
          <w:pPr>
            <w:pStyle w:val="6"/>
          </w:pPr>
          <w:r>
            <w:rPr>
              <w:rStyle w:val="4"/>
              <w:rFonts w:hint="eastAsia"/>
            </w:rPr>
            <w:t>选择一项。</w:t>
          </w:r>
        </w:p>
      </w:docPartBody>
    </w:docPart>
    <w:docPart>
      <w:docPartPr>
        <w:name w:val="679D4268B74948F3B3511CC4146C6B0C"/>
        <w:style w:val=""/>
        <w:category>
          <w:name w:val="常规"/>
          <w:gallery w:val="placeholder"/>
        </w:category>
        <w:types>
          <w:type w:val="bbPlcHdr"/>
        </w:types>
        <w:behaviors>
          <w:behavior w:val="content"/>
        </w:behaviors>
        <w:description w:val=""/>
        <w:guid w:val="{552E1841-A671-4943-9857-0B864CF905B4}"/>
      </w:docPartPr>
      <w:docPartBody>
        <w:p w14:paraId="3FC50CA5">
          <w:pPr>
            <w:pStyle w:val="7"/>
          </w:pPr>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770"/>
    <w:rsid w:val="0001584B"/>
    <w:rsid w:val="00581402"/>
    <w:rsid w:val="006A1624"/>
    <w:rsid w:val="00734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9CA1182EF9584116A340CA67A80A90D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0CF0B41AE0A24D53BB45ABCC4A9E525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679D4268B74948F3B3511CC4146C6B0C"/>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ln>
      </a:spPr>
      <a:bodyPr/>
      <a:lst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E0F809-F1B0-47A2-BF3F-77BC97C7211C}">
  <ds:schemaRefs/>
</ds:datastoreItem>
</file>

<file path=docProps/app.xml><?xml version="1.0" encoding="utf-8"?>
<Properties xmlns="http://schemas.openxmlformats.org/officeDocument/2006/extended-properties" xmlns:vt="http://schemas.openxmlformats.org/officeDocument/2006/docPropsVTypes">
  <Template>团体标准</Template>
  <Company>PCMI</Company>
  <Pages>7</Pages>
  <Words>308</Words>
  <Characters>358</Characters>
  <Lines>6</Lines>
  <Paragraphs>1</Paragraphs>
  <TotalTime>0</TotalTime>
  <ScaleCrop>false</ScaleCrop>
  <LinksUpToDate>false</LinksUpToDate>
  <CharactersWithSpaces>384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2022-11-13T15:35:00Z</dcterms:created>
  <dc:creator>LWP</dc:creator>
  <dc:description>&lt;config cover="true" show_menu="true" version="1.0.0" doctype="SDKXY"&gt;_x000d_
&lt;/config&gt;</dc:description>
  <cp:lastModifiedBy>王斌</cp:lastModifiedBy>
  <cp:lastPrinted>2021-02-02T08:22:00Z</cp:lastPrinted>
  <dcterms:modified xsi:type="dcterms:W3CDTF">2025-07-02T00:27:57Z</dcterms:modified>
  <dc:title>团体标准</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团体标准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y fmtid="{D5CDD505-2E9C-101B-9397-08002B2CF9AE}" pid="14" name="KSOTemplateDocerSaveRecord">
    <vt:lpwstr>eyJoZGlkIjoiYjg2OTM1YTI0NjQ1MjMwMTlkZDQ0NWQwZDQxYTgyZGIiLCJ1c2VySWQiOiIzMzI3NDI3ODMifQ==</vt:lpwstr>
  </property>
  <property fmtid="{D5CDD505-2E9C-101B-9397-08002B2CF9AE}" pid="15" name="KSOProductBuildVer">
    <vt:lpwstr>2052-12.1.0.21541</vt:lpwstr>
  </property>
  <property fmtid="{D5CDD505-2E9C-101B-9397-08002B2CF9AE}" pid="16" name="ICV">
    <vt:lpwstr>903D895C8D144A01A5FB6E26FF250535_12</vt:lpwstr>
  </property>
</Properties>
</file>